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BDECF" w14:textId="6EC15471" w:rsidR="001F1F08" w:rsidRDefault="00730B3E" w:rsidP="00730B3E">
      <w:pPr>
        <w:spacing w:after="120" w:line="276" w:lineRule="auto"/>
        <w:jc w:val="center"/>
        <w:rPr>
          <w:rFonts w:ascii="Calibri" w:hAnsi="Calibri" w:cs="Calibri"/>
          <w:lang w:val="en-GB"/>
        </w:rPr>
      </w:pPr>
      <w:r>
        <w:rPr>
          <w:rFonts w:ascii="Calibri" w:hAnsi="Calibri" w:cs="Calibri"/>
          <w:b/>
          <w:sz w:val="32"/>
          <w:szCs w:val="32"/>
          <w:lang w:val="en-GB"/>
        </w:rPr>
        <w:t>Impact of previous lactation</w:t>
      </w:r>
      <w:r w:rsidR="002F0999">
        <w:rPr>
          <w:rFonts w:ascii="Calibri" w:hAnsi="Calibri" w:cs="Calibri"/>
          <w:b/>
          <w:sz w:val="32"/>
          <w:szCs w:val="32"/>
          <w:lang w:val="en-GB"/>
        </w:rPr>
        <w:t xml:space="preserve"> curve</w:t>
      </w:r>
      <w:r>
        <w:rPr>
          <w:rFonts w:ascii="Calibri" w:hAnsi="Calibri" w:cs="Calibri"/>
          <w:b/>
          <w:sz w:val="32"/>
          <w:szCs w:val="32"/>
          <w:lang w:val="en-GB"/>
        </w:rPr>
        <w:t xml:space="preserve"> and somatic cell count curve on new infection post calving</w:t>
      </w:r>
    </w:p>
    <w:p w14:paraId="469C1538" w14:textId="77777777" w:rsidR="0064743C" w:rsidRPr="003A1BFD" w:rsidRDefault="0064743C" w:rsidP="002078B1">
      <w:pPr>
        <w:pStyle w:val="ListParagraph"/>
        <w:spacing w:after="120" w:line="276" w:lineRule="auto"/>
        <w:jc w:val="center"/>
        <w:rPr>
          <w:rFonts w:ascii="Calibri" w:hAnsi="Calibri" w:cs="Calibri"/>
          <w:lang w:val="en-GB"/>
        </w:rPr>
      </w:pPr>
    </w:p>
    <w:p w14:paraId="3925B62B" w14:textId="10FADB64" w:rsidR="002078B1" w:rsidRPr="00B22CC3" w:rsidRDefault="006277C1" w:rsidP="002078B1">
      <w:pPr>
        <w:spacing w:after="120" w:line="276" w:lineRule="auto"/>
        <w:jc w:val="center"/>
        <w:rPr>
          <w:rFonts w:ascii="Calibri" w:hAnsi="Calibri" w:cs="Calibri"/>
          <w:b/>
          <w:lang w:val="da-DK"/>
        </w:rPr>
      </w:pPr>
      <w:r>
        <w:rPr>
          <w:rFonts w:ascii="Calibri" w:hAnsi="Calibri" w:cs="Calibri"/>
          <w:b/>
          <w:lang w:val="da-DK"/>
        </w:rPr>
        <w:t>Maj Beldring</w:t>
      </w:r>
      <w:r w:rsidR="002078B1" w:rsidRPr="0013191C">
        <w:rPr>
          <w:rFonts w:ascii="Calibri" w:hAnsi="Calibri" w:cs="Calibri"/>
          <w:b/>
          <w:lang w:val="da-DK"/>
        </w:rPr>
        <w:t>, Matt Denwood, Tariq Halasa, Carsten Thure Kirkeby, Søren Saxmose Nielsen</w:t>
      </w:r>
    </w:p>
    <w:p w14:paraId="76CA6FC0" w14:textId="77777777" w:rsidR="002078B1" w:rsidRDefault="002078B1" w:rsidP="002078B1">
      <w:pPr>
        <w:spacing w:after="120" w:line="276" w:lineRule="auto"/>
        <w:jc w:val="center"/>
        <w:rPr>
          <w:rFonts w:ascii="Calibri" w:hAnsi="Calibri" w:cs="Calibri"/>
          <w:highlight w:val="yellow"/>
          <w:lang w:val="en-GB"/>
        </w:rPr>
      </w:pPr>
      <w:r w:rsidRPr="0013191C">
        <w:rPr>
          <w:rFonts w:ascii="Calibri" w:hAnsi="Calibri" w:cs="Calibri"/>
        </w:rPr>
        <w:t>Animal</w:t>
      </w:r>
      <w:r>
        <w:rPr>
          <w:rFonts w:ascii="Calibri" w:hAnsi="Calibri" w:cs="Calibri"/>
        </w:rPr>
        <w:t xml:space="preserve"> Welfare and Disease Control, </w:t>
      </w:r>
      <w:r w:rsidRPr="00912FC5">
        <w:rPr>
          <w:rFonts w:ascii="Calibri" w:hAnsi="Calibri" w:cs="Calibri"/>
        </w:rPr>
        <w:t xml:space="preserve">Department of Veterinary </w:t>
      </w:r>
      <w:r>
        <w:rPr>
          <w:rFonts w:ascii="Calibri" w:hAnsi="Calibri" w:cs="Calibri"/>
        </w:rPr>
        <w:t>and Animal Sciences, Faculty of Health and Medical Sciences, University of Copenhagen</w:t>
      </w:r>
      <w:r w:rsidRPr="00B04335">
        <w:rPr>
          <w:rFonts w:ascii="Calibri" w:hAnsi="Calibri" w:cs="Calibri"/>
          <w:highlight w:val="yellow"/>
          <w:lang w:val="en-GB"/>
        </w:rPr>
        <w:t xml:space="preserve"> </w:t>
      </w:r>
    </w:p>
    <w:p w14:paraId="4F2E1AAD" w14:textId="77777777" w:rsidR="002078B1" w:rsidRDefault="002078B1" w:rsidP="002078B1">
      <w:pPr>
        <w:spacing w:after="120" w:line="276" w:lineRule="auto"/>
        <w:jc w:val="center"/>
        <w:rPr>
          <w:rFonts w:ascii="Calibri" w:hAnsi="Calibri" w:cs="Calibri"/>
          <w:highlight w:val="yellow"/>
          <w:lang w:val="en-GB"/>
        </w:rPr>
      </w:pPr>
    </w:p>
    <w:p w14:paraId="45A569E3" w14:textId="1F1A2885" w:rsidR="00C057D7" w:rsidRDefault="00C057D7" w:rsidP="002F5E5D">
      <w:pPr>
        <w:pStyle w:val="VE1"/>
        <w:numPr>
          <w:ilvl w:val="0"/>
          <w:numId w:val="0"/>
        </w:numPr>
        <w:ind w:left="432" w:hanging="432"/>
        <w:jc w:val="center"/>
        <w:rPr>
          <w:rFonts w:asciiTheme="minorHAnsi" w:eastAsiaTheme="minorHAnsi" w:hAnsiTheme="minorHAnsi" w:cstheme="minorHAnsi"/>
          <w:b w:val="0"/>
          <w:bCs w:val="0"/>
          <w:kern w:val="0"/>
          <w:sz w:val="22"/>
          <w:szCs w:val="22"/>
        </w:rPr>
      </w:pPr>
      <w:r w:rsidRPr="00C057D7">
        <w:rPr>
          <w:rFonts w:asciiTheme="minorHAnsi" w:eastAsiaTheme="minorHAnsi" w:hAnsiTheme="minorHAnsi" w:cstheme="minorHAnsi"/>
          <w:b w:val="0"/>
          <w:bCs w:val="0"/>
          <w:kern w:val="0"/>
          <w:sz w:val="22"/>
          <w:szCs w:val="22"/>
        </w:rPr>
        <w:t xml:space="preserve">Keywords: </w:t>
      </w:r>
      <w:r>
        <w:rPr>
          <w:rFonts w:asciiTheme="minorHAnsi" w:eastAsiaTheme="minorHAnsi" w:hAnsiTheme="minorHAnsi" w:cstheme="minorHAnsi"/>
          <w:b w:val="0"/>
          <w:bCs w:val="0"/>
          <w:kern w:val="0"/>
          <w:sz w:val="22"/>
          <w:szCs w:val="22"/>
        </w:rPr>
        <w:t>I</w:t>
      </w:r>
      <w:r w:rsidRPr="00C057D7">
        <w:rPr>
          <w:rFonts w:asciiTheme="minorHAnsi" w:eastAsiaTheme="minorHAnsi" w:hAnsiTheme="minorHAnsi" w:cstheme="minorHAnsi"/>
          <w:b w:val="0"/>
          <w:bCs w:val="0"/>
          <w:kern w:val="0"/>
          <w:sz w:val="22"/>
          <w:szCs w:val="22"/>
        </w:rPr>
        <w:t xml:space="preserve">ntramammary infection; </w:t>
      </w:r>
      <w:r w:rsidR="001C69FA">
        <w:rPr>
          <w:rFonts w:asciiTheme="minorHAnsi" w:eastAsiaTheme="minorHAnsi" w:hAnsiTheme="minorHAnsi" w:cstheme="minorHAnsi"/>
          <w:b w:val="0"/>
          <w:bCs w:val="0"/>
          <w:kern w:val="0"/>
          <w:sz w:val="22"/>
          <w:szCs w:val="22"/>
        </w:rPr>
        <w:t>Wilmink curve</w:t>
      </w:r>
      <w:r>
        <w:rPr>
          <w:rFonts w:asciiTheme="minorHAnsi" w:eastAsiaTheme="minorHAnsi" w:hAnsiTheme="minorHAnsi" w:cstheme="minorHAnsi"/>
          <w:b w:val="0"/>
          <w:bCs w:val="0"/>
          <w:kern w:val="0"/>
          <w:sz w:val="22"/>
          <w:szCs w:val="22"/>
        </w:rPr>
        <w:t>;</w:t>
      </w:r>
      <w:r w:rsidR="001C69FA">
        <w:rPr>
          <w:rFonts w:asciiTheme="minorHAnsi" w:eastAsiaTheme="minorHAnsi" w:hAnsiTheme="minorHAnsi" w:cstheme="minorHAnsi"/>
          <w:b w:val="0"/>
          <w:bCs w:val="0"/>
          <w:kern w:val="0"/>
          <w:sz w:val="22"/>
          <w:szCs w:val="22"/>
        </w:rPr>
        <w:t xml:space="preserve"> Woods curve;</w:t>
      </w:r>
      <w:r>
        <w:rPr>
          <w:rFonts w:asciiTheme="minorHAnsi" w:eastAsiaTheme="minorHAnsi" w:hAnsiTheme="minorHAnsi" w:cstheme="minorHAnsi"/>
          <w:b w:val="0"/>
          <w:bCs w:val="0"/>
          <w:kern w:val="0"/>
          <w:sz w:val="22"/>
          <w:szCs w:val="22"/>
        </w:rPr>
        <w:t xml:space="preserve"> </w:t>
      </w:r>
      <w:r w:rsidRPr="00C057D7">
        <w:rPr>
          <w:rFonts w:asciiTheme="minorHAnsi" w:eastAsiaTheme="minorHAnsi" w:hAnsiTheme="minorHAnsi" w:cstheme="minorHAnsi"/>
          <w:b w:val="0"/>
          <w:bCs w:val="0"/>
          <w:kern w:val="0"/>
          <w:sz w:val="22"/>
          <w:szCs w:val="22"/>
        </w:rPr>
        <w:t xml:space="preserve">somatic cell count; </w:t>
      </w:r>
    </w:p>
    <w:p w14:paraId="03D5CB9C" w14:textId="77777777" w:rsidR="00C057D7" w:rsidRPr="00C057D7" w:rsidRDefault="00C057D7" w:rsidP="00C057D7">
      <w:pPr>
        <w:pStyle w:val="VE1"/>
        <w:numPr>
          <w:ilvl w:val="0"/>
          <w:numId w:val="0"/>
        </w:numPr>
        <w:ind w:left="432" w:hanging="432"/>
        <w:rPr>
          <w:rFonts w:asciiTheme="minorHAnsi" w:eastAsiaTheme="minorHAnsi" w:hAnsiTheme="minorHAnsi" w:cstheme="minorHAnsi"/>
          <w:b w:val="0"/>
          <w:bCs w:val="0"/>
          <w:kern w:val="0"/>
          <w:sz w:val="22"/>
          <w:szCs w:val="22"/>
        </w:rPr>
      </w:pPr>
    </w:p>
    <w:p w14:paraId="1D53D5E8" w14:textId="32AC169E" w:rsidR="001F01F8" w:rsidRDefault="001F01F8" w:rsidP="001F01F8">
      <w:pPr>
        <w:pStyle w:val="VE1"/>
        <w:numPr>
          <w:ilvl w:val="0"/>
          <w:numId w:val="0"/>
        </w:numPr>
        <w:rPr>
          <w:lang w:val="en-GB"/>
        </w:rPr>
      </w:pPr>
    </w:p>
    <w:p w14:paraId="5EB30908" w14:textId="41AB39EC" w:rsidR="001F01F8" w:rsidRPr="00155295" w:rsidRDefault="001F01F8" w:rsidP="001F01F8">
      <w:pPr>
        <w:spacing w:after="120"/>
        <w:rPr>
          <w:rFonts w:ascii="Calibri" w:hAnsi="Calibri" w:cs="Calibri"/>
          <w:color w:val="FF0000"/>
          <w:lang w:val="en-GB"/>
        </w:rPr>
      </w:pPr>
      <w:r w:rsidRPr="001F01F8">
        <w:rPr>
          <w:rFonts w:ascii="Calibri" w:hAnsi="Calibri" w:cs="Calibri"/>
          <w:color w:val="FF0000"/>
          <w:lang w:val="en-GB"/>
        </w:rPr>
        <w:t xml:space="preserve">Abstract not before the very end. Only example of intro to abstract here </w:t>
      </w:r>
    </w:p>
    <w:p w14:paraId="0EEC8624" w14:textId="77777777" w:rsidR="001F01F8" w:rsidRPr="001F01F8" w:rsidRDefault="001F01F8" w:rsidP="001F01F8">
      <w:pPr>
        <w:pStyle w:val="VE1"/>
        <w:numPr>
          <w:ilvl w:val="0"/>
          <w:numId w:val="0"/>
        </w:numPr>
      </w:pPr>
    </w:p>
    <w:p w14:paraId="11CE14F1" w14:textId="0DEEB8E1" w:rsidR="001F01F8" w:rsidRDefault="001F01F8" w:rsidP="001E0525">
      <w:pPr>
        <w:pStyle w:val="VE1"/>
        <w:rPr>
          <w:lang w:val="en-GB"/>
        </w:rPr>
      </w:pPr>
      <w:r>
        <w:rPr>
          <w:lang w:val="en-GB"/>
        </w:rPr>
        <w:t>Introduction</w:t>
      </w:r>
    </w:p>
    <w:p w14:paraId="19C18305" w14:textId="1226ABC6" w:rsidR="00041BF4" w:rsidRDefault="00D13385" w:rsidP="00907FB7">
      <w:pPr>
        <w:pStyle w:val="NormalWeb"/>
        <w:spacing w:line="276" w:lineRule="auto"/>
        <w:rPr>
          <w:rFonts w:ascii="Calibri" w:hAnsi="Calibri" w:cs="Calibri"/>
          <w:color w:val="FF0000"/>
          <w:sz w:val="22"/>
          <w:lang w:val="en-GB"/>
        </w:rPr>
      </w:pPr>
      <w:r w:rsidRPr="00007F34">
        <w:rPr>
          <w:rFonts w:ascii="Calibri" w:hAnsi="Calibri" w:cs="Calibri"/>
          <w:color w:val="FF0000"/>
          <w:sz w:val="22"/>
          <w:lang w:val="en-GB"/>
        </w:rPr>
        <w:t xml:space="preserve">WHO -&gt; EU health law -&gt; antibiotic usage in production animal -&gt; AB can be given with a POS </w:t>
      </w:r>
      <w:proofErr w:type="spellStart"/>
      <w:r w:rsidRPr="00007F34">
        <w:rPr>
          <w:rFonts w:ascii="Calibri" w:hAnsi="Calibri" w:cs="Calibri"/>
          <w:color w:val="FF0000"/>
          <w:sz w:val="22"/>
          <w:lang w:val="en-GB"/>
        </w:rPr>
        <w:t>pcr</w:t>
      </w:r>
      <w:proofErr w:type="spellEnd"/>
      <w:r w:rsidRPr="00007F34">
        <w:rPr>
          <w:rFonts w:ascii="Calibri" w:hAnsi="Calibri" w:cs="Calibri"/>
          <w:color w:val="FF0000"/>
          <w:sz w:val="22"/>
          <w:lang w:val="en-GB"/>
        </w:rPr>
        <w:t xml:space="preserve"> test -&gt; false positive tests are </w:t>
      </w:r>
      <w:proofErr w:type="gramStart"/>
      <w:r w:rsidR="00374381" w:rsidRPr="00007F34">
        <w:rPr>
          <w:rFonts w:ascii="Calibri" w:hAnsi="Calibri" w:cs="Calibri"/>
          <w:color w:val="FF0000"/>
          <w:sz w:val="22"/>
          <w:lang w:val="en-GB"/>
        </w:rPr>
        <w:t xml:space="preserve">a </w:t>
      </w:r>
      <w:r w:rsidRPr="00007F34">
        <w:rPr>
          <w:rFonts w:ascii="Calibri" w:hAnsi="Calibri" w:cs="Calibri"/>
          <w:color w:val="FF0000"/>
          <w:sz w:val="22"/>
          <w:lang w:val="en-GB"/>
        </w:rPr>
        <w:t>majo</w:t>
      </w:r>
      <w:r w:rsidR="003F55E2">
        <w:rPr>
          <w:rFonts w:ascii="Calibri" w:hAnsi="Calibri" w:cs="Calibri"/>
          <w:color w:val="FF0000"/>
          <w:sz w:val="22"/>
          <w:lang w:val="en-GB"/>
        </w:rPr>
        <w:t>r</w:t>
      </w:r>
      <w:r w:rsidRPr="00007F34">
        <w:rPr>
          <w:rFonts w:ascii="Calibri" w:hAnsi="Calibri" w:cs="Calibri"/>
          <w:color w:val="FF0000"/>
          <w:sz w:val="22"/>
          <w:lang w:val="en-GB"/>
        </w:rPr>
        <w:t xml:space="preserve"> issues</w:t>
      </w:r>
      <w:proofErr w:type="gramEnd"/>
    </w:p>
    <w:p w14:paraId="5461E8EA" w14:textId="541A415C" w:rsidR="00041BF4" w:rsidRDefault="00041BF4" w:rsidP="00907FB7">
      <w:pPr>
        <w:pStyle w:val="NormalWeb"/>
        <w:spacing w:line="276" w:lineRule="auto"/>
        <w:rPr>
          <w:rFonts w:ascii="Calibri" w:hAnsi="Calibri" w:cs="Calibri"/>
          <w:color w:val="FF0000"/>
          <w:sz w:val="22"/>
          <w:lang w:val="en-GB"/>
        </w:rPr>
      </w:pPr>
      <w:r>
        <w:rPr>
          <w:rFonts w:ascii="Calibri" w:hAnsi="Calibri" w:cs="Calibri"/>
          <w:color w:val="FF0000"/>
          <w:sz w:val="22"/>
          <w:lang w:val="en-GB"/>
        </w:rPr>
        <w:t xml:space="preserve">NOTE TO SELF: Lactation phase </w:t>
      </w:r>
      <w:proofErr w:type="gramStart"/>
      <w:r>
        <w:rPr>
          <w:rFonts w:ascii="Calibri" w:hAnsi="Calibri" w:cs="Calibri"/>
          <w:color w:val="FF0000"/>
          <w:sz w:val="22"/>
          <w:lang w:val="en-GB"/>
        </w:rPr>
        <w:t xml:space="preserve">should also be 305 days based on </w:t>
      </w:r>
      <w:proofErr w:type="spellStart"/>
      <w:r>
        <w:rPr>
          <w:rFonts w:ascii="Calibri" w:hAnsi="Calibri" w:cs="Calibri"/>
          <w:color w:val="FF0000"/>
          <w:sz w:val="22"/>
          <w:lang w:val="en-GB"/>
        </w:rPr>
        <w:t>Wilminks</w:t>
      </w:r>
      <w:proofErr w:type="spellEnd"/>
      <w:r>
        <w:rPr>
          <w:rFonts w:ascii="Calibri" w:hAnsi="Calibri" w:cs="Calibri"/>
          <w:color w:val="FF0000"/>
          <w:sz w:val="22"/>
          <w:lang w:val="en-GB"/>
        </w:rPr>
        <w:t>, as this function is developed based</w:t>
      </w:r>
      <w:proofErr w:type="gramEnd"/>
      <w:r>
        <w:rPr>
          <w:rFonts w:ascii="Calibri" w:hAnsi="Calibri" w:cs="Calibri"/>
          <w:color w:val="FF0000"/>
          <w:sz w:val="22"/>
          <w:lang w:val="en-GB"/>
        </w:rPr>
        <w:t xml:space="preserve"> on a 305 days lactation phase (could eliminate some of the crazy outliers using this threshold)</w:t>
      </w:r>
    </w:p>
    <w:p w14:paraId="63E816D8" w14:textId="1E8D1E6F" w:rsidR="008A0359" w:rsidRPr="00007F34" w:rsidRDefault="008A0359" w:rsidP="00907FB7">
      <w:pPr>
        <w:pStyle w:val="NormalWeb"/>
        <w:spacing w:line="276" w:lineRule="auto"/>
        <w:rPr>
          <w:rFonts w:ascii="Calibri" w:hAnsi="Calibri" w:cs="Calibri"/>
          <w:color w:val="FF0000"/>
          <w:sz w:val="22"/>
          <w:lang w:val="en-GB"/>
        </w:rPr>
      </w:pPr>
      <w:r>
        <w:rPr>
          <w:rFonts w:ascii="Calibri" w:hAnsi="Calibri" w:cs="Calibri"/>
          <w:color w:val="FF0000"/>
          <w:sz w:val="22"/>
          <w:lang w:val="en-GB"/>
        </w:rPr>
        <w:t xml:space="preserve">Focus: SCC curves can be a tool for selection dairy cattle for treatment at dry-off. </w:t>
      </w:r>
    </w:p>
    <w:p w14:paraId="39A553CD" w14:textId="3073A584" w:rsidR="00A523D6" w:rsidRPr="00A523D6" w:rsidRDefault="000E63AE" w:rsidP="00907FB7">
      <w:pPr>
        <w:pStyle w:val="NormalWeb"/>
        <w:spacing w:line="276" w:lineRule="auto"/>
        <w:rPr>
          <w:rFonts w:ascii="Calibri" w:hAnsi="Calibri" w:cs="Calibri"/>
          <w:sz w:val="22"/>
          <w:lang w:val="en-GB"/>
        </w:rPr>
      </w:pPr>
      <w:r>
        <w:rPr>
          <w:rFonts w:ascii="Calibri" w:hAnsi="Calibri" w:cs="Calibri"/>
          <w:sz w:val="22"/>
          <w:lang w:val="en-GB"/>
        </w:rPr>
        <w:t>The increased antibiotic resistance poses a greater health risk for humans and animals</w:t>
      </w:r>
      <w:r w:rsidR="00BA30F8">
        <w:rPr>
          <w:rFonts w:ascii="Calibri" w:hAnsi="Calibri" w:cs="Calibri"/>
          <w:sz w:val="22"/>
          <w:lang w:val="en-GB"/>
        </w:rPr>
        <w:t xml:space="preserve"> </w:t>
      </w:r>
      <w:r w:rsidR="00BA30F8">
        <w:rPr>
          <w:rFonts w:ascii="Calibri" w:hAnsi="Calibri" w:cs="Calibri"/>
          <w:sz w:val="22"/>
          <w:lang w:val="en-GB"/>
        </w:rPr>
        <w:fldChar w:fldCharType="begin" w:fldLock="1"/>
      </w:r>
      <w:r w:rsidR="00A50D11">
        <w:rPr>
          <w:rFonts w:ascii="Calibri" w:hAnsi="Calibri" w:cs="Calibri"/>
          <w:sz w:val="22"/>
          <w:lang w:val="en-GB"/>
        </w:rPr>
        <w:instrText>ADDIN CSL_CITATION {"citationItems":[{"id":"ITEM-1","itemData":{"URL":"http://www.who.int/en/news-room/fact-sheets/detail/antimicrobial-resistance","abstract":"WHO - Antimicrobial resistance fact sheet 2018","accessed":{"date-parts":[["2018","6","6"]]},"author":[{"dropping-particle":"","family":"WHO","given":"","non-dropping-particle":"","parse-names":false,"suffix":""}],"id":"ITEM-1","issued":{"date-parts":[["2018"]]},"title":"WHO - Antimicrobial resistance","type":"webpage"},"uris":["http://www.mendeley.com/documents/?uuid=9332c883-a130-3b1d-a0a0-c58bc44fafdf"]}],"mendeley":{"formattedCitation":"(WHO, 2018)","plainTextFormattedCitation":"(WHO, 2018)","previouslyFormattedCitation":"(WHO, 2018)"},"properties":{"noteIndex":0},"schema":"https://github.com/citation-style-language/schema/raw/master/csl-citation.json"}</w:instrText>
      </w:r>
      <w:r w:rsidR="00BA30F8">
        <w:rPr>
          <w:rFonts w:ascii="Calibri" w:hAnsi="Calibri" w:cs="Calibri"/>
          <w:sz w:val="22"/>
          <w:lang w:val="en-GB"/>
        </w:rPr>
        <w:fldChar w:fldCharType="separate"/>
      </w:r>
      <w:r w:rsidR="00BA30F8" w:rsidRPr="00BA30F8">
        <w:rPr>
          <w:rFonts w:ascii="Calibri" w:hAnsi="Calibri" w:cs="Calibri"/>
          <w:noProof/>
          <w:sz w:val="22"/>
          <w:lang w:val="en-GB"/>
        </w:rPr>
        <w:t>(WHO, 2018)</w:t>
      </w:r>
      <w:r w:rsidR="00BA30F8">
        <w:rPr>
          <w:rFonts w:ascii="Calibri" w:hAnsi="Calibri" w:cs="Calibri"/>
          <w:sz w:val="22"/>
          <w:lang w:val="en-GB"/>
        </w:rPr>
        <w:fldChar w:fldCharType="end"/>
      </w:r>
      <w:r w:rsidR="00B719FF">
        <w:rPr>
          <w:rFonts w:ascii="Calibri" w:hAnsi="Calibri" w:cs="Calibri"/>
          <w:sz w:val="22"/>
          <w:lang w:val="en-GB"/>
        </w:rPr>
        <w:t xml:space="preserve">, </w:t>
      </w:r>
      <w:r w:rsidR="00C23CA1">
        <w:rPr>
          <w:rFonts w:ascii="Calibri" w:hAnsi="Calibri" w:cs="Calibri"/>
          <w:sz w:val="22"/>
          <w:lang w:val="en-GB"/>
        </w:rPr>
        <w:t>why</w:t>
      </w:r>
      <w:r w:rsidR="00A523D6" w:rsidRPr="00907FB7">
        <w:rPr>
          <w:rFonts w:ascii="Calibri" w:hAnsi="Calibri" w:cs="Calibri"/>
          <w:sz w:val="22"/>
          <w:lang w:val="en-GB"/>
        </w:rPr>
        <w:t xml:space="preserve"> </w:t>
      </w:r>
      <w:r>
        <w:rPr>
          <w:rFonts w:ascii="Calibri" w:hAnsi="Calibri" w:cs="Calibri"/>
          <w:sz w:val="22"/>
          <w:lang w:val="en-GB"/>
        </w:rPr>
        <w:t xml:space="preserve">in food production, </w:t>
      </w:r>
      <w:r w:rsidR="00A523D6" w:rsidRPr="00907FB7">
        <w:rPr>
          <w:rFonts w:ascii="Calibri" w:hAnsi="Calibri" w:cs="Calibri"/>
          <w:sz w:val="22"/>
          <w:lang w:val="en-GB"/>
        </w:rPr>
        <w:t>efforts should be made to reduce anti</w:t>
      </w:r>
      <w:r w:rsidR="00194B2C">
        <w:rPr>
          <w:rFonts w:ascii="Calibri" w:hAnsi="Calibri" w:cs="Calibri"/>
          <w:sz w:val="22"/>
          <w:lang w:val="en-GB"/>
        </w:rPr>
        <w:t xml:space="preserve">biotic </w:t>
      </w:r>
      <w:r>
        <w:rPr>
          <w:rFonts w:ascii="Calibri" w:hAnsi="Calibri" w:cs="Calibri"/>
          <w:sz w:val="22"/>
          <w:lang w:val="en-GB"/>
        </w:rPr>
        <w:t>usage</w:t>
      </w:r>
      <w:r w:rsidR="00194B2C">
        <w:rPr>
          <w:rFonts w:ascii="Calibri" w:hAnsi="Calibri" w:cs="Calibri"/>
          <w:sz w:val="22"/>
          <w:lang w:val="en-GB"/>
        </w:rPr>
        <w:t xml:space="preserve"> </w:t>
      </w:r>
      <w:r w:rsidR="00A523D6" w:rsidRPr="00907FB7">
        <w:rPr>
          <w:rFonts w:ascii="Calibri" w:hAnsi="Calibri" w:cs="Calibri"/>
          <w:sz w:val="22"/>
          <w:lang w:val="en-GB"/>
        </w:rPr>
        <w:t>without affecting animal welfare and food safety</w:t>
      </w:r>
      <w:r w:rsidR="00C23CA1">
        <w:rPr>
          <w:rFonts w:ascii="Calibri" w:hAnsi="Calibri" w:cs="Calibri"/>
          <w:sz w:val="22"/>
          <w:lang w:val="en-GB"/>
        </w:rPr>
        <w:t>.</w:t>
      </w:r>
      <w:r w:rsidR="00194B2C">
        <w:rPr>
          <w:rFonts w:ascii="Calibri" w:hAnsi="Calibri" w:cs="Calibri"/>
          <w:sz w:val="22"/>
          <w:lang w:val="en-GB"/>
        </w:rPr>
        <w:t xml:space="preserve"> </w:t>
      </w:r>
      <w:r w:rsidR="00593B6E">
        <w:rPr>
          <w:rFonts w:ascii="Calibri" w:hAnsi="Calibri" w:cs="Calibri"/>
          <w:sz w:val="22"/>
          <w:lang w:val="en-GB"/>
        </w:rPr>
        <w:t>This is also in</w:t>
      </w:r>
      <w:r w:rsidR="00C057D7" w:rsidRPr="00907FB7">
        <w:rPr>
          <w:rFonts w:ascii="Calibri" w:hAnsi="Calibri" w:cs="Calibri"/>
          <w:sz w:val="22"/>
          <w:lang w:val="en-GB"/>
        </w:rPr>
        <w:t xml:space="preserve"> focus of the EU Animal Health Law from 2016 </w:t>
      </w:r>
      <w:r w:rsidR="00C057D7" w:rsidRPr="00907FB7">
        <w:rPr>
          <w:rFonts w:ascii="Calibri" w:hAnsi="Calibri" w:cs="Calibri"/>
          <w:sz w:val="22"/>
          <w:lang w:val="en-GB"/>
        </w:rPr>
        <w:fldChar w:fldCharType="begin" w:fldLock="1"/>
      </w:r>
      <w:r w:rsidR="00C057D7" w:rsidRPr="00907FB7">
        <w:rPr>
          <w:rFonts w:ascii="Calibri" w:hAnsi="Calibri" w:cs="Calibri"/>
          <w:sz w:val="22"/>
          <w:lang w:val="en-GB"/>
        </w:rPr>
        <w:instrText>ADDIN CSL_CITATION {"citationItems":[{"id":"ITEM-1","itemData":{"author":[{"dropping-particle":"","family":"EU","given":"","non-dropping-particle":"","parse-names":false,"suffix":""}],"id":"ITEM-1","issued":{"date-parts":[["2016"]]},"title":"Animal Health Law 2016","type":"article-journal"},"uris":["http://www.mendeley.com/documents/?uuid=a51ae1f2-98d5-3dd4-9add-6010000e5030"]}],"mendeley":{"formattedCitation":"(EU, 2016)","plainTextFormattedCitation":"(EU, 2016)","previouslyFormattedCitation":"(EU, 2016)"},"properties":{"noteIndex":0},"schema":"https://github.com/citation-style-language/schema/raw/master/csl-citation.json"}</w:instrText>
      </w:r>
      <w:r w:rsidR="00C057D7" w:rsidRPr="00907FB7">
        <w:rPr>
          <w:rFonts w:ascii="Calibri" w:hAnsi="Calibri" w:cs="Calibri"/>
          <w:sz w:val="22"/>
          <w:lang w:val="en-GB"/>
        </w:rPr>
        <w:fldChar w:fldCharType="separate"/>
      </w:r>
      <w:r w:rsidR="00C057D7" w:rsidRPr="00907FB7">
        <w:rPr>
          <w:rFonts w:ascii="Calibri" w:hAnsi="Calibri" w:cs="Calibri"/>
          <w:noProof/>
          <w:sz w:val="22"/>
          <w:lang w:val="en-GB"/>
        </w:rPr>
        <w:t>(EU, 2016)</w:t>
      </w:r>
      <w:r w:rsidR="00C057D7" w:rsidRPr="00907FB7">
        <w:rPr>
          <w:rFonts w:ascii="Calibri" w:hAnsi="Calibri" w:cs="Calibri"/>
          <w:sz w:val="22"/>
          <w:lang w:val="en-GB"/>
        </w:rPr>
        <w:fldChar w:fldCharType="end"/>
      </w:r>
      <w:r w:rsidR="00194B2C">
        <w:rPr>
          <w:rFonts w:ascii="Calibri" w:hAnsi="Calibri" w:cs="Calibri"/>
          <w:sz w:val="22"/>
          <w:lang w:val="en-GB"/>
        </w:rPr>
        <w:t>, t</w:t>
      </w:r>
      <w:r w:rsidR="00B719FF">
        <w:rPr>
          <w:rFonts w:ascii="Calibri" w:hAnsi="Calibri" w:cs="Calibri"/>
          <w:sz w:val="22"/>
          <w:lang w:val="en-GB"/>
        </w:rPr>
        <w:t>hus</w:t>
      </w:r>
      <w:r w:rsidR="00C057D7" w:rsidRPr="00907FB7">
        <w:rPr>
          <w:rFonts w:ascii="Calibri" w:hAnsi="Calibri" w:cs="Calibri"/>
          <w:sz w:val="22"/>
          <w:lang w:val="en-GB"/>
        </w:rPr>
        <w:t xml:space="preserve"> longevity </w:t>
      </w:r>
      <w:r w:rsidR="00A523D6">
        <w:rPr>
          <w:rFonts w:ascii="Calibri" w:hAnsi="Calibri" w:cs="Calibri"/>
          <w:sz w:val="22"/>
          <w:lang w:val="en-GB"/>
        </w:rPr>
        <w:t>is required</w:t>
      </w:r>
      <w:r w:rsidR="00C057D7" w:rsidRPr="00907FB7">
        <w:rPr>
          <w:rFonts w:ascii="Calibri" w:hAnsi="Calibri" w:cs="Calibri"/>
          <w:sz w:val="22"/>
          <w:lang w:val="en-GB"/>
        </w:rPr>
        <w:t>, but not at the cost of increased antibiotic consumption or untreated diseases in the animals.</w:t>
      </w:r>
    </w:p>
    <w:p w14:paraId="51AF3AF9" w14:textId="3E8EBF4E" w:rsidR="00C057D7" w:rsidRPr="00907FB7" w:rsidRDefault="00C057D7" w:rsidP="00907FB7">
      <w:pPr>
        <w:pStyle w:val="NormalWeb"/>
        <w:spacing w:line="276" w:lineRule="auto"/>
        <w:rPr>
          <w:rFonts w:ascii="Calibri" w:hAnsi="Calibri" w:cs="Calibri"/>
          <w:sz w:val="22"/>
          <w:lang w:val="en-GB"/>
        </w:rPr>
      </w:pPr>
      <w:r w:rsidRPr="00907FB7">
        <w:rPr>
          <w:rFonts w:ascii="Calibri" w:hAnsi="Calibri" w:cs="Calibri"/>
          <w:sz w:val="22"/>
          <w:lang w:val="en-GB"/>
        </w:rPr>
        <w:t>In dairy cattle, most of the antibiotic consumption is due to intramammary infections (IMI)</w:t>
      </w:r>
      <w:r w:rsidR="00F90C63">
        <w:rPr>
          <w:rFonts w:ascii="Calibri" w:hAnsi="Calibri" w:cs="Calibri"/>
          <w:sz w:val="22"/>
          <w:lang w:val="en-GB"/>
        </w:rPr>
        <w:t xml:space="preserve"> </w:t>
      </w:r>
      <w:r w:rsidR="00F90C63" w:rsidRPr="00F90C63">
        <w:rPr>
          <w:rFonts w:ascii="Calibri" w:hAnsi="Calibri" w:cs="Calibri"/>
          <w:color w:val="FF0000"/>
          <w:sz w:val="22"/>
          <w:lang w:val="en-GB"/>
        </w:rPr>
        <w:t>(references needed)</w:t>
      </w:r>
      <w:r w:rsidRPr="00F90C63">
        <w:rPr>
          <w:rFonts w:ascii="Calibri" w:hAnsi="Calibri" w:cs="Calibri"/>
          <w:color w:val="FF0000"/>
          <w:sz w:val="22"/>
          <w:lang w:val="en-GB"/>
        </w:rPr>
        <w:t xml:space="preserve">, </w:t>
      </w:r>
      <w:r w:rsidRPr="00907FB7">
        <w:rPr>
          <w:rFonts w:ascii="Calibri" w:hAnsi="Calibri" w:cs="Calibri"/>
          <w:sz w:val="22"/>
          <w:lang w:val="en-GB"/>
        </w:rPr>
        <w:t>w</w:t>
      </w:r>
      <w:r w:rsidR="00B719FF">
        <w:rPr>
          <w:rFonts w:ascii="Calibri" w:hAnsi="Calibri" w:cs="Calibri"/>
          <w:sz w:val="22"/>
          <w:lang w:val="en-GB"/>
        </w:rPr>
        <w:t>hich is routinely monitored</w:t>
      </w:r>
      <w:r w:rsidRPr="00907FB7">
        <w:rPr>
          <w:rFonts w:ascii="Calibri" w:hAnsi="Calibri" w:cs="Calibri"/>
          <w:sz w:val="22"/>
          <w:lang w:val="en-GB"/>
        </w:rPr>
        <w:t xml:space="preserve"> vi</w:t>
      </w:r>
      <w:r w:rsidR="00B719FF">
        <w:rPr>
          <w:rFonts w:ascii="Calibri" w:hAnsi="Calibri" w:cs="Calibri"/>
          <w:sz w:val="22"/>
          <w:lang w:val="en-GB"/>
        </w:rPr>
        <w:t>a cell count measurements in</w:t>
      </w:r>
      <w:r w:rsidRPr="00907FB7">
        <w:rPr>
          <w:rFonts w:ascii="Calibri" w:hAnsi="Calibri" w:cs="Calibri"/>
          <w:sz w:val="22"/>
          <w:lang w:val="en-GB"/>
        </w:rPr>
        <w:t xml:space="preserve"> milk</w:t>
      </w:r>
      <w:r w:rsidR="00B719FF">
        <w:rPr>
          <w:rFonts w:ascii="Calibri" w:hAnsi="Calibri" w:cs="Calibri"/>
          <w:sz w:val="22"/>
          <w:lang w:val="en-GB"/>
        </w:rPr>
        <w:t xml:space="preserve"> samples</w:t>
      </w:r>
      <w:r w:rsidRPr="00907FB7">
        <w:rPr>
          <w:rFonts w:ascii="Calibri" w:hAnsi="Calibri" w:cs="Calibri"/>
          <w:sz w:val="22"/>
          <w:lang w:val="en-GB"/>
        </w:rPr>
        <w:t xml:space="preserve">. IMI is hard to control and affect milk production and animal welfare, thus not desirable in the herd </w:t>
      </w:r>
      <w:r w:rsidRPr="00907FB7">
        <w:rPr>
          <w:rFonts w:ascii="Calibri" w:hAnsi="Calibri" w:cs="Calibri"/>
          <w:sz w:val="22"/>
          <w:lang w:val="en-GB"/>
        </w:rPr>
        <w:fldChar w:fldCharType="begin" w:fldLock="1"/>
      </w:r>
      <w:r w:rsidRPr="00907FB7">
        <w:rPr>
          <w:rFonts w:ascii="Calibri" w:hAnsi="Calibri" w:cs="Calibri"/>
          <w:sz w:val="22"/>
          <w:lang w:val="en-GB"/>
        </w:rPr>
        <w:instrText>ADDIN CSL_CITATION {"citationItems":[{"id":"ITEM-1","itemData":{"DOI":"10.1080/01652176.2007.9695224","ISSN":"18755941","abstract":"Several studies have been published since 1990 on the economics of mastitis and mastitis management. However, hardly any of these studies has discussed the consistency of results with other studies. In the present paper, the economic factors associated with mastitis are explained, providing a framework for economic analysis. As a second step calculations of the costs of mastitis and the costs in relation to the benefits of mastitis management published since 1990 in peer-reviewed journals are extensively reviewed and analysed. The result shows a large variation in the calculated costs and benefits of mastitis and mastitis management between the different studies. Moreover, it is clear that important factors were ignored in some of the studies. The framework provided in this paper can provide a basis for analysis for future studies on the economics of mastitis and mastitis management. © 2007 by The Haworth Press, Inc. All rights reserved. © 2007 Taylor &amp; Francis.","author":[{"dropping-particle":"","family":"Halasa","given":"T.","non-dropping-particle":"","parse-names":false,"suffix":""},{"dropping-particle":"","family":"Huijps","given":"K.","non-dropping-particle":"","parse-names":false,"suffix":""},{"dropping-particle":"","family":"Østerås","given":"O.","non-dropping-particle":"","parse-names":false,"suffix":""},{"dropping-particle":"","family":"Hogeveen","given":"H.","non-dropping-particle":"","parse-names":false,"suffix":""}],"container-title":"Veterinary Quarterly","id":"ITEM-1","issue":"1","issued":{"date-parts":[["2007"]]},"page":"18-31","title":"Economic effects of bovine mastitis and mastitis management: A review","type":"article-journal","volume":"29"},"uris":["http://www.mendeley.com/documents/?uuid=8c940710-1118-3a72-b2a9-97d646690f11"]}],"mendeley":{"formattedCitation":"(Halasa et al., 2007)","plainTextFormattedCitation":"(Halasa et al., 2007)","previouslyFormattedCitation":"(Halasa et al., 2007)"},"properties":{"noteIndex":0},"schema":"https://github.com/citation-style-language/schema/raw/master/csl-citation.json"}</w:instrText>
      </w:r>
      <w:r w:rsidRPr="00907FB7">
        <w:rPr>
          <w:rFonts w:ascii="Calibri" w:hAnsi="Calibri" w:cs="Calibri"/>
          <w:sz w:val="22"/>
          <w:lang w:val="en-GB"/>
        </w:rPr>
        <w:fldChar w:fldCharType="separate"/>
      </w:r>
      <w:r w:rsidRPr="00907FB7">
        <w:rPr>
          <w:rFonts w:ascii="Calibri" w:hAnsi="Calibri" w:cs="Calibri"/>
          <w:noProof/>
          <w:sz w:val="22"/>
          <w:lang w:val="en-GB"/>
        </w:rPr>
        <w:t>(Halasa et al., 2007)</w:t>
      </w:r>
      <w:r w:rsidRPr="00907FB7">
        <w:rPr>
          <w:rFonts w:ascii="Calibri" w:hAnsi="Calibri" w:cs="Calibri"/>
          <w:sz w:val="22"/>
          <w:lang w:val="en-GB"/>
        </w:rPr>
        <w:fldChar w:fldCharType="end"/>
      </w:r>
      <w:r w:rsidRPr="00907FB7">
        <w:rPr>
          <w:rFonts w:ascii="Calibri" w:hAnsi="Calibri" w:cs="Calibri"/>
          <w:sz w:val="22"/>
          <w:lang w:val="en-GB"/>
        </w:rPr>
        <w:t xml:space="preserve"> </w:t>
      </w:r>
      <w:r w:rsidRPr="00907FB7">
        <w:rPr>
          <w:rFonts w:ascii="Calibri" w:hAnsi="Calibri" w:cs="Calibri"/>
          <w:sz w:val="22"/>
          <w:lang w:val="en-GB"/>
        </w:rPr>
        <w:fldChar w:fldCharType="begin" w:fldLock="1"/>
      </w:r>
      <w:r w:rsidRPr="00907FB7">
        <w:rPr>
          <w:rFonts w:ascii="Calibri" w:hAnsi="Calibri" w:cs="Calibri"/>
          <w:sz w:val="22"/>
          <w:lang w:val="en-GB"/>
        </w:rPr>
        <w:instrText>ADDIN CSL_CITATION {"citationItems":[{"id":"ITEM-1","itemData":{"DOI":"10.3168/jds.2009-3030","abstract":"This study determined the direct and indirect epide-miologic and economic effects of lactational treatment of new bovine subclinical intramammary infections (IMI) caused by contagious pathogens using an existing bioeconomic model. The dynamic and stochastic model simulated the dynamics of Staphylococcus aureus, Streptococcus uberis, Streptococcus dysgalactiae, and Escherichia coli during lactation and the dry period in a 100-cow dairy herd during 1 quota year. Input parameters on cure were obtained from recent Dutch field data. The costs of clinical IMI, subclinical IMI, and intervention were calculated into the combined total annual net costs of IMI per herd. The cost effectiveness of 4 scenarios with lactational intervention was determined ; scenarios included no intervention, treatment after 1 mo of infection, treatment after 2 mo of infection , and treatment after 1 mo of infection and culling of uncured cows after 2 mo of infection. Model behavior was observed for variation in parameter input values. Compared with no lactational intervention, lactational intervention of new subclinical IMI resulted in fewer clinical flare ups, less transmission within the herd, and much lower combined total annual net costs of IMI in dairy herds. Antimicrobial treatment of IMI after 1 mo of infection and culling of uncured cows after 2 mo of infection resulted in the lowest costs, whereas treatment after 2 mo of infection was associated with the highest costs between the scenarios with intervention. Changing the probability of cure resulted in a nonlinear change in the cumulative incidence of IMI cases and associated costs. Lactational treatment was able to prevent IMI epidemics in dairy herds at high transmission rates of Strep. uberis, Strep. dysgalactiae, and E. coli. Lactational treatment did not limit the spread of Staph. aureus at high transmission rates, although the associated costs were lower compared with no intervention. To improve udder health in a dairy herd, lac-tational treatment of contagious subclinical IMI must therefore be preceded by management measures that lower the transmission rate. Lactational treatment of environmental subclinical IMI seemed less cost effective. Detection of subclinical IMI needs improvement to be able to most effectively treat subclinical IMI caused by contagious pathogens during lactation.","author":[{"dropping-particle":"","family":"P van den Borne","given":"B H","non-dropping-particle":"","parse-names":false,"suffix":""},{"dropping-particle":"","family":"Halasa","given":"T","non-dropping-particle":"","parse-names":false,"suffix":""},{"dropping-particle":"","family":"Schaik","given":"G","non-dropping-particle":"van","parse-names":false,"suffix":""},{"dropping-particle":"","family":"Hogeveen","given":"H","non-dropping-particle":"","parse-names":false,"suffix":""},{"dropping-particle":"","family":"Nielen","given":"M","non-dropping-particle":"","parse-names":false,"suffix":""}],"container-title":"Journal of Dairy Science","id":"ITEM-1","issued":{"date-parts":[["2010"]]},"page":"4034-4044","title":"Bioeconomic modeling of lactational antimicrobial treatment of new bovine subclinical intramammary infections caused by contagious pathogens","type":"article-journal","volume":"93"},"uris":["http://www.mendeley.com/documents/?uuid=ae176b5c-c385-3f76-a1d6-f74dd10b8150"]}],"mendeley":{"formattedCitation":"(P van den Borne et al., 2010)","plainTextFormattedCitation":"(P van den Borne et al., 2010)","previouslyFormattedCitation":"(P van den Borne et al., 2010)"},"properties":{"noteIndex":0},"schema":"https://github.com/citation-style-language/schema/raw/master/csl-citation.json"}</w:instrText>
      </w:r>
      <w:r w:rsidRPr="00907FB7">
        <w:rPr>
          <w:rFonts w:ascii="Calibri" w:hAnsi="Calibri" w:cs="Calibri"/>
          <w:sz w:val="22"/>
          <w:lang w:val="en-GB"/>
        </w:rPr>
        <w:fldChar w:fldCharType="separate"/>
      </w:r>
      <w:r w:rsidRPr="00907FB7">
        <w:rPr>
          <w:rFonts w:ascii="Calibri" w:hAnsi="Calibri" w:cs="Calibri"/>
          <w:noProof/>
          <w:sz w:val="22"/>
          <w:lang w:val="en-GB"/>
        </w:rPr>
        <w:t>(P van den Borne et al., 2010)</w:t>
      </w:r>
      <w:r w:rsidRPr="00907FB7">
        <w:rPr>
          <w:rFonts w:ascii="Calibri" w:hAnsi="Calibri" w:cs="Calibri"/>
          <w:sz w:val="22"/>
          <w:lang w:val="en-GB"/>
        </w:rPr>
        <w:fldChar w:fldCharType="end"/>
      </w:r>
      <w:r w:rsidRPr="00907FB7">
        <w:rPr>
          <w:rFonts w:ascii="Calibri" w:hAnsi="Calibri" w:cs="Calibri"/>
          <w:sz w:val="22"/>
          <w:lang w:val="en-GB"/>
        </w:rPr>
        <w:t xml:space="preserve">. One way to address IMI is during the dry off period in the dairy cow’s lactation circle, where antibiotic treatment is possible if justified by e.g. a positive PCR test for one or more of the four major pathogens causing IMI </w:t>
      </w:r>
      <w:r w:rsidRPr="00907FB7">
        <w:rPr>
          <w:rFonts w:ascii="Calibri" w:hAnsi="Calibri" w:cs="Calibri"/>
          <w:sz w:val="22"/>
          <w:lang w:val="en-GB"/>
        </w:rPr>
        <w:fldChar w:fldCharType="begin" w:fldLock="1"/>
      </w:r>
      <w:r w:rsidRPr="00907FB7">
        <w:rPr>
          <w:rFonts w:ascii="Calibri" w:hAnsi="Calibri" w:cs="Calibri"/>
          <w:sz w:val="22"/>
          <w:lang w:val="en-GB"/>
        </w:rPr>
        <w:instrText>ADDIN CSL_CITATION {"citationItems":[{"id":"ITEM-1","itemData":{"abstract":"Retningslinjer for brug af antibiotika ved goldning af malkekøer Disse retningslinjer er udarbejdet i et samarbejde mellem: SEGES Kvaeg Århus Universitet KU-SUND Den Danske Dyrlaegeforening","author":[{"dropping-particle":"","family":"SEGES","given":"","non-dropping-particle":"","parse-names":false,"suffix":""},{"dropping-particle":"","family":"AU","given":"","non-dropping-particle":"","parse-names":false,"suffix":""},{"dropping-particle":"","family":"KU-SUND","given":"","non-dropping-particle":"","parse-names":false,"suffix":""},{"dropping-particle":"","family":"Danske Dyrlægeforening","given":"","non-dropping-particle":"Den","parse-names":false,"suffix":""}],"id":"ITEM-1","issued":{"date-parts":[["2015"]]},"title":"SEGES antibiotic usage","type":"report"},"uris":["http://www.mendeley.com/documents/?uuid=0d115b16-f82b-3900-9791-63773bbbeda1"]}],"mendeley":{"formattedCitation":"(SEGES et al., 2015)","plainTextFormattedCitation":"(SEGES et al., 2015)","previouslyFormattedCitation":"(SEGES et al., 2015)"},"properties":{"noteIndex":0},"schema":"https://github.com/citation-style-language/schema/raw/master/csl-citation.json"}</w:instrText>
      </w:r>
      <w:r w:rsidRPr="00907FB7">
        <w:rPr>
          <w:rFonts w:ascii="Calibri" w:hAnsi="Calibri" w:cs="Calibri"/>
          <w:sz w:val="22"/>
          <w:lang w:val="en-GB"/>
        </w:rPr>
        <w:fldChar w:fldCharType="separate"/>
      </w:r>
      <w:r w:rsidRPr="00907FB7">
        <w:rPr>
          <w:rFonts w:ascii="Calibri" w:hAnsi="Calibri" w:cs="Calibri"/>
          <w:noProof/>
          <w:sz w:val="22"/>
          <w:lang w:val="en-GB"/>
        </w:rPr>
        <w:t>(SEGES et al., 2015)</w:t>
      </w:r>
      <w:r w:rsidRPr="00907FB7">
        <w:rPr>
          <w:rFonts w:ascii="Calibri" w:hAnsi="Calibri" w:cs="Calibri"/>
          <w:sz w:val="22"/>
          <w:lang w:val="en-GB"/>
        </w:rPr>
        <w:fldChar w:fldCharType="end"/>
      </w:r>
      <w:r w:rsidRPr="00907FB7">
        <w:rPr>
          <w:rFonts w:ascii="Calibri" w:hAnsi="Calibri" w:cs="Calibri"/>
          <w:sz w:val="22"/>
          <w:lang w:val="en-GB"/>
        </w:rPr>
        <w:t>. However, PCR tests are expensive and the chance for a false positive test, mainly due to contamination of th</w:t>
      </w:r>
      <w:r w:rsidR="00EA70AA">
        <w:rPr>
          <w:rFonts w:ascii="Calibri" w:hAnsi="Calibri" w:cs="Calibri"/>
          <w:sz w:val="22"/>
          <w:lang w:val="en-GB"/>
        </w:rPr>
        <w:t xml:space="preserve">e test, should not be neglected </w:t>
      </w:r>
      <w:r w:rsidR="00EA70AA" w:rsidRPr="00EA70AA">
        <w:rPr>
          <w:rFonts w:ascii="Calibri" w:hAnsi="Calibri" w:cs="Calibri"/>
          <w:color w:val="FF0000"/>
          <w:sz w:val="22"/>
          <w:lang w:val="en-GB"/>
        </w:rPr>
        <w:t>(references needed)</w:t>
      </w:r>
      <w:r w:rsidR="00EA70AA">
        <w:rPr>
          <w:rFonts w:ascii="Calibri" w:hAnsi="Calibri" w:cs="Calibri"/>
          <w:sz w:val="22"/>
          <w:lang w:val="en-GB"/>
        </w:rPr>
        <w:t>.</w:t>
      </w:r>
    </w:p>
    <w:p w14:paraId="790C5AE6" w14:textId="533D5D75" w:rsidR="001823F5" w:rsidRDefault="00C057D7" w:rsidP="00907FB7">
      <w:pPr>
        <w:spacing w:after="120" w:line="276" w:lineRule="auto"/>
        <w:rPr>
          <w:rFonts w:ascii="Calibri" w:hAnsi="Calibri" w:cs="Calibri"/>
          <w:lang w:val="en-GB"/>
        </w:rPr>
      </w:pPr>
      <w:r>
        <w:rPr>
          <w:rFonts w:ascii="Calibri" w:hAnsi="Calibri" w:cs="Calibri"/>
          <w:lang w:val="en-GB"/>
        </w:rPr>
        <w:t>B</w:t>
      </w:r>
      <w:r w:rsidRPr="009905A5">
        <w:rPr>
          <w:rFonts w:ascii="Calibri" w:hAnsi="Calibri" w:cs="Calibri"/>
          <w:lang w:val="en-GB"/>
        </w:rPr>
        <w:t xml:space="preserve">y analysing routinely recorded data, including the then calculated </w:t>
      </w:r>
      <w:r w:rsidR="007E08D6" w:rsidRPr="009905A5">
        <w:rPr>
          <w:rFonts w:ascii="Calibri" w:hAnsi="Calibri" w:cs="Calibri"/>
          <w:lang w:val="en-GB"/>
        </w:rPr>
        <w:t>infection</w:t>
      </w:r>
      <w:r w:rsidR="007E08D6" w:rsidRPr="008A0359">
        <w:rPr>
          <w:rFonts w:ascii="Calibri" w:hAnsi="Calibri" w:cs="Calibri"/>
          <w:lang w:val="en-GB"/>
        </w:rPr>
        <w:t>;</w:t>
      </w:r>
      <w:r w:rsidRPr="008A0359">
        <w:rPr>
          <w:rFonts w:ascii="Calibri" w:hAnsi="Calibri" w:cs="Calibri"/>
          <w:lang w:val="en-GB"/>
        </w:rPr>
        <w:t xml:space="preserve"> </w:t>
      </w:r>
      <w:r w:rsidRPr="007E08D6">
        <w:rPr>
          <w:rFonts w:ascii="Calibri" w:hAnsi="Calibri" w:cs="Calibri"/>
          <w:color w:val="FF0000"/>
          <w:lang w:val="en-GB"/>
        </w:rPr>
        <w:t xml:space="preserve">dairy cattle </w:t>
      </w:r>
      <w:proofErr w:type="gramStart"/>
      <w:r w:rsidRPr="007E08D6">
        <w:rPr>
          <w:rFonts w:ascii="Calibri" w:hAnsi="Calibri" w:cs="Calibri"/>
          <w:color w:val="FF0000"/>
          <w:lang w:val="en-GB"/>
        </w:rPr>
        <w:t>can be selected</w:t>
      </w:r>
      <w:proofErr w:type="gramEnd"/>
      <w:r w:rsidRPr="007E08D6">
        <w:rPr>
          <w:rFonts w:ascii="Calibri" w:hAnsi="Calibri" w:cs="Calibri"/>
          <w:color w:val="FF0000"/>
          <w:lang w:val="en-GB"/>
        </w:rPr>
        <w:t xml:space="preserve"> for antibiotic treatments at dry-off</w:t>
      </w:r>
      <w:r w:rsidRPr="008A0359">
        <w:rPr>
          <w:rFonts w:ascii="Calibri" w:hAnsi="Calibri" w:cs="Calibri"/>
          <w:lang w:val="en-GB"/>
        </w:rPr>
        <w:t xml:space="preserve">. As the infection rate </w:t>
      </w:r>
      <w:proofErr w:type="gramStart"/>
      <w:r w:rsidRPr="008A0359">
        <w:rPr>
          <w:rFonts w:ascii="Calibri" w:hAnsi="Calibri" w:cs="Calibri"/>
          <w:lang w:val="en-GB"/>
        </w:rPr>
        <w:t>is reflected</w:t>
      </w:r>
      <w:proofErr w:type="gramEnd"/>
      <w:r w:rsidRPr="008A0359">
        <w:rPr>
          <w:rFonts w:ascii="Calibri" w:hAnsi="Calibri" w:cs="Calibri"/>
          <w:lang w:val="en-GB"/>
        </w:rPr>
        <w:t xml:space="preserve"> by the routinely recorded somatic cell count (SCC)</w:t>
      </w:r>
      <w:r w:rsidR="007637DB" w:rsidRPr="008A0359">
        <w:rPr>
          <w:rFonts w:ascii="Calibri" w:hAnsi="Calibri" w:cs="Calibri"/>
          <w:lang w:val="en-GB"/>
        </w:rPr>
        <w:t xml:space="preserve"> (</w:t>
      </w:r>
      <w:r w:rsidR="007637DB" w:rsidRPr="00483B19">
        <w:rPr>
          <w:rFonts w:ascii="Calibri" w:hAnsi="Calibri" w:cs="Calibri"/>
          <w:color w:val="FF0000"/>
          <w:lang w:val="en-GB"/>
        </w:rPr>
        <w:t>reference needed</w:t>
      </w:r>
      <w:r w:rsidR="007637DB" w:rsidRPr="008A0359">
        <w:rPr>
          <w:rFonts w:ascii="Calibri" w:hAnsi="Calibri" w:cs="Calibri"/>
          <w:lang w:val="en-GB"/>
        </w:rPr>
        <w:t>)</w:t>
      </w:r>
      <w:r w:rsidRPr="008A0359">
        <w:rPr>
          <w:rFonts w:ascii="Calibri" w:hAnsi="Calibri" w:cs="Calibri"/>
          <w:lang w:val="en-GB"/>
        </w:rPr>
        <w:t xml:space="preserve">, investigations of what affect the SCC level must be carried </w:t>
      </w:r>
      <w:r w:rsidR="008A0359" w:rsidRPr="008A0359">
        <w:rPr>
          <w:rFonts w:ascii="Calibri" w:hAnsi="Calibri" w:cs="Calibri"/>
          <w:lang w:val="en-GB"/>
        </w:rPr>
        <w:t>out.</w:t>
      </w:r>
    </w:p>
    <w:p w14:paraId="15B5C9D9" w14:textId="439FE993" w:rsidR="00C057D7" w:rsidRPr="00C300FF" w:rsidRDefault="00C300FF" w:rsidP="00907FB7">
      <w:pPr>
        <w:spacing w:after="120" w:line="276" w:lineRule="auto"/>
        <w:rPr>
          <w:rFonts w:ascii="Calibri" w:hAnsi="Calibri" w:cs="Calibri"/>
          <w:color w:val="FF0000"/>
          <w:lang w:val="en-GB"/>
        </w:rPr>
      </w:pPr>
      <w:r w:rsidRPr="00C300FF">
        <w:rPr>
          <w:rFonts w:ascii="Calibri" w:hAnsi="Calibri" w:cs="Calibri"/>
          <w:b/>
          <w:color w:val="FF0000"/>
          <w:lang w:val="en-GB"/>
        </w:rPr>
        <w:lastRenderedPageBreak/>
        <w:t xml:space="preserve">Rewrite the following to fit with the curves: </w:t>
      </w:r>
      <w:r w:rsidR="00A54986" w:rsidRPr="00C300FF">
        <w:rPr>
          <w:rFonts w:ascii="Calibri" w:hAnsi="Calibri" w:cs="Calibri"/>
          <w:b/>
          <w:color w:val="FF0000"/>
          <w:lang w:val="en-GB"/>
        </w:rPr>
        <w:t>The</w:t>
      </w:r>
      <w:r w:rsidR="00A54986" w:rsidRPr="00C300FF">
        <w:rPr>
          <w:rFonts w:ascii="Calibri" w:hAnsi="Calibri" w:cs="Calibri"/>
          <w:color w:val="FF0000"/>
          <w:lang w:val="en-GB"/>
        </w:rPr>
        <w:t xml:space="preserve"> purpose of the </w:t>
      </w:r>
      <w:r w:rsidR="00C057D7" w:rsidRPr="00C300FF">
        <w:rPr>
          <w:rFonts w:ascii="Calibri" w:hAnsi="Calibri" w:cs="Calibri"/>
          <w:color w:val="FF0000"/>
          <w:lang w:val="en-GB"/>
        </w:rPr>
        <w:t>study is to reduce antibiotic consumption in dairy cattle and improve animal welfare and</w:t>
      </w:r>
      <w:r w:rsidR="00116219" w:rsidRPr="00C300FF">
        <w:rPr>
          <w:rFonts w:ascii="Calibri" w:hAnsi="Calibri" w:cs="Calibri"/>
          <w:color w:val="FF0000"/>
          <w:lang w:val="en-GB"/>
        </w:rPr>
        <w:t xml:space="preserve"> the cost benefit of </w:t>
      </w:r>
      <w:r w:rsidR="00C057D7" w:rsidRPr="00C300FF">
        <w:rPr>
          <w:rFonts w:ascii="Calibri" w:hAnsi="Calibri" w:cs="Calibri"/>
          <w:color w:val="FF0000"/>
          <w:lang w:val="en-GB"/>
        </w:rPr>
        <w:t xml:space="preserve">farmers </w:t>
      </w:r>
      <w:r w:rsidR="005563BA">
        <w:rPr>
          <w:rFonts w:ascii="Calibri" w:hAnsi="Calibri" w:cs="Calibri"/>
          <w:color w:val="FF0000"/>
          <w:lang w:val="en-GB"/>
        </w:rPr>
        <w:t>how</w:t>
      </w:r>
      <w:proofErr w:type="gramStart"/>
      <w:r w:rsidR="005563BA">
        <w:rPr>
          <w:rFonts w:ascii="Calibri" w:hAnsi="Calibri" w:cs="Calibri"/>
          <w:color w:val="FF0000"/>
          <w:lang w:val="en-GB"/>
        </w:rPr>
        <w:t>…….</w:t>
      </w:r>
      <w:proofErr w:type="gramEnd"/>
      <w:r w:rsidR="005563BA">
        <w:rPr>
          <w:rFonts w:ascii="Calibri" w:hAnsi="Calibri" w:cs="Calibri"/>
          <w:color w:val="FF0000"/>
          <w:lang w:val="en-GB"/>
        </w:rPr>
        <w:t xml:space="preserve"> </w:t>
      </w:r>
      <w:r w:rsidR="00C057D7" w:rsidRPr="00C300FF">
        <w:rPr>
          <w:rFonts w:ascii="Calibri" w:hAnsi="Calibri" w:cs="Calibri"/>
          <w:color w:val="FF0000"/>
          <w:lang w:val="en-GB"/>
        </w:rPr>
        <w:t>As an increased SCC level indicates infections in the udder</w:t>
      </w:r>
      <w:r w:rsidR="00FD6A1C" w:rsidRPr="00C300FF">
        <w:rPr>
          <w:rFonts w:ascii="Calibri" w:hAnsi="Calibri" w:cs="Calibri"/>
          <w:color w:val="FF0000"/>
          <w:lang w:val="en-GB"/>
        </w:rPr>
        <w:t xml:space="preserve"> (reference needed)</w:t>
      </w:r>
      <w:r w:rsidR="00C057D7" w:rsidRPr="00C300FF">
        <w:rPr>
          <w:rFonts w:ascii="Calibri" w:hAnsi="Calibri" w:cs="Calibri"/>
          <w:color w:val="FF0000"/>
          <w:lang w:val="en-GB"/>
        </w:rPr>
        <w:t>, SCC based diagnosing will benefit farmers as these data are routinely recorded</w:t>
      </w:r>
      <w:r w:rsidR="00FD6A1C" w:rsidRPr="00C300FF">
        <w:rPr>
          <w:rFonts w:ascii="Calibri" w:hAnsi="Calibri" w:cs="Calibri"/>
          <w:color w:val="FF0000"/>
          <w:lang w:val="en-GB"/>
        </w:rPr>
        <w:t xml:space="preserve"> (reference needed)</w:t>
      </w:r>
      <w:r w:rsidR="00C057D7" w:rsidRPr="00C300FF">
        <w:rPr>
          <w:rFonts w:ascii="Calibri" w:hAnsi="Calibri" w:cs="Calibri"/>
          <w:color w:val="FF0000"/>
          <w:lang w:val="en-GB"/>
        </w:rPr>
        <w:t>, why it can be instantly decided if a cow would benefit from an antibiotic treatment during the dry off period. The animal welfare could also benefit from SCC based diagnosing, as all cows affected by the painful IMI can be treated, and not only cows pre-selected for testing</w:t>
      </w:r>
      <w:r w:rsidR="00FD6A1C" w:rsidRPr="00C300FF">
        <w:rPr>
          <w:rFonts w:ascii="Calibri" w:hAnsi="Calibri" w:cs="Calibri"/>
          <w:color w:val="FF0000"/>
          <w:lang w:val="en-GB"/>
        </w:rPr>
        <w:t xml:space="preserve"> (reference needed)</w:t>
      </w:r>
      <w:r w:rsidR="00C057D7" w:rsidRPr="00C300FF">
        <w:rPr>
          <w:rFonts w:ascii="Calibri" w:hAnsi="Calibri" w:cs="Calibri"/>
          <w:color w:val="FF0000"/>
          <w:lang w:val="en-GB"/>
        </w:rPr>
        <w:t>.</w:t>
      </w:r>
    </w:p>
    <w:p w14:paraId="6C49EA44" w14:textId="11EDA836" w:rsidR="00ED0CB6" w:rsidRPr="00ED0CB6" w:rsidRDefault="00C057D7" w:rsidP="00ED0CB6">
      <w:pPr>
        <w:spacing w:after="120" w:line="276" w:lineRule="auto"/>
        <w:rPr>
          <w:rFonts w:ascii="Calibri" w:hAnsi="Calibri" w:cs="Calibri"/>
          <w:color w:val="FF0000"/>
          <w:lang w:val="en-GB"/>
        </w:rPr>
      </w:pPr>
      <w:r w:rsidRPr="00907FB7">
        <w:rPr>
          <w:rFonts w:ascii="Calibri" w:hAnsi="Calibri" w:cs="Calibri"/>
          <w:lang w:val="en-GB"/>
        </w:rPr>
        <w:t xml:space="preserve">The objective of </w:t>
      </w:r>
      <w:r w:rsidR="00A54986">
        <w:rPr>
          <w:rFonts w:ascii="Calibri" w:hAnsi="Calibri" w:cs="Calibri"/>
          <w:lang w:val="en-GB"/>
        </w:rPr>
        <w:t>the</w:t>
      </w:r>
      <w:r w:rsidRPr="00907FB7">
        <w:rPr>
          <w:rFonts w:ascii="Calibri" w:hAnsi="Calibri" w:cs="Calibri"/>
          <w:lang w:val="en-GB"/>
        </w:rPr>
        <w:t xml:space="preserve"> study is to estimate the impact of various variables on the SCC level, including season </w:t>
      </w:r>
      <w:r w:rsidR="00FA041B">
        <w:rPr>
          <w:rFonts w:ascii="Calibri" w:hAnsi="Calibri" w:cs="Calibri"/>
          <w:lang w:val="en-GB"/>
        </w:rPr>
        <w:t>for sampling</w:t>
      </w:r>
      <w:r w:rsidRPr="00907FB7">
        <w:rPr>
          <w:rFonts w:ascii="Calibri" w:hAnsi="Calibri" w:cs="Calibri"/>
          <w:lang w:val="en-GB"/>
        </w:rPr>
        <w:t>, cattle breed and treatments at dry-off.</w:t>
      </w:r>
      <w:r w:rsidR="00ED0CB6">
        <w:rPr>
          <w:rFonts w:ascii="Calibri" w:hAnsi="Calibri" w:cs="Calibri"/>
          <w:lang w:val="en-GB"/>
        </w:rPr>
        <w:t xml:space="preserve"> </w:t>
      </w:r>
      <w:r w:rsidR="00ED0CB6" w:rsidRPr="00ED0CB6">
        <w:rPr>
          <w:rFonts w:ascii="Calibri" w:hAnsi="Calibri" w:cs="Calibri"/>
          <w:color w:val="FF0000"/>
          <w:lang w:val="en-GB"/>
        </w:rPr>
        <w:t>Check if more of the following should be included:</w:t>
      </w:r>
      <w:r w:rsidRPr="00ED0CB6">
        <w:rPr>
          <w:rFonts w:ascii="Calibri" w:hAnsi="Calibri" w:cs="Calibri"/>
          <w:color w:val="FF0000"/>
          <w:lang w:val="en-GB"/>
        </w:rPr>
        <w:t xml:space="preserve"> </w:t>
      </w:r>
      <w:r w:rsidR="00ED0CB6" w:rsidRPr="00ED0CB6">
        <w:rPr>
          <w:rFonts w:ascii="Calibri" w:hAnsi="Calibri" w:cs="Calibri"/>
          <w:bCs/>
          <w:color w:val="FF0000"/>
          <w:lang w:val="en-GB"/>
        </w:rPr>
        <w:t xml:space="preserve">The primary objective </w:t>
      </w:r>
      <w:r w:rsidR="00ED0CB6" w:rsidRPr="00ED0CB6">
        <w:rPr>
          <w:rFonts w:ascii="Calibri" w:hAnsi="Calibri" w:cs="Calibri"/>
          <w:color w:val="FF0000"/>
          <w:lang w:val="en-GB"/>
        </w:rPr>
        <w:t>is to estimate the impact of the somatic cell count (SCC) level from previous lactations on current SCC level. Secondary objective is to estimate the SCC level from previous lactations on treatments, comparing the risk of treatment with the milk yield and SCC levels.</w:t>
      </w:r>
    </w:p>
    <w:p w14:paraId="659E7BE5" w14:textId="721E04B3" w:rsidR="00C057D7" w:rsidRPr="005A1195" w:rsidRDefault="00C057D7" w:rsidP="005A1195">
      <w:pPr>
        <w:pStyle w:val="NormalWeb"/>
        <w:spacing w:line="276" w:lineRule="auto"/>
        <w:rPr>
          <w:rFonts w:ascii="Calibri" w:hAnsi="Calibri" w:cs="Calibri"/>
          <w:sz w:val="22"/>
          <w:lang w:val="en-GB"/>
        </w:rPr>
      </w:pPr>
    </w:p>
    <w:p w14:paraId="0484945C" w14:textId="7266027F" w:rsidR="002B05E2" w:rsidRDefault="00C057D7" w:rsidP="002B05E2">
      <w:pPr>
        <w:pStyle w:val="VE1"/>
        <w:rPr>
          <w:lang w:val="en-GB"/>
        </w:rPr>
      </w:pPr>
      <w:r>
        <w:rPr>
          <w:lang w:val="en-GB"/>
        </w:rPr>
        <w:t>Materials and methods</w:t>
      </w:r>
    </w:p>
    <w:p w14:paraId="602ABDB0" w14:textId="77777777" w:rsidR="000D32E8" w:rsidRPr="00452532" w:rsidRDefault="000D32E8" w:rsidP="000D32E8">
      <w:pPr>
        <w:rPr>
          <w:rFonts w:asciiTheme="minorHAnsi" w:hAnsiTheme="minorHAnsi" w:cstheme="minorHAnsi"/>
          <w:color w:val="FF0000"/>
          <w:lang w:val="en-GB"/>
        </w:rPr>
      </w:pPr>
      <w:r w:rsidRPr="00452532">
        <w:rPr>
          <w:rFonts w:asciiTheme="minorHAnsi" w:hAnsiTheme="minorHAnsi" w:cstheme="minorHAnsi"/>
          <w:color w:val="FF0000"/>
          <w:lang w:val="en-GB"/>
        </w:rPr>
        <w:t>Methods must be chronological order. Don’t use</w:t>
      </w:r>
      <w:r>
        <w:rPr>
          <w:rFonts w:asciiTheme="minorHAnsi" w:hAnsiTheme="minorHAnsi" w:cstheme="minorHAnsi"/>
          <w:color w:val="FF0000"/>
          <w:lang w:val="en-GB"/>
        </w:rPr>
        <w:t xml:space="preserve"> phrases like:</w:t>
      </w:r>
      <w:r w:rsidRPr="00452532">
        <w:rPr>
          <w:rFonts w:asciiTheme="minorHAnsi" w:hAnsiTheme="minorHAnsi" w:cstheme="minorHAnsi"/>
          <w:color w:val="FF0000"/>
          <w:lang w:val="en-GB"/>
        </w:rPr>
        <w:t xml:space="preserve"> “before”</w:t>
      </w:r>
      <w:r>
        <w:rPr>
          <w:rFonts w:asciiTheme="minorHAnsi" w:hAnsiTheme="minorHAnsi" w:cstheme="minorHAnsi"/>
          <w:color w:val="FF0000"/>
          <w:lang w:val="en-GB"/>
        </w:rPr>
        <w:t>,</w:t>
      </w:r>
      <w:r w:rsidRPr="00452532">
        <w:rPr>
          <w:rFonts w:asciiTheme="minorHAnsi" w:hAnsiTheme="minorHAnsi" w:cstheme="minorHAnsi"/>
          <w:color w:val="FF0000"/>
          <w:lang w:val="en-GB"/>
        </w:rPr>
        <w:t xml:space="preserve"> “in the beginning</w:t>
      </w:r>
      <w:proofErr w:type="gramStart"/>
      <w:r w:rsidRPr="00452532">
        <w:rPr>
          <w:rFonts w:asciiTheme="minorHAnsi" w:hAnsiTheme="minorHAnsi" w:cstheme="minorHAnsi"/>
          <w:color w:val="FF0000"/>
          <w:lang w:val="en-GB"/>
        </w:rPr>
        <w:t xml:space="preserve">” </w:t>
      </w:r>
      <w:r>
        <w:rPr>
          <w:rFonts w:asciiTheme="minorHAnsi" w:hAnsiTheme="minorHAnsi" w:cstheme="minorHAnsi"/>
          <w:color w:val="FF0000"/>
          <w:lang w:val="en-GB"/>
        </w:rPr>
        <w:t>,</w:t>
      </w:r>
      <w:proofErr w:type="gramEnd"/>
      <w:r w:rsidRPr="00452532">
        <w:rPr>
          <w:rFonts w:asciiTheme="minorHAnsi" w:hAnsiTheme="minorHAnsi" w:cstheme="minorHAnsi"/>
          <w:color w:val="FF0000"/>
          <w:lang w:val="en-GB"/>
        </w:rPr>
        <w:t>“ by the way”</w:t>
      </w:r>
    </w:p>
    <w:p w14:paraId="4E7AB4C7" w14:textId="77777777" w:rsidR="000D32E8" w:rsidRDefault="000D32E8" w:rsidP="000D32E8">
      <w:pPr>
        <w:pStyle w:val="VE1"/>
        <w:numPr>
          <w:ilvl w:val="0"/>
          <w:numId w:val="0"/>
        </w:numPr>
        <w:rPr>
          <w:lang w:val="en-GB"/>
        </w:rPr>
      </w:pPr>
    </w:p>
    <w:p w14:paraId="199F7EFC" w14:textId="2982483B" w:rsidR="000D32E8" w:rsidRPr="000D32E8" w:rsidRDefault="000D32E8" w:rsidP="000D32E8">
      <w:pPr>
        <w:pStyle w:val="VE2"/>
        <w:tabs>
          <w:tab w:val="clear" w:pos="4545"/>
          <w:tab w:val="num" w:pos="709"/>
        </w:tabs>
        <w:ind w:left="567" w:hanging="578"/>
        <w:rPr>
          <w:lang w:val="en-GB"/>
        </w:rPr>
      </w:pPr>
      <w:r w:rsidRPr="000D32E8">
        <w:rPr>
          <w:lang w:val="en-GB"/>
        </w:rPr>
        <w:t>Data</w:t>
      </w:r>
    </w:p>
    <w:p w14:paraId="07CD3D64" w14:textId="0D304C3C" w:rsidR="006D1F2A" w:rsidRPr="006D1F2A" w:rsidRDefault="00E73989" w:rsidP="006D1F2A">
      <w:pPr>
        <w:spacing w:after="120" w:line="276" w:lineRule="auto"/>
        <w:rPr>
          <w:rFonts w:asciiTheme="minorHAnsi" w:hAnsiTheme="minorHAnsi" w:cstheme="minorHAnsi"/>
          <w:lang w:val="en-GB"/>
        </w:rPr>
      </w:pPr>
      <w:r>
        <w:rPr>
          <w:rFonts w:asciiTheme="minorHAnsi" w:hAnsiTheme="minorHAnsi" w:cstheme="minorHAnsi"/>
          <w:lang w:val="en-GB"/>
        </w:rPr>
        <w:t xml:space="preserve">Data from the Danish Cattle Database </w:t>
      </w:r>
      <w:r w:rsidRPr="005A1195">
        <w:rPr>
          <w:rFonts w:asciiTheme="minorHAnsi" w:hAnsiTheme="minorHAnsi" w:cstheme="minorHAnsi"/>
          <w:lang w:val="en-GB"/>
        </w:rPr>
        <w:fldChar w:fldCharType="begin" w:fldLock="1"/>
      </w:r>
      <w:r w:rsidRPr="005A1195">
        <w:rPr>
          <w:rFonts w:asciiTheme="minorHAnsi" w:hAnsiTheme="minorHAnsi" w:cstheme="minorHAnsi"/>
          <w:lang w:val="en-GB"/>
        </w:rPr>
        <w:instrText>ADDIN CSL_CITATION {"citationItems":[{"id":"ITEM-1","itemData":{"URL":"https://www.seges.dk/fagomraader/kvaeg/raadgivning/kvaeg-it","author":[{"dropping-particle":"","family":"SEGES","given":"","non-dropping-particle":"","parse-names":false,"suffix":""}],"container-title":"Landbrug og fødevarer","id":"ITEM-1","issued":{"date-parts":[["0"]]},"title":"Danish Cattle Database","type":"webpage"},"uris":["http://www.mendeley.com/documents/?uuid=6c1522fd-932c-32e5-b268-c4d128852231"]}],"mendeley":{"formattedCitation":"(SEGES, n.d.)","plainTextFormattedCitation":"(SEGES, n.d.)","previouslyFormattedCitation":"(SEGES, n.d.)"},"properties":{"noteIndex":0},"schema":"https://github.com/citation-style-language/schema/raw/master/csl-citation.json"}</w:instrText>
      </w:r>
      <w:r w:rsidRPr="005A1195">
        <w:rPr>
          <w:rFonts w:asciiTheme="minorHAnsi" w:hAnsiTheme="minorHAnsi" w:cstheme="minorHAnsi"/>
          <w:lang w:val="en-GB"/>
        </w:rPr>
        <w:fldChar w:fldCharType="separate"/>
      </w:r>
      <w:r w:rsidRPr="005A1195">
        <w:rPr>
          <w:rFonts w:asciiTheme="minorHAnsi" w:hAnsiTheme="minorHAnsi" w:cstheme="minorHAnsi"/>
          <w:noProof/>
          <w:lang w:val="en-GB"/>
        </w:rPr>
        <w:t>(SEGES, n.d.)</w:t>
      </w:r>
      <w:r w:rsidRPr="005A1195">
        <w:rPr>
          <w:rFonts w:asciiTheme="minorHAnsi" w:hAnsiTheme="minorHAnsi" w:cstheme="minorHAnsi"/>
          <w:lang w:val="en-GB"/>
        </w:rPr>
        <w:fldChar w:fldCharType="end"/>
      </w:r>
      <w:r>
        <w:rPr>
          <w:rFonts w:asciiTheme="minorHAnsi" w:hAnsiTheme="minorHAnsi" w:cstheme="minorHAnsi"/>
          <w:lang w:val="en-GB"/>
        </w:rPr>
        <w:t xml:space="preserve"> </w:t>
      </w:r>
      <w:proofErr w:type="gramStart"/>
      <w:r w:rsidR="00617DEB">
        <w:rPr>
          <w:rFonts w:asciiTheme="minorHAnsi" w:hAnsiTheme="minorHAnsi" w:cstheme="minorHAnsi"/>
          <w:lang w:val="en-GB"/>
        </w:rPr>
        <w:t>from</w:t>
      </w:r>
      <w:proofErr w:type="gramEnd"/>
      <w:r w:rsidR="00617DEB">
        <w:rPr>
          <w:rFonts w:asciiTheme="minorHAnsi" w:hAnsiTheme="minorHAnsi" w:cstheme="minorHAnsi"/>
          <w:lang w:val="en-GB"/>
        </w:rPr>
        <w:t xml:space="preserve"> year 2010 to 2020 have been retrieved</w:t>
      </w:r>
      <w:r w:rsidR="00EC7AB4">
        <w:rPr>
          <w:rFonts w:asciiTheme="minorHAnsi" w:hAnsiTheme="minorHAnsi" w:cstheme="minorHAnsi"/>
          <w:lang w:val="en-GB"/>
        </w:rPr>
        <w:t xml:space="preserve"> and initial included in the study. Data </w:t>
      </w:r>
      <w:r w:rsidR="00617DEB">
        <w:rPr>
          <w:rFonts w:asciiTheme="minorHAnsi" w:hAnsiTheme="minorHAnsi" w:cstheme="minorHAnsi"/>
          <w:lang w:val="en-GB"/>
        </w:rPr>
        <w:t xml:space="preserve">include </w:t>
      </w:r>
      <w:r w:rsidR="005A1195" w:rsidRPr="005A1195">
        <w:rPr>
          <w:rFonts w:asciiTheme="minorHAnsi" w:hAnsiTheme="minorHAnsi" w:cstheme="minorHAnsi"/>
          <w:lang w:val="en-GB"/>
        </w:rPr>
        <w:t>routinely recorded data for all Danish Dairy cattle i</w:t>
      </w:r>
      <w:r w:rsidR="00617DEB">
        <w:rPr>
          <w:rFonts w:asciiTheme="minorHAnsi" w:hAnsiTheme="minorHAnsi" w:cstheme="minorHAnsi"/>
          <w:lang w:val="en-GB"/>
        </w:rPr>
        <w:t>n the industrialized production, with 11 milk controls per year, which is the standard number of control, hence the majority of the Danish Dairy Cattle herds. (</w:t>
      </w:r>
      <w:proofErr w:type="gramStart"/>
      <w:r w:rsidR="00617DEB" w:rsidRPr="00617DEB">
        <w:rPr>
          <w:rFonts w:asciiTheme="minorHAnsi" w:hAnsiTheme="minorHAnsi" w:cstheme="minorHAnsi"/>
          <w:color w:val="FF0000"/>
          <w:lang w:val="en-GB"/>
        </w:rPr>
        <w:t>reference</w:t>
      </w:r>
      <w:proofErr w:type="gramEnd"/>
      <w:r w:rsidR="00617DEB" w:rsidRPr="00617DEB">
        <w:rPr>
          <w:rFonts w:asciiTheme="minorHAnsi" w:hAnsiTheme="minorHAnsi" w:cstheme="minorHAnsi"/>
          <w:color w:val="FF0000"/>
          <w:lang w:val="en-GB"/>
        </w:rPr>
        <w:t xml:space="preserve">: </w:t>
      </w:r>
      <w:proofErr w:type="spellStart"/>
      <w:r w:rsidR="00617DEB" w:rsidRPr="00617DEB">
        <w:rPr>
          <w:rFonts w:asciiTheme="minorHAnsi" w:hAnsiTheme="minorHAnsi" w:cstheme="minorHAnsi"/>
          <w:color w:val="FF0000"/>
          <w:lang w:val="en-GB"/>
        </w:rPr>
        <w:t>Tjek</w:t>
      </w:r>
      <w:proofErr w:type="spellEnd"/>
      <w:r w:rsidR="00617DEB" w:rsidRPr="00617DEB">
        <w:rPr>
          <w:rFonts w:asciiTheme="minorHAnsi" w:hAnsiTheme="minorHAnsi" w:cstheme="minorHAnsi"/>
          <w:color w:val="FF0000"/>
          <w:lang w:val="en-GB"/>
        </w:rPr>
        <w:t xml:space="preserve"> </w:t>
      </w:r>
      <w:proofErr w:type="spellStart"/>
      <w:r w:rsidR="00617DEB" w:rsidRPr="00617DEB">
        <w:rPr>
          <w:rFonts w:asciiTheme="minorHAnsi" w:hAnsiTheme="minorHAnsi" w:cstheme="minorHAnsi"/>
          <w:color w:val="FF0000"/>
          <w:lang w:val="en-GB"/>
        </w:rPr>
        <w:t>græsbølls</w:t>
      </w:r>
      <w:proofErr w:type="spellEnd"/>
      <w:r w:rsidR="00617DEB" w:rsidRPr="00617DEB">
        <w:rPr>
          <w:rFonts w:asciiTheme="minorHAnsi" w:hAnsiTheme="minorHAnsi" w:cstheme="minorHAnsi"/>
          <w:color w:val="FF0000"/>
          <w:lang w:val="en-GB"/>
        </w:rPr>
        <w:t xml:space="preserve"> reference</w:t>
      </w:r>
      <w:r w:rsidR="00617DEB">
        <w:rPr>
          <w:rFonts w:asciiTheme="minorHAnsi" w:hAnsiTheme="minorHAnsi" w:cstheme="minorHAnsi"/>
          <w:lang w:val="en-GB"/>
        </w:rPr>
        <w:t>)</w:t>
      </w:r>
      <w:r w:rsidR="00EC7AB4">
        <w:rPr>
          <w:rFonts w:asciiTheme="minorHAnsi" w:hAnsiTheme="minorHAnsi" w:cstheme="minorHAnsi"/>
          <w:lang w:val="en-GB"/>
        </w:rPr>
        <w:t xml:space="preserve">. </w:t>
      </w:r>
      <w:r w:rsidR="009F0E2E" w:rsidRPr="005A1195">
        <w:rPr>
          <w:rFonts w:asciiTheme="minorHAnsi" w:hAnsiTheme="minorHAnsi" w:cstheme="minorHAnsi"/>
          <w:lang w:val="en-GB"/>
        </w:rPr>
        <w:t>The target population is all Danish dairy cattle in industrialized production</w:t>
      </w:r>
      <w:r w:rsidR="00EC7AB4">
        <w:rPr>
          <w:rFonts w:asciiTheme="minorHAnsi" w:hAnsiTheme="minorHAnsi" w:cstheme="minorHAnsi"/>
          <w:lang w:val="en-GB"/>
        </w:rPr>
        <w:t>.</w:t>
      </w:r>
    </w:p>
    <w:p w14:paraId="09463D37" w14:textId="4A9954AC" w:rsidR="009F0E2E" w:rsidRDefault="009F0E2E" w:rsidP="005A1195">
      <w:pPr>
        <w:spacing w:after="120" w:line="276" w:lineRule="auto"/>
        <w:rPr>
          <w:rFonts w:asciiTheme="minorHAnsi" w:hAnsiTheme="minorHAnsi" w:cstheme="minorHAnsi"/>
          <w:b/>
          <w:bCs/>
          <w:lang w:val="en-GB"/>
        </w:rPr>
      </w:pPr>
      <w:r w:rsidRPr="005A1195">
        <w:rPr>
          <w:rFonts w:asciiTheme="minorHAnsi" w:hAnsiTheme="minorHAnsi" w:cstheme="minorHAnsi"/>
          <w:lang w:val="en-GB"/>
        </w:rPr>
        <w:t xml:space="preserve">Data for the databases are collected by farmers, veterinarians, the breeding association, dairies, slaughterhouses, quality controls and ear brand manufacturers </w:t>
      </w:r>
      <w:r w:rsidRPr="005A1195">
        <w:rPr>
          <w:rFonts w:asciiTheme="minorHAnsi" w:hAnsiTheme="minorHAnsi" w:cstheme="minorHAnsi"/>
          <w:lang w:val="en-GB"/>
        </w:rPr>
        <w:fldChar w:fldCharType="begin" w:fldLock="1"/>
      </w:r>
      <w:r w:rsidRPr="005A1195">
        <w:rPr>
          <w:rFonts w:asciiTheme="minorHAnsi" w:hAnsiTheme="minorHAnsi" w:cstheme="minorHAnsi"/>
          <w:lang w:val="en-GB"/>
        </w:rPr>
        <w:instrText>ADDIN CSL_CITATION {"citationItems":[{"id":"ITEM-1","itemData":{"URL":"https://www.seges.dk/fagomraader/kvaeg/raadgivning/kvaeg-it","author":[{"dropping-particle":"","family":"SEGES","given":"","non-dropping-particle":"","parse-names":false,"suffix":""}],"container-title":"Landbrug og fødevarer","id":"ITEM-1","issued":{"date-parts":[["0"]]},"title":"Danish Cattle Database","type":"webpage"},"uris":["http://www.mendeley.com/documents/?uuid=6c1522fd-932c-32e5-b268-c4d128852231"]}],"mendeley":{"formattedCitation":"(SEGES, n.d.)","plainTextFormattedCitation":"(SEGES, n.d.)","previouslyFormattedCitation":"(SEGES, n.d.)"},"properties":{"noteIndex":0},"schema":"https://github.com/citation-style-language/schema/raw/master/csl-citation.json"}</w:instrText>
      </w:r>
      <w:r w:rsidRPr="005A1195">
        <w:rPr>
          <w:rFonts w:asciiTheme="minorHAnsi" w:hAnsiTheme="minorHAnsi" w:cstheme="minorHAnsi"/>
          <w:lang w:val="en-GB"/>
        </w:rPr>
        <w:fldChar w:fldCharType="separate"/>
      </w:r>
      <w:r w:rsidRPr="005A1195">
        <w:rPr>
          <w:rFonts w:asciiTheme="minorHAnsi" w:hAnsiTheme="minorHAnsi" w:cstheme="minorHAnsi"/>
          <w:noProof/>
          <w:lang w:val="en-GB"/>
        </w:rPr>
        <w:t>(SEGES, n.d.)</w:t>
      </w:r>
      <w:r w:rsidRPr="005A1195">
        <w:rPr>
          <w:rFonts w:asciiTheme="minorHAnsi" w:hAnsiTheme="minorHAnsi" w:cstheme="minorHAnsi"/>
          <w:lang w:val="en-GB"/>
        </w:rPr>
        <w:fldChar w:fldCharType="end"/>
      </w:r>
      <w:r w:rsidRPr="005A1195">
        <w:rPr>
          <w:rFonts w:asciiTheme="minorHAnsi" w:hAnsiTheme="minorHAnsi" w:cstheme="minorHAnsi"/>
          <w:lang w:val="en-GB"/>
        </w:rPr>
        <w:t>.</w:t>
      </w:r>
      <w:r w:rsidR="006D1F2A">
        <w:rPr>
          <w:rFonts w:asciiTheme="minorHAnsi" w:hAnsiTheme="minorHAnsi" w:cstheme="minorHAnsi"/>
          <w:lang w:val="en-GB"/>
        </w:rPr>
        <w:t xml:space="preserve"> </w:t>
      </w:r>
      <w:r w:rsidRPr="005A1195">
        <w:rPr>
          <w:rFonts w:asciiTheme="minorHAnsi" w:hAnsiTheme="minorHAnsi" w:cstheme="minorHAnsi"/>
          <w:lang w:val="en-GB"/>
        </w:rPr>
        <w:t xml:space="preserve">Data for the study are selected from the databases retrieved from the Danish Cattle Database for the ACROBAT project </w:t>
      </w:r>
      <w:r w:rsidRPr="005A1195">
        <w:rPr>
          <w:rFonts w:asciiTheme="minorHAnsi" w:hAnsiTheme="minorHAnsi" w:cstheme="minorHAnsi"/>
          <w:lang w:val="en-GB"/>
        </w:rPr>
        <w:fldChar w:fldCharType="begin" w:fldLock="1"/>
      </w:r>
      <w:r w:rsidR="00BA30F8">
        <w:rPr>
          <w:rFonts w:asciiTheme="minorHAnsi" w:hAnsiTheme="minorHAnsi" w:cstheme="minorHAnsi"/>
          <w:lang w:val="en-GB"/>
        </w:rPr>
        <w:instrText>ADDIN CSL_CITATION {"citationItems":[{"id":"ITEM-1","itemData":{"URL":"https://ivh.ku.dk/english/research/animal-welfare-and-disease-control/projects/acrobat/","author":[{"dropping-particle":"","family":"IVH","given":"","non-dropping-particle":"","parse-names":false,"suffix":""}],"id":"ITEM-1","issued":{"date-parts":[["2020"]]},"title":"ACROBAT project","type":"webpage"},"uris":["http://www.mendeley.com/documents/?uuid=a9ce7982-65df-4c94-b3bd-8c5fb6dac2c2"]}],"mendeley":{"formattedCitation":"(IVH, 2020)","plainTextFormattedCitation":"(IVH, 2020)","previouslyFormattedCitation":"(IVH, 2020)"},"properties":{"noteIndex":0},"schema":"https://github.com/citation-style-language/schema/raw/master/csl-citation.json"}</w:instrText>
      </w:r>
      <w:r w:rsidRPr="005A1195">
        <w:rPr>
          <w:rFonts w:asciiTheme="minorHAnsi" w:hAnsiTheme="minorHAnsi" w:cstheme="minorHAnsi"/>
          <w:lang w:val="en-GB"/>
        </w:rPr>
        <w:fldChar w:fldCharType="separate"/>
      </w:r>
      <w:r w:rsidRPr="005A1195">
        <w:rPr>
          <w:rFonts w:asciiTheme="minorHAnsi" w:hAnsiTheme="minorHAnsi" w:cstheme="minorHAnsi"/>
          <w:noProof/>
          <w:lang w:val="en-GB"/>
        </w:rPr>
        <w:t>(IVH, 2020)</w:t>
      </w:r>
      <w:r w:rsidRPr="005A1195">
        <w:rPr>
          <w:rFonts w:asciiTheme="minorHAnsi" w:hAnsiTheme="minorHAnsi" w:cstheme="minorHAnsi"/>
          <w:lang w:val="en-GB"/>
        </w:rPr>
        <w:fldChar w:fldCharType="end"/>
      </w:r>
      <w:r w:rsidRPr="005A1195">
        <w:rPr>
          <w:rFonts w:asciiTheme="minorHAnsi" w:hAnsiTheme="minorHAnsi" w:cstheme="minorHAnsi"/>
          <w:lang w:val="en-GB"/>
        </w:rPr>
        <w:t xml:space="preserve">, and overall project that includes this study. </w:t>
      </w:r>
      <w:r w:rsidRPr="005A1195">
        <w:rPr>
          <w:rFonts w:asciiTheme="minorHAnsi" w:hAnsiTheme="minorHAnsi" w:cstheme="minorHAnsi"/>
          <w:b/>
          <w:bCs/>
          <w:lang w:val="en-GB"/>
        </w:rPr>
        <w:t xml:space="preserve"> </w:t>
      </w:r>
    </w:p>
    <w:p w14:paraId="470768CF" w14:textId="5282CB43" w:rsidR="006C7F84" w:rsidRDefault="006D1F2A" w:rsidP="005A1195">
      <w:pPr>
        <w:spacing w:after="120" w:line="276" w:lineRule="auto"/>
        <w:rPr>
          <w:rFonts w:asciiTheme="minorHAnsi" w:hAnsiTheme="minorHAnsi" w:cstheme="minorHAnsi"/>
          <w:color w:val="FF0000"/>
          <w:lang w:val="en-GB"/>
        </w:rPr>
      </w:pPr>
      <w:r w:rsidRPr="006D1F2A">
        <w:rPr>
          <w:rFonts w:asciiTheme="minorHAnsi" w:hAnsiTheme="minorHAnsi" w:cstheme="minorHAnsi"/>
          <w:color w:val="FF0000"/>
          <w:lang w:val="en-GB"/>
        </w:rPr>
        <w:t>Give here in</w:t>
      </w:r>
      <w:r>
        <w:rPr>
          <w:rFonts w:asciiTheme="minorHAnsi" w:hAnsiTheme="minorHAnsi" w:cstheme="minorHAnsi"/>
          <w:color w:val="FF0000"/>
          <w:lang w:val="en-GB"/>
        </w:rPr>
        <w:t>i</w:t>
      </w:r>
      <w:r w:rsidRPr="006D1F2A">
        <w:rPr>
          <w:rFonts w:asciiTheme="minorHAnsi" w:hAnsiTheme="minorHAnsi" w:cstheme="minorHAnsi"/>
          <w:color w:val="FF0000"/>
          <w:lang w:val="en-GB"/>
        </w:rPr>
        <w:t>tial number of animals and herds…</w:t>
      </w:r>
      <w:r w:rsidR="004B07C7">
        <w:rPr>
          <w:rFonts w:asciiTheme="minorHAnsi" w:hAnsiTheme="minorHAnsi" w:cstheme="minorHAnsi"/>
          <w:color w:val="FF0000"/>
          <w:lang w:val="en-GB"/>
        </w:rPr>
        <w:t xml:space="preserve"> and create table </w:t>
      </w:r>
      <w:proofErr w:type="gramStart"/>
      <w:r w:rsidR="004B07C7">
        <w:rPr>
          <w:rFonts w:asciiTheme="minorHAnsi" w:hAnsiTheme="minorHAnsi" w:cstheme="minorHAnsi"/>
          <w:color w:val="FF0000"/>
          <w:lang w:val="en-GB"/>
        </w:rPr>
        <w:t>1:</w:t>
      </w:r>
      <w:proofErr w:type="gramEnd"/>
      <w:r w:rsidR="004B07C7">
        <w:rPr>
          <w:rFonts w:asciiTheme="minorHAnsi" w:hAnsiTheme="minorHAnsi" w:cstheme="minorHAnsi"/>
          <w:color w:val="FF0000"/>
          <w:lang w:val="en-GB"/>
        </w:rPr>
        <w:t xml:space="preserve"> Summaries</w:t>
      </w:r>
    </w:p>
    <w:tbl>
      <w:tblPr>
        <w:tblStyle w:val="PlainTable2"/>
        <w:tblW w:w="0" w:type="auto"/>
        <w:tblInd w:w="0" w:type="dxa"/>
        <w:tblLook w:val="04A0" w:firstRow="1" w:lastRow="0" w:firstColumn="1" w:lastColumn="0" w:noHBand="0" w:noVBand="1"/>
      </w:tblPr>
      <w:tblGrid>
        <w:gridCol w:w="3510"/>
        <w:gridCol w:w="2520"/>
        <w:gridCol w:w="1710"/>
        <w:gridCol w:w="1331"/>
      </w:tblGrid>
      <w:tr w:rsidR="00377531" w14:paraId="52B6B13F" w14:textId="0C5D7B18" w:rsidTr="009D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4"/>
            <w:tcBorders>
              <w:top w:val="nil"/>
              <w:left w:val="nil"/>
              <w:right w:val="nil"/>
            </w:tcBorders>
          </w:tcPr>
          <w:p w14:paraId="7412508D" w14:textId="77777777" w:rsidR="00377531" w:rsidRPr="00B31478" w:rsidRDefault="00377531">
            <w:pPr>
              <w:rPr>
                <w:rFonts w:asciiTheme="majorHAnsi" w:hAnsiTheme="majorHAnsi" w:cstheme="majorHAnsi"/>
                <w:iCs/>
                <w:sz w:val="20"/>
                <w:szCs w:val="20"/>
                <w:lang w:val="en-GB"/>
              </w:rPr>
            </w:pPr>
          </w:p>
          <w:p w14:paraId="79480B27" w14:textId="483439F5" w:rsidR="00377531" w:rsidRPr="00B31478" w:rsidRDefault="00377531">
            <w:pPr>
              <w:rPr>
                <w:rFonts w:asciiTheme="majorHAnsi" w:hAnsiTheme="majorHAnsi" w:cstheme="majorHAnsi"/>
                <w:iCs/>
                <w:sz w:val="20"/>
                <w:szCs w:val="20"/>
                <w:lang w:val="en-GB"/>
              </w:rPr>
            </w:pPr>
            <w:r w:rsidRPr="00B31478">
              <w:rPr>
                <w:rFonts w:asciiTheme="majorHAnsi" w:hAnsiTheme="majorHAnsi" w:cstheme="majorHAnsi"/>
                <w:iCs/>
                <w:sz w:val="20"/>
                <w:szCs w:val="20"/>
              </w:rPr>
              <w:t xml:space="preserve">Table 1: </w:t>
            </w:r>
            <w:r w:rsidRPr="00B31478">
              <w:rPr>
                <w:rFonts w:asciiTheme="majorHAnsi" w:hAnsiTheme="majorHAnsi" w:cstheme="majorHAnsi"/>
                <w:b w:val="0"/>
                <w:iCs/>
                <w:sz w:val="20"/>
                <w:szCs w:val="20"/>
              </w:rPr>
              <w:t>Description of the prediction variables and actual values for the two different outcome variables.</w:t>
            </w:r>
            <w:r w:rsidR="004F6F8D">
              <w:rPr>
                <w:rFonts w:asciiTheme="majorHAnsi" w:hAnsiTheme="majorHAnsi" w:cstheme="majorHAnsi"/>
                <w:b w:val="0"/>
                <w:iCs/>
                <w:sz w:val="20"/>
                <w:szCs w:val="20"/>
              </w:rPr>
              <w:t xml:space="preserve"> </w:t>
            </w:r>
            <w:r w:rsidR="004F6F8D" w:rsidRPr="004F6F8D">
              <w:rPr>
                <w:rFonts w:asciiTheme="majorHAnsi" w:hAnsiTheme="majorHAnsi" w:cstheme="majorHAnsi"/>
                <w:b w:val="0"/>
                <w:iCs/>
                <w:color w:val="FF0000"/>
                <w:sz w:val="20"/>
                <w:szCs w:val="20"/>
              </w:rPr>
              <w:t>Finish it when I know if we go with dataset 1 or 2</w:t>
            </w:r>
          </w:p>
        </w:tc>
      </w:tr>
      <w:tr w:rsidR="00965EB4" w14:paraId="11869E2B" w14:textId="5BE0C34A" w:rsidTr="00377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left w:val="nil"/>
              <w:right w:val="nil"/>
            </w:tcBorders>
            <w:hideMark/>
          </w:tcPr>
          <w:p w14:paraId="45BA98ED" w14:textId="20F1148F" w:rsidR="00965EB4" w:rsidRPr="00B31478" w:rsidRDefault="00965EB4">
            <w:pPr>
              <w:rPr>
                <w:rFonts w:asciiTheme="majorHAnsi" w:hAnsiTheme="majorHAnsi" w:cstheme="majorHAnsi"/>
                <w:b w:val="0"/>
                <w:szCs w:val="22"/>
                <w:lang w:val="en-GB"/>
              </w:rPr>
            </w:pPr>
          </w:p>
        </w:tc>
        <w:tc>
          <w:tcPr>
            <w:tcW w:w="2520" w:type="dxa"/>
            <w:tcBorders>
              <w:top w:val="single" w:sz="4" w:space="0" w:color="auto"/>
              <w:left w:val="nil"/>
              <w:right w:val="nil"/>
            </w:tcBorders>
            <w:hideMark/>
          </w:tcPr>
          <w:p w14:paraId="22898A2D" w14:textId="71BD37EA" w:rsidR="00965EB4" w:rsidRPr="00B31478" w:rsidRDefault="00965EB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lang w:val="en-GB"/>
              </w:rPr>
            </w:pPr>
            <w:r>
              <w:rPr>
                <w:rFonts w:asciiTheme="majorHAnsi" w:hAnsiTheme="majorHAnsi" w:cstheme="majorHAnsi"/>
                <w:b/>
                <w:lang w:val="en-GB"/>
              </w:rPr>
              <w:t>Median</w:t>
            </w:r>
          </w:p>
        </w:tc>
        <w:tc>
          <w:tcPr>
            <w:tcW w:w="1710" w:type="dxa"/>
            <w:tcBorders>
              <w:top w:val="single" w:sz="4" w:space="0" w:color="auto"/>
              <w:left w:val="nil"/>
              <w:right w:val="nil"/>
            </w:tcBorders>
          </w:tcPr>
          <w:p w14:paraId="315356AC" w14:textId="3947105A" w:rsidR="00965EB4" w:rsidRDefault="00965EB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lang w:val="en-GB"/>
              </w:rPr>
            </w:pPr>
            <w:r>
              <w:rPr>
                <w:rFonts w:asciiTheme="majorHAnsi" w:hAnsiTheme="majorHAnsi" w:cstheme="majorHAnsi"/>
                <w:b/>
                <w:lang w:val="en-GB"/>
              </w:rPr>
              <w:t>Range</w:t>
            </w:r>
          </w:p>
        </w:tc>
        <w:tc>
          <w:tcPr>
            <w:tcW w:w="1331" w:type="dxa"/>
            <w:tcBorders>
              <w:top w:val="single" w:sz="4" w:space="0" w:color="auto"/>
              <w:left w:val="nil"/>
              <w:right w:val="nil"/>
            </w:tcBorders>
          </w:tcPr>
          <w:p w14:paraId="58B0CBEB" w14:textId="30561FC2" w:rsidR="00965EB4" w:rsidRDefault="00965EB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lang w:val="en-GB"/>
              </w:rPr>
            </w:pPr>
            <w:r>
              <w:rPr>
                <w:rFonts w:asciiTheme="majorHAnsi" w:hAnsiTheme="majorHAnsi" w:cstheme="majorHAnsi"/>
                <w:b/>
                <w:lang w:val="en-GB"/>
              </w:rPr>
              <w:t>Unit</w:t>
            </w:r>
          </w:p>
        </w:tc>
      </w:tr>
      <w:tr w:rsidR="00965EB4" w14:paraId="535732C7" w14:textId="118BCEA4" w:rsidTr="00377531">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7F7F7F" w:themeColor="text1" w:themeTint="80"/>
              <w:left w:val="nil"/>
              <w:bottom w:val="nil"/>
              <w:right w:val="nil"/>
            </w:tcBorders>
            <w:hideMark/>
          </w:tcPr>
          <w:p w14:paraId="746E8579" w14:textId="44F4A2AF" w:rsidR="00965EB4" w:rsidRPr="004B6B16" w:rsidRDefault="00965EB4" w:rsidP="0040125A">
            <w:pPr>
              <w:rPr>
                <w:rFonts w:asciiTheme="majorHAnsi" w:hAnsiTheme="majorHAnsi" w:cstheme="majorHAnsi"/>
                <w:b w:val="0"/>
                <w:lang w:val="en-GB"/>
              </w:rPr>
            </w:pPr>
            <w:r w:rsidRPr="004B6B16">
              <w:rPr>
                <w:rFonts w:asciiTheme="majorHAnsi" w:hAnsiTheme="majorHAnsi" w:cstheme="majorHAnsi"/>
                <w:b w:val="0"/>
                <w:lang w:val="en-GB"/>
              </w:rPr>
              <w:t>Cows Parity 2</w:t>
            </w:r>
          </w:p>
        </w:tc>
        <w:tc>
          <w:tcPr>
            <w:tcW w:w="2520" w:type="dxa"/>
            <w:tcBorders>
              <w:top w:val="single" w:sz="4" w:space="0" w:color="7F7F7F" w:themeColor="text1" w:themeTint="80"/>
              <w:left w:val="nil"/>
              <w:bottom w:val="nil"/>
              <w:right w:val="nil"/>
            </w:tcBorders>
            <w:hideMark/>
          </w:tcPr>
          <w:p w14:paraId="4F037974" w14:textId="4347A3DB" w:rsidR="00965EB4" w:rsidRPr="00B31478" w:rsidRDefault="00965EB4" w:rsidP="0040125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p>
        </w:tc>
        <w:tc>
          <w:tcPr>
            <w:tcW w:w="1710" w:type="dxa"/>
            <w:tcBorders>
              <w:top w:val="single" w:sz="4" w:space="0" w:color="7F7F7F" w:themeColor="text1" w:themeTint="80"/>
              <w:left w:val="nil"/>
              <w:bottom w:val="nil"/>
              <w:right w:val="nil"/>
            </w:tcBorders>
          </w:tcPr>
          <w:p w14:paraId="1FA29E42" w14:textId="77777777" w:rsidR="00965EB4" w:rsidRPr="00B31478" w:rsidRDefault="00965EB4" w:rsidP="0040125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p>
        </w:tc>
        <w:tc>
          <w:tcPr>
            <w:tcW w:w="1331" w:type="dxa"/>
            <w:tcBorders>
              <w:top w:val="single" w:sz="4" w:space="0" w:color="7F7F7F" w:themeColor="text1" w:themeTint="80"/>
              <w:left w:val="nil"/>
              <w:bottom w:val="nil"/>
              <w:right w:val="nil"/>
            </w:tcBorders>
          </w:tcPr>
          <w:p w14:paraId="3B831C01" w14:textId="449ACDFF" w:rsidR="00965EB4" w:rsidRPr="00B31478" w:rsidRDefault="00965EB4" w:rsidP="0040125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No.</w:t>
            </w:r>
          </w:p>
        </w:tc>
      </w:tr>
      <w:tr w:rsidR="00965EB4" w14:paraId="08022823" w14:textId="77777777" w:rsidTr="00377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nil"/>
              <w:left w:val="nil"/>
              <w:bottom w:val="nil"/>
              <w:right w:val="nil"/>
            </w:tcBorders>
          </w:tcPr>
          <w:p w14:paraId="23ABD9A7" w14:textId="19E930A1" w:rsidR="00965EB4" w:rsidRPr="004B6B16" w:rsidRDefault="00965EB4">
            <w:pPr>
              <w:rPr>
                <w:rFonts w:asciiTheme="majorHAnsi" w:hAnsiTheme="majorHAnsi" w:cstheme="majorHAnsi"/>
                <w:b w:val="0"/>
                <w:lang w:val="en-GB"/>
              </w:rPr>
            </w:pPr>
            <w:r w:rsidRPr="004B6B16">
              <w:rPr>
                <w:rFonts w:asciiTheme="majorHAnsi" w:hAnsiTheme="majorHAnsi" w:cstheme="majorHAnsi"/>
                <w:b w:val="0"/>
                <w:lang w:val="en-GB"/>
              </w:rPr>
              <w:t xml:space="preserve">Cows Parity </w:t>
            </w:r>
            <w:r w:rsidR="00F428BF" w:rsidRPr="004B6B16">
              <w:rPr>
                <w:rFonts w:asciiTheme="majorHAnsi" w:hAnsiTheme="majorHAnsi" w:cstheme="majorHAnsi"/>
                <w:b w:val="0"/>
                <w:lang w:val="en-GB"/>
              </w:rPr>
              <w:t>3</w:t>
            </w:r>
          </w:p>
        </w:tc>
        <w:tc>
          <w:tcPr>
            <w:tcW w:w="2520" w:type="dxa"/>
            <w:tcBorders>
              <w:top w:val="nil"/>
              <w:left w:val="nil"/>
              <w:bottom w:val="nil"/>
              <w:right w:val="nil"/>
            </w:tcBorders>
          </w:tcPr>
          <w:p w14:paraId="12C9AFF7" w14:textId="77777777" w:rsidR="00965EB4" w:rsidRPr="00B31478" w:rsidRDefault="00965EB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p>
        </w:tc>
        <w:tc>
          <w:tcPr>
            <w:tcW w:w="1710" w:type="dxa"/>
            <w:tcBorders>
              <w:top w:val="nil"/>
              <w:left w:val="nil"/>
              <w:bottom w:val="nil"/>
              <w:right w:val="nil"/>
            </w:tcBorders>
          </w:tcPr>
          <w:p w14:paraId="5E705778" w14:textId="77777777" w:rsidR="00965EB4" w:rsidRPr="00B31478" w:rsidRDefault="00965EB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p>
        </w:tc>
        <w:tc>
          <w:tcPr>
            <w:tcW w:w="1331" w:type="dxa"/>
            <w:tcBorders>
              <w:top w:val="nil"/>
              <w:left w:val="nil"/>
              <w:bottom w:val="nil"/>
              <w:right w:val="nil"/>
            </w:tcBorders>
          </w:tcPr>
          <w:p w14:paraId="16D86E0A" w14:textId="66833707" w:rsidR="00965EB4" w:rsidRDefault="00965EB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No.</w:t>
            </w:r>
          </w:p>
        </w:tc>
      </w:tr>
      <w:tr w:rsidR="00965EB4" w14:paraId="10F6B3F0" w14:textId="77777777" w:rsidTr="00377531">
        <w:tc>
          <w:tcPr>
            <w:cnfStyle w:val="001000000000" w:firstRow="0" w:lastRow="0" w:firstColumn="1" w:lastColumn="0" w:oddVBand="0" w:evenVBand="0" w:oddHBand="0" w:evenHBand="0" w:firstRowFirstColumn="0" w:firstRowLastColumn="0" w:lastRowFirstColumn="0" w:lastRowLastColumn="0"/>
            <w:tcW w:w="3510" w:type="dxa"/>
            <w:tcBorders>
              <w:top w:val="nil"/>
              <w:left w:val="nil"/>
              <w:bottom w:val="nil"/>
              <w:right w:val="nil"/>
            </w:tcBorders>
          </w:tcPr>
          <w:p w14:paraId="7F771390" w14:textId="60308386" w:rsidR="00965EB4" w:rsidRPr="004B6B16" w:rsidRDefault="00965EB4">
            <w:pPr>
              <w:rPr>
                <w:rFonts w:asciiTheme="majorHAnsi" w:hAnsiTheme="majorHAnsi" w:cstheme="majorHAnsi"/>
                <w:b w:val="0"/>
                <w:lang w:val="en-GB"/>
              </w:rPr>
            </w:pPr>
            <w:r w:rsidRPr="004B6B16">
              <w:rPr>
                <w:rFonts w:asciiTheme="majorHAnsi" w:hAnsiTheme="majorHAnsi" w:cstheme="majorHAnsi"/>
                <w:b w:val="0"/>
                <w:lang w:val="en-GB"/>
              </w:rPr>
              <w:t xml:space="preserve">Cows Parity </w:t>
            </w:r>
            <w:r w:rsidR="00F428BF" w:rsidRPr="004B6B16">
              <w:rPr>
                <w:rFonts w:asciiTheme="majorHAnsi" w:hAnsiTheme="majorHAnsi" w:cstheme="majorHAnsi"/>
                <w:b w:val="0"/>
                <w:lang w:val="en-GB"/>
              </w:rPr>
              <w:t>4</w:t>
            </w:r>
          </w:p>
        </w:tc>
        <w:tc>
          <w:tcPr>
            <w:tcW w:w="2520" w:type="dxa"/>
            <w:tcBorders>
              <w:top w:val="nil"/>
              <w:left w:val="nil"/>
              <w:bottom w:val="nil"/>
              <w:right w:val="nil"/>
            </w:tcBorders>
          </w:tcPr>
          <w:p w14:paraId="16367D51" w14:textId="77777777" w:rsidR="00965EB4" w:rsidRPr="00B31478" w:rsidRDefault="00965E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p>
        </w:tc>
        <w:tc>
          <w:tcPr>
            <w:tcW w:w="1710" w:type="dxa"/>
            <w:tcBorders>
              <w:top w:val="nil"/>
              <w:left w:val="nil"/>
              <w:bottom w:val="nil"/>
              <w:right w:val="nil"/>
            </w:tcBorders>
          </w:tcPr>
          <w:p w14:paraId="43724599" w14:textId="77777777" w:rsidR="00965EB4" w:rsidRPr="00B31478" w:rsidRDefault="00965E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p>
        </w:tc>
        <w:tc>
          <w:tcPr>
            <w:tcW w:w="1331" w:type="dxa"/>
            <w:tcBorders>
              <w:top w:val="nil"/>
              <w:left w:val="nil"/>
              <w:bottom w:val="nil"/>
              <w:right w:val="nil"/>
            </w:tcBorders>
          </w:tcPr>
          <w:p w14:paraId="11E4C8C4" w14:textId="5BB5B770" w:rsidR="00965EB4" w:rsidRDefault="00965E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No.</w:t>
            </w:r>
          </w:p>
        </w:tc>
      </w:tr>
      <w:tr w:rsidR="00965EB4" w14:paraId="1F4C23D8" w14:textId="77777777" w:rsidTr="00377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nil"/>
              <w:left w:val="nil"/>
              <w:bottom w:val="nil"/>
              <w:right w:val="nil"/>
            </w:tcBorders>
          </w:tcPr>
          <w:p w14:paraId="6CA99286" w14:textId="44CB6168" w:rsidR="00965EB4" w:rsidRPr="004B6B16" w:rsidRDefault="00377531">
            <w:pPr>
              <w:rPr>
                <w:rFonts w:asciiTheme="majorHAnsi" w:hAnsiTheme="majorHAnsi" w:cstheme="majorHAnsi"/>
                <w:b w:val="0"/>
                <w:lang w:val="en-GB"/>
              </w:rPr>
            </w:pPr>
            <w:r w:rsidRPr="004B6B16">
              <w:rPr>
                <w:rFonts w:asciiTheme="majorHAnsi" w:hAnsiTheme="majorHAnsi" w:cstheme="majorHAnsi"/>
                <w:b w:val="0"/>
                <w:lang w:val="en-GB"/>
              </w:rPr>
              <w:t>SCC Parity 2</w:t>
            </w:r>
          </w:p>
        </w:tc>
        <w:tc>
          <w:tcPr>
            <w:tcW w:w="2520" w:type="dxa"/>
            <w:tcBorders>
              <w:top w:val="nil"/>
              <w:left w:val="nil"/>
              <w:bottom w:val="nil"/>
              <w:right w:val="nil"/>
            </w:tcBorders>
          </w:tcPr>
          <w:p w14:paraId="40670508" w14:textId="77777777" w:rsidR="00965EB4" w:rsidRPr="00B31478" w:rsidRDefault="00965EB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p>
        </w:tc>
        <w:tc>
          <w:tcPr>
            <w:tcW w:w="1710" w:type="dxa"/>
            <w:tcBorders>
              <w:top w:val="nil"/>
              <w:left w:val="nil"/>
              <w:bottom w:val="nil"/>
              <w:right w:val="nil"/>
            </w:tcBorders>
          </w:tcPr>
          <w:p w14:paraId="4B38E28A" w14:textId="77777777" w:rsidR="00965EB4" w:rsidRPr="00B31478" w:rsidRDefault="00965EB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p>
        </w:tc>
        <w:tc>
          <w:tcPr>
            <w:tcW w:w="1331" w:type="dxa"/>
            <w:tcBorders>
              <w:top w:val="nil"/>
              <w:left w:val="nil"/>
              <w:bottom w:val="nil"/>
              <w:right w:val="nil"/>
            </w:tcBorders>
          </w:tcPr>
          <w:p w14:paraId="6057B1C8" w14:textId="6FB9E84E" w:rsidR="00965EB4" w:rsidRDefault="0037753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K</w:t>
            </w:r>
          </w:p>
        </w:tc>
      </w:tr>
      <w:tr w:rsidR="00965EB4" w14:paraId="089F5DBD" w14:textId="2FD63592" w:rsidTr="00377531">
        <w:tc>
          <w:tcPr>
            <w:cnfStyle w:val="001000000000" w:firstRow="0" w:lastRow="0" w:firstColumn="1" w:lastColumn="0" w:oddVBand="0" w:evenVBand="0" w:oddHBand="0" w:evenHBand="0" w:firstRowFirstColumn="0" w:firstRowLastColumn="0" w:lastRowFirstColumn="0" w:lastRowLastColumn="0"/>
            <w:tcW w:w="3510" w:type="dxa"/>
            <w:tcBorders>
              <w:top w:val="nil"/>
              <w:left w:val="nil"/>
              <w:bottom w:val="single" w:sz="4" w:space="0" w:color="auto"/>
              <w:right w:val="nil"/>
            </w:tcBorders>
          </w:tcPr>
          <w:p w14:paraId="3D8EB3B0" w14:textId="77777777" w:rsidR="00965EB4" w:rsidRPr="004B6B16" w:rsidRDefault="00965EB4">
            <w:pPr>
              <w:rPr>
                <w:rFonts w:asciiTheme="majorHAnsi" w:hAnsiTheme="majorHAnsi" w:cstheme="majorHAnsi"/>
                <w:b w:val="0"/>
                <w:lang w:val="en-GB"/>
              </w:rPr>
            </w:pPr>
            <w:r w:rsidRPr="004B6B16">
              <w:rPr>
                <w:rFonts w:asciiTheme="majorHAnsi" w:hAnsiTheme="majorHAnsi" w:cstheme="majorHAnsi"/>
                <w:b w:val="0"/>
                <w:lang w:val="en-GB"/>
              </w:rPr>
              <w:t>SCC Parity 3</w:t>
            </w:r>
          </w:p>
          <w:p w14:paraId="0F562BE1" w14:textId="77777777" w:rsidR="00965EB4" w:rsidRDefault="00965EB4">
            <w:pPr>
              <w:rPr>
                <w:rFonts w:asciiTheme="majorHAnsi" w:hAnsiTheme="majorHAnsi" w:cstheme="majorHAnsi"/>
                <w:b w:val="0"/>
                <w:lang w:val="en-GB"/>
              </w:rPr>
            </w:pPr>
            <w:r w:rsidRPr="004B6B16">
              <w:rPr>
                <w:rFonts w:asciiTheme="majorHAnsi" w:hAnsiTheme="majorHAnsi" w:cstheme="majorHAnsi"/>
                <w:b w:val="0"/>
                <w:lang w:val="en-GB"/>
              </w:rPr>
              <w:t>SCC Parity 4</w:t>
            </w:r>
          </w:p>
          <w:p w14:paraId="0BC5D080" w14:textId="77777777" w:rsidR="001347AB" w:rsidRDefault="001347AB">
            <w:pPr>
              <w:rPr>
                <w:rFonts w:asciiTheme="majorHAnsi" w:hAnsiTheme="majorHAnsi" w:cstheme="majorHAnsi"/>
                <w:b w:val="0"/>
                <w:lang w:val="en-GB"/>
              </w:rPr>
            </w:pPr>
            <w:r>
              <w:rPr>
                <w:rFonts w:asciiTheme="majorHAnsi" w:hAnsiTheme="majorHAnsi" w:cstheme="majorHAnsi"/>
                <w:b w:val="0"/>
                <w:lang w:val="en-GB"/>
              </w:rPr>
              <w:t>DIM</w:t>
            </w:r>
          </w:p>
          <w:p w14:paraId="0BDB4F72" w14:textId="3E41DAAC" w:rsidR="00041BF4" w:rsidRPr="004B6B16" w:rsidRDefault="00041BF4">
            <w:pPr>
              <w:rPr>
                <w:rFonts w:asciiTheme="majorHAnsi" w:hAnsiTheme="majorHAnsi" w:cstheme="majorHAnsi"/>
                <w:b w:val="0"/>
                <w:lang w:val="en-GB"/>
              </w:rPr>
            </w:pPr>
            <w:r>
              <w:rPr>
                <w:rFonts w:asciiTheme="majorHAnsi" w:hAnsiTheme="majorHAnsi" w:cstheme="majorHAnsi"/>
                <w:b w:val="0"/>
                <w:lang w:val="en-GB"/>
              </w:rPr>
              <w:t>IMI</w:t>
            </w:r>
          </w:p>
        </w:tc>
        <w:tc>
          <w:tcPr>
            <w:tcW w:w="2520" w:type="dxa"/>
            <w:tcBorders>
              <w:top w:val="nil"/>
              <w:left w:val="nil"/>
              <w:bottom w:val="single" w:sz="4" w:space="0" w:color="auto"/>
              <w:right w:val="nil"/>
            </w:tcBorders>
          </w:tcPr>
          <w:p w14:paraId="77837152" w14:textId="77777777" w:rsidR="00965EB4" w:rsidRPr="00B31478" w:rsidRDefault="00965E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p>
        </w:tc>
        <w:tc>
          <w:tcPr>
            <w:tcW w:w="1710" w:type="dxa"/>
            <w:tcBorders>
              <w:top w:val="nil"/>
              <w:left w:val="nil"/>
              <w:bottom w:val="single" w:sz="4" w:space="0" w:color="auto"/>
              <w:right w:val="nil"/>
            </w:tcBorders>
          </w:tcPr>
          <w:p w14:paraId="144A9A3B" w14:textId="77777777" w:rsidR="00965EB4" w:rsidRPr="00B31478" w:rsidRDefault="00965E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p>
        </w:tc>
        <w:tc>
          <w:tcPr>
            <w:tcW w:w="1331" w:type="dxa"/>
            <w:tcBorders>
              <w:top w:val="nil"/>
              <w:left w:val="nil"/>
              <w:bottom w:val="single" w:sz="4" w:space="0" w:color="auto"/>
              <w:right w:val="nil"/>
            </w:tcBorders>
          </w:tcPr>
          <w:p w14:paraId="3632AAA4" w14:textId="6D5FA12A" w:rsidR="00965EB4" w:rsidRDefault="0037753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K</w:t>
            </w:r>
          </w:p>
          <w:p w14:paraId="1B11DF8C" w14:textId="777D59FB" w:rsidR="00965EB4" w:rsidRDefault="0037753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K</w:t>
            </w:r>
          </w:p>
          <w:p w14:paraId="1EF1F828" w14:textId="77777777" w:rsidR="001347AB" w:rsidRDefault="001347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p>
          <w:p w14:paraId="47D1E866" w14:textId="477CD55B" w:rsidR="001347AB" w:rsidRPr="00B31478" w:rsidRDefault="001347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p>
        </w:tc>
      </w:tr>
    </w:tbl>
    <w:p w14:paraId="61FEDBC6" w14:textId="77777777" w:rsidR="006C7F84" w:rsidRPr="006C7F84" w:rsidRDefault="006C7F84" w:rsidP="005A1195">
      <w:pPr>
        <w:spacing w:after="120" w:line="276" w:lineRule="auto"/>
        <w:rPr>
          <w:rFonts w:asciiTheme="minorHAnsi" w:hAnsiTheme="minorHAnsi" w:cstheme="minorHAnsi"/>
        </w:rPr>
      </w:pPr>
    </w:p>
    <w:p w14:paraId="3547D2DA" w14:textId="77777777" w:rsidR="00C62153" w:rsidRPr="00C62153" w:rsidRDefault="00C62153" w:rsidP="00C62153">
      <w:pPr>
        <w:pStyle w:val="VE2"/>
        <w:tabs>
          <w:tab w:val="clear" w:pos="4545"/>
          <w:tab w:val="num" w:pos="709"/>
        </w:tabs>
        <w:ind w:left="567" w:hanging="578"/>
        <w:rPr>
          <w:lang w:val="en-GB"/>
        </w:rPr>
      </w:pPr>
      <w:r w:rsidRPr="00C62153">
        <w:rPr>
          <w:lang w:val="en-GB"/>
        </w:rPr>
        <w:lastRenderedPageBreak/>
        <w:t>Descriptive analysis</w:t>
      </w:r>
    </w:p>
    <w:p w14:paraId="1F70B962" w14:textId="77777777" w:rsidR="00C62153" w:rsidRPr="00A50D11" w:rsidRDefault="00C62153" w:rsidP="00C62153">
      <w:pPr>
        <w:spacing w:after="120" w:line="276" w:lineRule="auto"/>
        <w:rPr>
          <w:rFonts w:asciiTheme="minorHAnsi" w:hAnsiTheme="minorHAnsi" w:cstheme="minorHAnsi"/>
          <w:lang w:val="en-GB"/>
        </w:rPr>
      </w:pPr>
      <w:r w:rsidRPr="00A50D11">
        <w:rPr>
          <w:rFonts w:asciiTheme="minorHAnsi" w:hAnsiTheme="minorHAnsi" w:cstheme="minorHAnsi"/>
          <w:lang w:val="en-GB"/>
        </w:rPr>
        <w:t>Identif</w:t>
      </w:r>
      <w:r>
        <w:rPr>
          <w:rFonts w:asciiTheme="minorHAnsi" w:hAnsiTheme="minorHAnsi" w:cstheme="minorHAnsi"/>
          <w:lang w:val="en-GB"/>
        </w:rPr>
        <w:t>ication of patterns in the data and</w:t>
      </w:r>
      <w:r w:rsidRPr="00A50D11">
        <w:rPr>
          <w:rFonts w:asciiTheme="minorHAnsi" w:hAnsiTheme="minorHAnsi" w:cstheme="minorHAnsi"/>
          <w:lang w:val="en-GB"/>
        </w:rPr>
        <w:t xml:space="preserve"> linear dependency between variables of interests was carried out </w:t>
      </w:r>
      <w:r>
        <w:rPr>
          <w:rFonts w:asciiTheme="minorHAnsi" w:hAnsiTheme="minorHAnsi" w:cstheme="minorHAnsi"/>
          <w:lang w:val="en-GB"/>
        </w:rPr>
        <w:t xml:space="preserve">with R </w:t>
      </w:r>
      <w:r>
        <w:rPr>
          <w:rFonts w:asciiTheme="minorHAnsi" w:hAnsiTheme="minorHAnsi" w:cstheme="minorHAnsi"/>
          <w:lang w:val="en-GB"/>
        </w:rPr>
        <w:fldChar w:fldCharType="begin" w:fldLock="1"/>
      </w:r>
      <w:r>
        <w:rPr>
          <w:rFonts w:asciiTheme="minorHAnsi" w:hAnsiTheme="minorHAnsi" w:cstheme="minorHAnsi"/>
          <w:lang w:val="en-GB"/>
        </w:rPr>
        <w:instrText>ADDIN CSL_CITATION {"citationItems":[{"id":"ITEM-1","itemData":{"author":[{"dropping-particle":"","family":"R Core team","given":"","non-dropping-particle":"","parse-names":false,"suffix":""}],"id":"ITEM-1","issued":{"date-parts":[["2020"]]},"number":"4.0","publisher":"R Foundation for Statistical Computing, Vienna, Austria","title":"R: A language and environment for statistical computing","type":"article"},"uris":["http://www.mendeley.com/documents/?uuid=a8532e52-012a-43fa-9390-c42df529d031"]}],"mendeley":{"formattedCitation":"(R Core team, 2020)","plainTextFormattedCitation":"(R Core team, 2020)"},"properties":{"noteIndex":0},"schema":"https://github.com/citation-style-language/schema/raw/master/csl-citation.json"}</w:instrText>
      </w:r>
      <w:r>
        <w:rPr>
          <w:rFonts w:asciiTheme="minorHAnsi" w:hAnsiTheme="minorHAnsi" w:cstheme="minorHAnsi"/>
          <w:lang w:val="en-GB"/>
        </w:rPr>
        <w:fldChar w:fldCharType="separate"/>
      </w:r>
      <w:r w:rsidRPr="00A50D11">
        <w:rPr>
          <w:rFonts w:asciiTheme="minorHAnsi" w:hAnsiTheme="minorHAnsi" w:cstheme="minorHAnsi"/>
          <w:noProof/>
          <w:lang w:val="en-GB"/>
        </w:rPr>
        <w:t>(R Core team, 2020)</w:t>
      </w:r>
      <w:r>
        <w:rPr>
          <w:rFonts w:asciiTheme="minorHAnsi" w:hAnsiTheme="minorHAnsi" w:cstheme="minorHAnsi"/>
          <w:lang w:val="en-GB"/>
        </w:rPr>
        <w:fldChar w:fldCharType="end"/>
      </w:r>
      <w:r>
        <w:rPr>
          <w:rFonts w:asciiTheme="minorHAnsi" w:hAnsiTheme="minorHAnsi" w:cstheme="minorHAnsi"/>
          <w:lang w:val="en-GB"/>
        </w:rPr>
        <w:t>.</w:t>
      </w:r>
    </w:p>
    <w:p w14:paraId="76E46643" w14:textId="23884FC5" w:rsidR="009F0E2E" w:rsidRDefault="009F0E2E" w:rsidP="009F0E2E">
      <w:pPr>
        <w:rPr>
          <w:lang w:val="en-GB"/>
        </w:rPr>
      </w:pPr>
    </w:p>
    <w:p w14:paraId="3F68F961" w14:textId="77777777" w:rsidR="00C62153" w:rsidRPr="009F0E2E" w:rsidRDefault="00C62153" w:rsidP="009F0E2E">
      <w:pPr>
        <w:rPr>
          <w:lang w:val="en-GB"/>
        </w:rPr>
      </w:pPr>
    </w:p>
    <w:p w14:paraId="76538072" w14:textId="6945D1BD" w:rsidR="00DE33E4" w:rsidRPr="00796211" w:rsidRDefault="00796211" w:rsidP="00796211">
      <w:pPr>
        <w:pStyle w:val="VE2"/>
        <w:tabs>
          <w:tab w:val="clear" w:pos="4545"/>
          <w:tab w:val="num" w:pos="709"/>
        </w:tabs>
        <w:ind w:left="567" w:hanging="578"/>
        <w:rPr>
          <w:lang w:val="en-GB"/>
        </w:rPr>
      </w:pPr>
      <w:r w:rsidRPr="00796211">
        <w:rPr>
          <w:lang w:val="en-GB"/>
        </w:rPr>
        <w:t>Somatic Cell Count</w:t>
      </w:r>
      <w:bookmarkStart w:id="0" w:name="_GoBack"/>
      <w:bookmarkEnd w:id="0"/>
    </w:p>
    <w:p w14:paraId="35600050" w14:textId="18D61371" w:rsidR="00C66D7D" w:rsidRPr="00AD3700" w:rsidRDefault="001347AB" w:rsidP="00AD3700">
      <w:pPr>
        <w:spacing w:after="120" w:line="276" w:lineRule="auto"/>
        <w:rPr>
          <w:rFonts w:asciiTheme="minorHAnsi" w:hAnsiTheme="minorHAnsi" w:cstheme="minorHAnsi"/>
          <w:lang w:val="en-GB"/>
        </w:rPr>
      </w:pPr>
      <w:r>
        <w:rPr>
          <w:rFonts w:asciiTheme="minorHAnsi" w:hAnsiTheme="minorHAnsi" w:cstheme="minorHAnsi"/>
          <w:lang w:val="en-GB"/>
        </w:rPr>
        <w:t xml:space="preserve">The </w:t>
      </w:r>
      <w:r w:rsidR="00041BF4">
        <w:rPr>
          <w:rFonts w:asciiTheme="minorHAnsi" w:hAnsiTheme="minorHAnsi" w:cstheme="minorHAnsi"/>
          <w:lang w:val="en-GB"/>
        </w:rPr>
        <w:t>SCC</w:t>
      </w:r>
      <w:r>
        <w:rPr>
          <w:rFonts w:asciiTheme="minorHAnsi" w:hAnsiTheme="minorHAnsi" w:cstheme="minorHAnsi"/>
          <w:lang w:val="en-GB"/>
        </w:rPr>
        <w:t xml:space="preserve"> </w:t>
      </w:r>
      <w:r w:rsidR="00041BF4">
        <w:rPr>
          <w:rFonts w:asciiTheme="minorHAnsi" w:hAnsiTheme="minorHAnsi" w:cstheme="minorHAnsi"/>
          <w:lang w:val="en-GB"/>
        </w:rPr>
        <w:t>both from previous and current lactation phase was log transformed to achieve a normal distribution. The</w:t>
      </w:r>
      <w:r w:rsidR="00AD3700">
        <w:rPr>
          <w:rFonts w:asciiTheme="minorHAnsi" w:hAnsiTheme="minorHAnsi" w:cstheme="minorHAnsi"/>
          <w:lang w:val="en-GB"/>
        </w:rPr>
        <w:t xml:space="preserve"> DIM and the</w:t>
      </w:r>
      <w:r w:rsidR="00041BF4">
        <w:rPr>
          <w:rFonts w:asciiTheme="minorHAnsi" w:hAnsiTheme="minorHAnsi" w:cstheme="minorHAnsi"/>
          <w:lang w:val="en-GB"/>
        </w:rPr>
        <w:t xml:space="preserve"> transformed SCC</w:t>
      </w:r>
      <w:r w:rsidR="00AD3700">
        <w:rPr>
          <w:rFonts w:asciiTheme="minorHAnsi" w:hAnsiTheme="minorHAnsi" w:cstheme="minorHAnsi"/>
          <w:lang w:val="en-GB"/>
        </w:rPr>
        <w:t xml:space="preserve"> </w:t>
      </w:r>
      <w:r w:rsidR="00041BF4">
        <w:rPr>
          <w:rFonts w:asciiTheme="minorHAnsi" w:hAnsiTheme="minorHAnsi" w:cstheme="minorHAnsi"/>
          <w:lang w:val="en-GB"/>
        </w:rPr>
        <w:t xml:space="preserve">was fitted </w:t>
      </w:r>
      <w:r w:rsidR="00AD3700">
        <w:rPr>
          <w:rFonts w:asciiTheme="minorHAnsi" w:hAnsiTheme="minorHAnsi" w:cstheme="minorHAnsi"/>
          <w:lang w:val="en-GB"/>
        </w:rPr>
        <w:t xml:space="preserve">on herd level to the </w:t>
      </w:r>
      <w:r w:rsidR="00041BF4">
        <w:rPr>
          <w:rFonts w:asciiTheme="minorHAnsi" w:hAnsiTheme="minorHAnsi" w:cstheme="minorHAnsi"/>
          <w:lang w:val="en-GB"/>
        </w:rPr>
        <w:t>Wilmink function</w:t>
      </w:r>
      <w:r w:rsidR="00AD3700">
        <w:rPr>
          <w:rFonts w:asciiTheme="minorHAnsi" w:hAnsiTheme="minorHAnsi" w:cstheme="minorHAnsi"/>
          <w:lang w:val="en-GB"/>
        </w:rPr>
        <w:t xml:space="preserve"> (</w:t>
      </w:r>
      <w:r w:rsidR="00AD3700" w:rsidRPr="00AD3700">
        <w:rPr>
          <w:rFonts w:asciiTheme="minorHAnsi" w:hAnsiTheme="minorHAnsi" w:cstheme="minorHAnsi"/>
          <w:color w:val="FF0000"/>
          <w:lang w:val="en-GB"/>
        </w:rPr>
        <w:t>Wilmink 1987</w:t>
      </w:r>
      <w:r w:rsidR="00AD3700">
        <w:rPr>
          <w:rFonts w:asciiTheme="minorHAnsi" w:hAnsiTheme="minorHAnsi" w:cstheme="minorHAnsi"/>
          <w:lang w:val="en-GB"/>
        </w:rPr>
        <w:t>):</w:t>
      </w:r>
    </w:p>
    <w:p w14:paraId="3A0A4D5A" w14:textId="6B626ED5" w:rsidR="00C66D7D" w:rsidRPr="002430A0" w:rsidRDefault="00E80EF2" w:rsidP="00C66D7D">
      <w:pPr>
        <w:pStyle w:val="ListBullet"/>
        <w:numPr>
          <w:ilvl w:val="0"/>
          <w:numId w:val="0"/>
        </w:numPr>
        <w:tabs>
          <w:tab w:val="left" w:pos="720"/>
        </w:tabs>
        <w:rPr>
          <w:rFonts w:ascii="Calibri" w:eastAsiaTheme="minorEastAsia" w:hAnsi="Calibri" w:cs="Calibri"/>
        </w:rPr>
      </w:pPr>
      <m:oMathPara>
        <m:oMath>
          <m:sSub>
            <m:sSubPr>
              <m:ctrlPr>
                <w:rPr>
                  <w:rFonts w:ascii="Cambria Math" w:hAnsi="Cambria Math"/>
                  <w:i/>
                </w:rPr>
              </m:ctrlPr>
            </m:sSubPr>
            <m:e>
              <m:r>
                <w:rPr>
                  <w:rFonts w:ascii="Cambria Math" w:hAnsi="Cambria Math"/>
                  <w:sz w:val="20"/>
                  <w:szCs w:val="20"/>
                </w:rPr>
                <m:t>logit(SCC)</m:t>
              </m:r>
            </m:e>
            <m:sub>
              <m:r>
                <w:rPr>
                  <w:rFonts w:ascii="Cambria Math" w:hAnsi="Cambria Math"/>
                  <w:sz w:val="20"/>
                  <w:szCs w:val="20"/>
                </w:rPr>
                <m:t>j,k</m:t>
              </m:r>
            </m:sub>
          </m:sSub>
          <m:r>
            <w:rPr>
              <w:rFonts w:ascii="Cambria Math" w:eastAsia="Cambria Math" w:hAnsi="Cambria Math" w:cs="Cambria Math"/>
              <w:sz w:val="20"/>
              <w:szCs w:val="20"/>
            </w:rPr>
            <m:t>=</m:t>
          </m:r>
          <m:sSub>
            <m:sSubPr>
              <m:ctrlPr>
                <w:rPr>
                  <w:rFonts w:ascii="Cambria Math" w:eastAsia="Cambria Math" w:hAnsi="Cambria Math" w:cs="Cambria Math"/>
                  <w:i/>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j,k</m:t>
              </m:r>
            </m:sub>
          </m:sSub>
          <m:r>
            <w:rPr>
              <w:rFonts w:ascii="Cambria Math" w:eastAsia="Cambria Math" w:hAnsi="Cambria Math" w:cs="Cambria Math"/>
              <w:sz w:val="20"/>
              <w:szCs w:val="20"/>
            </w:rPr>
            <m:t>+</m:t>
          </m:r>
          <m:sSub>
            <m:sSubPr>
              <m:ctrlPr>
                <w:rPr>
                  <w:rFonts w:ascii="Cambria Math" w:eastAsia="Cambria Math" w:hAnsi="Cambria Math" w:cs="Cambria Math"/>
                  <w:i/>
                </w:rPr>
              </m:ctrlPr>
            </m:sSubPr>
            <m:e>
              <m:r>
                <w:rPr>
                  <w:rFonts w:ascii="Cambria Math" w:eastAsia="Cambria Math" w:hAnsi="Cambria Math" w:cs="Cambria Math"/>
                  <w:sz w:val="20"/>
                  <w:szCs w:val="20"/>
                </w:rPr>
                <m:t>b</m:t>
              </m:r>
            </m:e>
            <m:sub>
              <m:r>
                <w:rPr>
                  <w:rFonts w:ascii="Cambria Math" w:eastAsia="Cambria Math" w:hAnsi="Cambria Math" w:cs="Cambria Math"/>
                  <w:sz w:val="20"/>
                  <w:szCs w:val="20"/>
                </w:rPr>
                <m:t>j,k</m:t>
              </m:r>
            </m:sub>
          </m:sSub>
          <m:r>
            <w:rPr>
              <w:rFonts w:ascii="Cambria Math" w:eastAsia="Cambria Math" w:hAnsi="Cambria Math" w:cs="Cambria Math"/>
              <w:sz w:val="20"/>
              <w:szCs w:val="20"/>
            </w:rPr>
            <m:t xml:space="preserve">∙DIM+ </m:t>
          </m:r>
          <m:sSub>
            <m:sSubPr>
              <m:ctrlPr>
                <w:rPr>
                  <w:rFonts w:ascii="Cambria Math" w:eastAsia="Cambria Math" w:hAnsi="Cambria Math" w:cs="Cambria Math"/>
                  <w:i/>
                </w:rPr>
              </m:ctrlPr>
            </m:sSubPr>
            <m:e>
              <m:r>
                <m:rPr>
                  <m:sty m:val="p"/>
                </m:rPr>
                <w:rPr>
                  <w:rFonts w:ascii="Cambria Math" w:eastAsia="Cambria Math" w:hAnsi="Cambria Math" w:cs="Cambria Math"/>
                  <w:sz w:val="20"/>
                  <w:szCs w:val="20"/>
                </w:rPr>
                <m:t>exp⁡</m:t>
              </m:r>
              <m:r>
                <w:rPr>
                  <w:rFonts w:ascii="Cambria Math" w:eastAsia="Cambria Math" w:hAnsi="Cambria Math" w:cs="Cambria Math"/>
                  <w:sz w:val="20"/>
                  <w:szCs w:val="20"/>
                </w:rPr>
                <m:t>(-</m:t>
              </m:r>
              <m:r>
                <m:rPr>
                  <m:sty m:val="p"/>
                </m:rPr>
                <w:rPr>
                  <w:rFonts w:ascii="Cambria Math" w:eastAsia="Cambria Math" w:hAnsi="Cambria Math" w:cs="Cambria Math"/>
                  <w:sz w:val="20"/>
                  <w:szCs w:val="20"/>
                </w:rPr>
                <m:t>exp⁡</m:t>
              </m:r>
              <m:r>
                <w:rPr>
                  <w:rFonts w:ascii="Cambria Math" w:eastAsia="Cambria Math" w:hAnsi="Cambria Math" w:cs="Cambria Math"/>
                  <w:sz w:val="20"/>
                  <w:szCs w:val="20"/>
                </w:rPr>
                <m:t>(k</m:t>
              </m:r>
            </m:e>
            <m:sub>
              <m:r>
                <w:rPr>
                  <w:rFonts w:ascii="Cambria Math" w:eastAsia="Cambria Math" w:hAnsi="Cambria Math" w:cs="Cambria Math"/>
                  <w:sz w:val="20"/>
                  <w:szCs w:val="20"/>
                </w:rPr>
                <m:t>j,k</m:t>
              </m:r>
            </m:sub>
          </m:sSub>
          <m:r>
            <w:rPr>
              <w:rFonts w:ascii="Cambria Math" w:eastAsia="Cambria Math" w:hAnsi="Cambria Math" w:cs="Cambria Math"/>
              <w:sz w:val="20"/>
              <w:szCs w:val="20"/>
            </w:rPr>
            <m:t xml:space="preserve">)∙DIM)∙ </m:t>
          </m:r>
          <m:sSub>
            <m:sSubPr>
              <m:ctrlPr>
                <w:rPr>
                  <w:rFonts w:ascii="Cambria Math" w:eastAsia="Cambria Math" w:hAnsi="Cambria Math" w:cs="Cambria Math"/>
                  <w:i/>
                </w:rPr>
              </m:ctrlPr>
            </m:sSubPr>
            <m:e>
              <m:r>
                <w:rPr>
                  <w:rFonts w:ascii="Cambria Math" w:eastAsia="Cambria Math" w:hAnsi="Cambria Math" w:cs="Cambria Math"/>
                  <w:sz w:val="20"/>
                  <w:szCs w:val="20"/>
                </w:rPr>
                <m:t>d</m:t>
              </m:r>
            </m:e>
            <m:sub>
              <m:r>
                <w:rPr>
                  <w:rFonts w:ascii="Cambria Math" w:eastAsia="Cambria Math" w:hAnsi="Cambria Math" w:cs="Cambria Math"/>
                  <w:sz w:val="20"/>
                  <w:szCs w:val="20"/>
                </w:rPr>
                <m:t>j,k</m:t>
              </m:r>
            </m:sub>
          </m:sSub>
        </m:oMath>
      </m:oMathPara>
    </w:p>
    <w:p w14:paraId="5C55C63D" w14:textId="77777777" w:rsidR="002430A0" w:rsidRPr="00611A94" w:rsidRDefault="002430A0" w:rsidP="00611A94">
      <w:pPr>
        <w:spacing w:line="276" w:lineRule="auto"/>
        <w:rPr>
          <w:rFonts w:ascii="Calibri" w:hAnsi="Calibri" w:cs="Calibri"/>
          <w:i/>
          <w:lang w:val="en-GB"/>
        </w:rPr>
      </w:pPr>
    </w:p>
    <w:p w14:paraId="535FE440" w14:textId="017678EB" w:rsidR="00611A94" w:rsidRPr="00AD3700" w:rsidRDefault="00AD3700" w:rsidP="00611A94">
      <w:pPr>
        <w:spacing w:line="276" w:lineRule="auto"/>
        <w:rPr>
          <w:rFonts w:ascii="Calibri" w:hAnsi="Calibri" w:cs="Calibri"/>
          <w:lang w:val="en-GB"/>
        </w:rPr>
      </w:pPr>
      <w:proofErr w:type="gramStart"/>
      <w:r>
        <w:rPr>
          <w:rFonts w:ascii="Calibri" w:hAnsi="Calibri" w:cs="Calibri"/>
          <w:lang w:val="en-GB"/>
        </w:rPr>
        <w:t>where</w:t>
      </w:r>
      <w:proofErr w:type="gramEnd"/>
      <w:r>
        <w:rPr>
          <w:rFonts w:ascii="Calibri" w:hAnsi="Calibri" w:cs="Calibri"/>
          <w:lang w:val="en-GB"/>
        </w:rPr>
        <w:t xml:space="preserve"> the subscripts</w:t>
      </w:r>
      <w:r w:rsidRPr="00AD3700">
        <w:rPr>
          <w:rFonts w:ascii="Calibri" w:hAnsi="Calibri" w:cs="Calibri"/>
          <w:i/>
          <w:lang w:val="en-GB"/>
        </w:rPr>
        <w:t xml:space="preserve"> j</w:t>
      </w:r>
      <w:r>
        <w:rPr>
          <w:rFonts w:ascii="Calibri" w:hAnsi="Calibri" w:cs="Calibri"/>
          <w:lang w:val="en-GB"/>
        </w:rPr>
        <w:t xml:space="preserve"> </w:t>
      </w:r>
      <w:r w:rsidR="00611A94" w:rsidRPr="00AD3700">
        <w:rPr>
          <w:rFonts w:ascii="Calibri" w:hAnsi="Calibri" w:cs="Calibri"/>
          <w:lang w:val="en-GB"/>
        </w:rPr>
        <w:t xml:space="preserve">and </w:t>
      </w:r>
      <w:r w:rsidR="00611A94" w:rsidRPr="00AD3700">
        <w:rPr>
          <w:rFonts w:ascii="Calibri" w:hAnsi="Calibri" w:cs="Calibri"/>
          <w:i/>
          <w:lang w:val="en-GB"/>
        </w:rPr>
        <w:t>k</w:t>
      </w:r>
      <w:r w:rsidR="00611A94" w:rsidRPr="00AD3700">
        <w:rPr>
          <w:rFonts w:ascii="Calibri" w:hAnsi="Calibri" w:cs="Calibri"/>
          <w:lang w:val="en-GB"/>
        </w:rPr>
        <w:t xml:space="preserve"> represents the</w:t>
      </w:r>
      <w:r w:rsidR="00611A94" w:rsidRPr="00AD3700">
        <w:rPr>
          <w:rFonts w:ascii="Calibri" w:hAnsi="Calibri" w:cs="Calibri"/>
          <w:i/>
          <w:lang w:val="en-GB"/>
        </w:rPr>
        <w:t xml:space="preserve"> </w:t>
      </w:r>
      <w:proofErr w:type="spellStart"/>
      <w:r w:rsidR="00611A94" w:rsidRPr="00AD3700">
        <w:rPr>
          <w:rFonts w:ascii="Calibri" w:hAnsi="Calibri" w:cs="Calibri"/>
          <w:i/>
          <w:lang w:val="en-GB"/>
        </w:rPr>
        <w:t>jth</w:t>
      </w:r>
      <w:proofErr w:type="spellEnd"/>
      <w:r w:rsidR="00611A94" w:rsidRPr="00AD3700">
        <w:rPr>
          <w:rFonts w:ascii="Calibri" w:hAnsi="Calibri" w:cs="Calibri"/>
          <w:lang w:val="en-GB"/>
        </w:rPr>
        <w:t xml:space="preserve"> cow and the </w:t>
      </w:r>
      <w:r w:rsidR="00611A94" w:rsidRPr="00AD3700">
        <w:rPr>
          <w:rFonts w:ascii="Calibri" w:hAnsi="Calibri" w:cs="Calibri"/>
          <w:i/>
          <w:lang w:val="en-GB"/>
        </w:rPr>
        <w:t xml:space="preserve">kth </w:t>
      </w:r>
      <w:r>
        <w:rPr>
          <w:rFonts w:ascii="Calibri" w:hAnsi="Calibri" w:cs="Calibri"/>
          <w:lang w:val="en-GB"/>
        </w:rPr>
        <w:t xml:space="preserve">herd, and </w:t>
      </w:r>
      <w:r w:rsidRPr="00AD3700">
        <w:rPr>
          <w:rFonts w:ascii="Calibri" w:hAnsi="Calibri" w:cs="Calibri"/>
          <w:i/>
          <w:lang w:val="en-GB"/>
        </w:rPr>
        <w:t>a,</w:t>
      </w:r>
      <w:r>
        <w:rPr>
          <w:rFonts w:ascii="Calibri" w:hAnsi="Calibri" w:cs="Calibri"/>
          <w:i/>
          <w:lang w:val="en-GB"/>
        </w:rPr>
        <w:t xml:space="preserve"> </w:t>
      </w:r>
      <w:r w:rsidRPr="00AD3700">
        <w:rPr>
          <w:rFonts w:ascii="Calibri" w:hAnsi="Calibri" w:cs="Calibri"/>
          <w:i/>
          <w:lang w:val="en-GB"/>
        </w:rPr>
        <w:t>b,</w:t>
      </w:r>
      <w:r>
        <w:rPr>
          <w:rFonts w:ascii="Calibri" w:hAnsi="Calibri" w:cs="Calibri"/>
          <w:i/>
          <w:lang w:val="en-GB"/>
        </w:rPr>
        <w:t xml:space="preserve"> </w:t>
      </w:r>
      <w:r w:rsidRPr="00AD3700">
        <w:rPr>
          <w:rFonts w:ascii="Calibri" w:hAnsi="Calibri" w:cs="Calibri"/>
          <w:i/>
          <w:lang w:val="en-GB"/>
        </w:rPr>
        <w:t xml:space="preserve">k </w:t>
      </w:r>
      <w:r w:rsidRPr="00AD3700">
        <w:rPr>
          <w:rFonts w:ascii="Calibri" w:hAnsi="Calibri" w:cs="Calibri"/>
          <w:lang w:val="en-GB"/>
        </w:rPr>
        <w:t xml:space="preserve">and </w:t>
      </w:r>
      <w:proofErr w:type="spellStart"/>
      <w:r w:rsidRPr="00AD3700">
        <w:rPr>
          <w:rFonts w:ascii="Calibri" w:hAnsi="Calibri" w:cs="Calibri"/>
          <w:i/>
          <w:lang w:val="en-GB"/>
        </w:rPr>
        <w:t>d</w:t>
      </w:r>
      <w:r>
        <w:rPr>
          <w:rFonts w:ascii="Calibri" w:hAnsi="Calibri" w:cs="Calibri"/>
          <w:lang w:val="en-GB"/>
        </w:rPr>
        <w:t xml:space="preserve"> are</w:t>
      </w:r>
      <w:proofErr w:type="spellEnd"/>
      <w:r>
        <w:rPr>
          <w:rFonts w:ascii="Calibri" w:hAnsi="Calibri" w:cs="Calibri"/>
          <w:lang w:val="en-GB"/>
        </w:rPr>
        <w:t xml:space="preserve"> the parameters describing the curve.</w:t>
      </w:r>
    </w:p>
    <w:p w14:paraId="5EB403AA" w14:textId="77777777" w:rsidR="00AD3700" w:rsidRPr="00AD3700" w:rsidRDefault="00AD3700" w:rsidP="00611A94">
      <w:pPr>
        <w:spacing w:line="276" w:lineRule="auto"/>
        <w:rPr>
          <w:rFonts w:ascii="Calibri" w:hAnsi="Calibri" w:cs="Calibri"/>
          <w:lang w:val="en-GB"/>
        </w:rPr>
      </w:pPr>
    </w:p>
    <w:p w14:paraId="563B58B5" w14:textId="77777777" w:rsidR="00611A94" w:rsidRDefault="00611A94" w:rsidP="002430A0">
      <w:pPr>
        <w:pStyle w:val="VE2"/>
        <w:numPr>
          <w:ilvl w:val="0"/>
          <w:numId w:val="0"/>
        </w:numPr>
        <w:ind w:left="567" w:hanging="567"/>
        <w:rPr>
          <w:b w:val="0"/>
          <w:bCs w:val="0"/>
          <w:i w:val="0"/>
          <w:iCs w:val="0"/>
          <w:color w:val="FF0000"/>
          <w:sz w:val="22"/>
          <w:szCs w:val="24"/>
          <w:lang w:val="en-GB"/>
        </w:rPr>
      </w:pPr>
    </w:p>
    <w:p w14:paraId="209A0A17" w14:textId="14181E13" w:rsidR="002430A0" w:rsidRDefault="002430A0" w:rsidP="002430A0">
      <w:pPr>
        <w:pStyle w:val="VE2"/>
        <w:numPr>
          <w:ilvl w:val="0"/>
          <w:numId w:val="0"/>
        </w:numPr>
        <w:ind w:left="567" w:hanging="567"/>
        <w:rPr>
          <w:b w:val="0"/>
          <w:bCs w:val="0"/>
          <w:i w:val="0"/>
          <w:iCs w:val="0"/>
          <w:color w:val="FF0000"/>
          <w:sz w:val="22"/>
          <w:szCs w:val="24"/>
          <w:lang w:val="en-GB"/>
        </w:rPr>
      </w:pPr>
      <w:r>
        <w:rPr>
          <w:b w:val="0"/>
          <w:bCs w:val="0"/>
          <w:i w:val="0"/>
          <w:iCs w:val="0"/>
          <w:color w:val="FF0000"/>
          <w:sz w:val="22"/>
          <w:szCs w:val="24"/>
          <w:lang w:val="en-GB"/>
        </w:rPr>
        <w:t xml:space="preserve">About </w:t>
      </w:r>
      <w:proofErr w:type="spellStart"/>
      <w:r>
        <w:rPr>
          <w:b w:val="0"/>
          <w:bCs w:val="0"/>
          <w:i w:val="0"/>
          <w:iCs w:val="0"/>
          <w:color w:val="FF0000"/>
          <w:sz w:val="22"/>
          <w:szCs w:val="24"/>
          <w:lang w:val="en-GB"/>
        </w:rPr>
        <w:t>nls</w:t>
      </w:r>
      <w:proofErr w:type="spellEnd"/>
      <w:r>
        <w:rPr>
          <w:b w:val="0"/>
          <w:bCs w:val="0"/>
          <w:i w:val="0"/>
          <w:iCs w:val="0"/>
          <w:color w:val="FF0000"/>
          <w:sz w:val="22"/>
          <w:szCs w:val="24"/>
          <w:lang w:val="en-GB"/>
        </w:rPr>
        <w:t xml:space="preserve"> (write R program, packages etc</w:t>
      </w:r>
      <w:proofErr w:type="gramStart"/>
      <w:r>
        <w:rPr>
          <w:b w:val="0"/>
          <w:bCs w:val="0"/>
          <w:i w:val="0"/>
          <w:iCs w:val="0"/>
          <w:color w:val="FF0000"/>
          <w:sz w:val="22"/>
          <w:szCs w:val="24"/>
          <w:lang w:val="en-GB"/>
        </w:rPr>
        <w:t>..)</w:t>
      </w:r>
      <w:proofErr w:type="gramEnd"/>
    </w:p>
    <w:p w14:paraId="7C467AB1" w14:textId="77777777" w:rsidR="00AD3700" w:rsidRDefault="00AD3700" w:rsidP="002430A0">
      <w:pPr>
        <w:pStyle w:val="VE2"/>
        <w:numPr>
          <w:ilvl w:val="0"/>
          <w:numId w:val="0"/>
        </w:numPr>
        <w:ind w:left="567" w:hanging="567"/>
        <w:rPr>
          <w:b w:val="0"/>
          <w:bCs w:val="0"/>
          <w:i w:val="0"/>
          <w:iCs w:val="0"/>
          <w:color w:val="FF0000"/>
          <w:sz w:val="22"/>
          <w:szCs w:val="24"/>
          <w:lang w:val="en-GB"/>
        </w:rPr>
      </w:pPr>
    </w:p>
    <w:p w14:paraId="749867B1" w14:textId="45C8A5DA" w:rsidR="00AD3700" w:rsidRPr="00C62153" w:rsidRDefault="005F67E1" w:rsidP="00AD3700">
      <w:pPr>
        <w:pStyle w:val="VE2"/>
        <w:tabs>
          <w:tab w:val="clear" w:pos="4545"/>
          <w:tab w:val="num" w:pos="709"/>
        </w:tabs>
        <w:ind w:left="567" w:hanging="578"/>
        <w:rPr>
          <w:lang w:val="en-GB"/>
        </w:rPr>
      </w:pPr>
      <w:r>
        <w:rPr>
          <w:lang w:val="en-GB"/>
        </w:rPr>
        <w:t>Statistical modelling</w:t>
      </w:r>
    </w:p>
    <w:p w14:paraId="652747A5" w14:textId="5EE38AAD" w:rsidR="00AD3700" w:rsidRPr="00925BE9" w:rsidRDefault="00925BE9" w:rsidP="00925BE9">
      <w:pPr>
        <w:rPr>
          <w:rFonts w:asciiTheme="minorHAnsi" w:hAnsiTheme="minorHAnsi" w:cstheme="minorHAnsi"/>
          <w:color w:val="FF0000"/>
          <w:lang w:val="en-GB"/>
        </w:rPr>
      </w:pPr>
      <w:r w:rsidRPr="00925BE9">
        <w:rPr>
          <w:rFonts w:asciiTheme="minorHAnsi" w:hAnsiTheme="minorHAnsi" w:cstheme="minorHAnsi"/>
          <w:color w:val="FF0000"/>
          <w:lang w:val="en-GB"/>
        </w:rPr>
        <w:t xml:space="preserve">To determine the nonlinear </w:t>
      </w:r>
      <w:r w:rsidRPr="00925BE9">
        <w:rPr>
          <w:rFonts w:asciiTheme="minorHAnsi" w:hAnsiTheme="minorHAnsi" w:cstheme="minorHAnsi"/>
          <w:color w:val="FF0000"/>
          <w:lang w:val="en-GB"/>
        </w:rPr>
        <w:t>least-squares estimates of the parameters</w:t>
      </w:r>
      <w:r w:rsidRPr="00925BE9">
        <w:rPr>
          <w:rFonts w:asciiTheme="minorHAnsi" w:hAnsiTheme="minorHAnsi" w:cstheme="minorHAnsi"/>
          <w:color w:val="FF0000"/>
          <w:lang w:val="en-GB"/>
        </w:rPr>
        <w:t xml:space="preserve"> in the Wilmink function, the </w:t>
      </w:r>
      <w:proofErr w:type="spellStart"/>
      <w:r w:rsidRPr="00925BE9">
        <w:rPr>
          <w:rFonts w:asciiTheme="minorHAnsi" w:hAnsiTheme="minorHAnsi" w:cstheme="minorHAnsi"/>
          <w:color w:val="FF0000"/>
          <w:lang w:val="en-GB"/>
        </w:rPr>
        <w:t>nls</w:t>
      </w:r>
      <w:proofErr w:type="spellEnd"/>
      <w:r w:rsidRPr="00925BE9">
        <w:rPr>
          <w:rFonts w:asciiTheme="minorHAnsi" w:hAnsiTheme="minorHAnsi" w:cstheme="minorHAnsi"/>
          <w:color w:val="FF0000"/>
          <w:lang w:val="en-GB"/>
        </w:rPr>
        <w:t xml:space="preserve"> function R </w:t>
      </w:r>
      <w:proofErr w:type="gramStart"/>
      <w:r w:rsidRPr="00925BE9">
        <w:rPr>
          <w:rFonts w:asciiTheme="minorHAnsi" w:hAnsiTheme="minorHAnsi" w:cstheme="minorHAnsi"/>
          <w:color w:val="FF0000"/>
          <w:lang w:val="en-GB"/>
        </w:rPr>
        <w:t>was used</w:t>
      </w:r>
      <w:proofErr w:type="gramEnd"/>
      <w:r w:rsidRPr="00925BE9">
        <w:rPr>
          <w:rFonts w:asciiTheme="minorHAnsi" w:hAnsiTheme="minorHAnsi" w:cstheme="minorHAnsi"/>
          <w:color w:val="FF0000"/>
          <w:lang w:val="en-GB"/>
        </w:rPr>
        <w:t>.</w:t>
      </w:r>
    </w:p>
    <w:p w14:paraId="5F6D720C" w14:textId="38BB85BD" w:rsidR="00AD3700" w:rsidRPr="00925BE9" w:rsidRDefault="00AD3700" w:rsidP="00925BE9">
      <w:pPr>
        <w:rPr>
          <w:rFonts w:asciiTheme="minorHAnsi" w:hAnsiTheme="minorHAnsi" w:cstheme="minorHAnsi"/>
          <w:color w:val="FF0000"/>
          <w:lang w:val="en-GB"/>
        </w:rPr>
      </w:pPr>
      <w:r w:rsidRPr="00925BE9">
        <w:rPr>
          <w:rFonts w:asciiTheme="minorHAnsi" w:hAnsiTheme="minorHAnsi" w:cstheme="minorHAnsi"/>
          <w:color w:val="FF0000"/>
          <w:lang w:val="en-GB"/>
        </w:rPr>
        <w:t xml:space="preserve">Parameters </w:t>
      </w:r>
      <w:proofErr w:type="gramStart"/>
      <w:r w:rsidRPr="00925BE9">
        <w:rPr>
          <w:rFonts w:asciiTheme="minorHAnsi" w:hAnsiTheme="minorHAnsi" w:cstheme="minorHAnsi"/>
          <w:color w:val="FF0000"/>
          <w:lang w:val="en-GB"/>
        </w:rPr>
        <w:t>are retrieved and saved as a new data frame</w:t>
      </w:r>
      <w:proofErr w:type="gramEnd"/>
      <w:r w:rsidRPr="00925BE9">
        <w:rPr>
          <w:rFonts w:asciiTheme="minorHAnsi" w:hAnsiTheme="minorHAnsi" w:cstheme="minorHAnsi"/>
          <w:color w:val="FF0000"/>
          <w:lang w:val="en-GB"/>
        </w:rPr>
        <w:t>.</w:t>
      </w:r>
    </w:p>
    <w:p w14:paraId="0D067842" w14:textId="25D6C275" w:rsidR="00AD3700" w:rsidRDefault="00AD3700" w:rsidP="00AD3700">
      <w:pPr>
        <w:pStyle w:val="VE2"/>
        <w:numPr>
          <w:ilvl w:val="0"/>
          <w:numId w:val="0"/>
        </w:numPr>
        <w:rPr>
          <w:b w:val="0"/>
          <w:bCs w:val="0"/>
          <w:i w:val="0"/>
          <w:iCs w:val="0"/>
          <w:color w:val="FF0000"/>
          <w:sz w:val="22"/>
          <w:szCs w:val="24"/>
          <w:lang w:val="en-GB"/>
        </w:rPr>
      </w:pPr>
      <w:r>
        <w:rPr>
          <w:b w:val="0"/>
          <w:bCs w:val="0"/>
          <w:i w:val="0"/>
          <w:iCs w:val="0"/>
          <w:color w:val="FF0000"/>
          <w:sz w:val="22"/>
          <w:szCs w:val="24"/>
          <w:lang w:val="en-GB"/>
        </w:rPr>
        <w:t>A Wilmink curve is constructed using the 95% CI</w:t>
      </w:r>
      <w:r w:rsidR="00925BE9">
        <w:rPr>
          <w:b w:val="0"/>
          <w:bCs w:val="0"/>
          <w:i w:val="0"/>
          <w:iCs w:val="0"/>
          <w:color w:val="FF0000"/>
          <w:sz w:val="22"/>
          <w:szCs w:val="24"/>
          <w:lang w:val="en-GB"/>
        </w:rPr>
        <w:t xml:space="preserve"> and the median of each of the parameters (</w:t>
      </w:r>
      <w:proofErr w:type="spellStart"/>
      <w:r w:rsidR="00925BE9">
        <w:rPr>
          <w:b w:val="0"/>
          <w:bCs w:val="0"/>
          <w:i w:val="0"/>
          <w:iCs w:val="0"/>
          <w:color w:val="FF0000"/>
          <w:sz w:val="22"/>
          <w:szCs w:val="24"/>
          <w:lang w:val="en-GB"/>
        </w:rPr>
        <w:t>Søren</w:t>
      </w:r>
      <w:proofErr w:type="spellEnd"/>
      <w:r w:rsidR="00925BE9">
        <w:rPr>
          <w:b w:val="0"/>
          <w:bCs w:val="0"/>
          <w:i w:val="0"/>
          <w:iCs w:val="0"/>
          <w:color w:val="FF0000"/>
          <w:sz w:val="22"/>
          <w:szCs w:val="24"/>
          <w:lang w:val="en-GB"/>
        </w:rPr>
        <w:t xml:space="preserve"> says we can also use 75</w:t>
      </w:r>
      <w:proofErr w:type="gramStart"/>
      <w:r w:rsidR="00925BE9">
        <w:rPr>
          <w:b w:val="0"/>
          <w:bCs w:val="0"/>
          <w:i w:val="0"/>
          <w:iCs w:val="0"/>
          <w:color w:val="FF0000"/>
          <w:sz w:val="22"/>
          <w:szCs w:val="24"/>
          <w:lang w:val="en-GB"/>
        </w:rPr>
        <w:t>% ;</w:t>
      </w:r>
      <w:proofErr w:type="gramEnd"/>
      <w:r w:rsidR="00925BE9">
        <w:rPr>
          <w:b w:val="0"/>
          <w:bCs w:val="0"/>
          <w:i w:val="0"/>
          <w:iCs w:val="0"/>
          <w:color w:val="FF0000"/>
          <w:sz w:val="22"/>
          <w:szCs w:val="24"/>
          <w:lang w:val="en-GB"/>
        </w:rPr>
        <w:t xml:space="preserve"> for now only constructed with 95%.</w:t>
      </w:r>
    </w:p>
    <w:p w14:paraId="3AEEBF6C" w14:textId="563395A4" w:rsidR="00925BE9" w:rsidRPr="002430A0" w:rsidRDefault="00925BE9" w:rsidP="00AD3700">
      <w:pPr>
        <w:pStyle w:val="VE2"/>
        <w:numPr>
          <w:ilvl w:val="0"/>
          <w:numId w:val="0"/>
        </w:numPr>
        <w:rPr>
          <w:b w:val="0"/>
          <w:bCs w:val="0"/>
          <w:i w:val="0"/>
          <w:iCs w:val="0"/>
          <w:color w:val="FF0000"/>
          <w:sz w:val="22"/>
          <w:szCs w:val="24"/>
          <w:lang w:val="en-GB"/>
        </w:rPr>
      </w:pPr>
      <w:r>
        <w:rPr>
          <w:b w:val="0"/>
          <w:bCs w:val="0"/>
          <w:i w:val="0"/>
          <w:iCs w:val="0"/>
          <w:color w:val="FF0000"/>
          <w:sz w:val="22"/>
          <w:szCs w:val="24"/>
          <w:lang w:val="en-GB"/>
        </w:rPr>
        <w:t xml:space="preserve">Boot function in R (reference and correct name) </w:t>
      </w:r>
      <w:proofErr w:type="gramStart"/>
      <w:r>
        <w:rPr>
          <w:b w:val="0"/>
          <w:bCs w:val="0"/>
          <w:i w:val="0"/>
          <w:iCs w:val="0"/>
          <w:color w:val="FF0000"/>
          <w:sz w:val="22"/>
          <w:szCs w:val="24"/>
          <w:lang w:val="en-GB"/>
        </w:rPr>
        <w:t>are used</w:t>
      </w:r>
      <w:proofErr w:type="gramEnd"/>
      <w:r>
        <w:rPr>
          <w:b w:val="0"/>
          <w:bCs w:val="0"/>
          <w:i w:val="0"/>
          <w:iCs w:val="0"/>
          <w:color w:val="FF0000"/>
          <w:sz w:val="22"/>
          <w:szCs w:val="24"/>
          <w:lang w:val="en-GB"/>
        </w:rPr>
        <w:t xml:space="preserve"> to construct the curve.</w:t>
      </w:r>
    </w:p>
    <w:p w14:paraId="4C2B1AF7" w14:textId="2D08CDF0" w:rsidR="00022720" w:rsidRPr="002B05E2" w:rsidRDefault="00022720" w:rsidP="002430A0">
      <w:pPr>
        <w:pStyle w:val="VE2"/>
        <w:numPr>
          <w:ilvl w:val="0"/>
          <w:numId w:val="0"/>
        </w:numPr>
        <w:ind w:left="567" w:hanging="567"/>
        <w:rPr>
          <w:lang w:val="en-GB"/>
        </w:rPr>
      </w:pPr>
    </w:p>
    <w:p w14:paraId="277664DF" w14:textId="10F9D335" w:rsidR="00D152B1" w:rsidRPr="00D152B1" w:rsidRDefault="00C057D7" w:rsidP="005A1195">
      <w:pPr>
        <w:pStyle w:val="VE1"/>
        <w:rPr>
          <w:lang w:val="en-GB"/>
        </w:rPr>
      </w:pPr>
      <w:r>
        <w:rPr>
          <w:lang w:val="en-GB"/>
        </w:rPr>
        <w:t>Results</w:t>
      </w:r>
    </w:p>
    <w:p w14:paraId="41897C41" w14:textId="4B9A77FF" w:rsidR="00D152B1" w:rsidRPr="00536BF1" w:rsidRDefault="00332A70" w:rsidP="005A1195">
      <w:pPr>
        <w:spacing w:line="276" w:lineRule="auto"/>
        <w:rPr>
          <w:rFonts w:ascii="Calibri" w:hAnsi="Calibri" w:cs="Calibri"/>
          <w:lang w:val="en-GB"/>
        </w:rPr>
      </w:pPr>
      <w:r w:rsidRPr="00536BF1">
        <w:rPr>
          <w:rFonts w:ascii="Calibri" w:hAnsi="Calibri" w:cs="Calibri"/>
          <w:lang w:val="en-GB"/>
        </w:rPr>
        <w:t>2,564,</w:t>
      </w:r>
      <w:r w:rsidR="00022720" w:rsidRPr="00536BF1">
        <w:rPr>
          <w:rFonts w:ascii="Calibri" w:hAnsi="Calibri" w:cs="Calibri"/>
          <w:lang w:val="en-GB"/>
        </w:rPr>
        <w:t>032 individual dairy cows and 3940 herds are included in the production data for year 2010-2020. After removing NA in the SCC observations as well as decreasing the milk range to &gt; 0 L. and &lt; 100 L</w:t>
      </w:r>
      <w:r w:rsidR="00D25877" w:rsidRPr="00536BF1">
        <w:rPr>
          <w:rFonts w:ascii="Calibri" w:hAnsi="Calibri" w:cs="Calibri"/>
          <w:lang w:val="en-GB"/>
        </w:rPr>
        <w:t>,</w:t>
      </w:r>
      <w:r w:rsidRPr="00536BF1">
        <w:rPr>
          <w:rFonts w:ascii="Calibri" w:hAnsi="Calibri" w:cs="Calibri"/>
          <w:lang w:val="en-GB"/>
        </w:rPr>
        <w:t xml:space="preserve"> 1,521,221 unique animals and 3843 unique herds where included in the analysis</w:t>
      </w:r>
    </w:p>
    <w:p w14:paraId="7FFA4A80" w14:textId="0449C138" w:rsidR="00332A70" w:rsidRDefault="00332A70" w:rsidP="005A1195">
      <w:pPr>
        <w:spacing w:line="276" w:lineRule="auto"/>
        <w:rPr>
          <w:rFonts w:ascii="Calibri" w:hAnsi="Calibri" w:cs="Calibri"/>
          <w:lang w:val="en-GB"/>
        </w:rPr>
      </w:pPr>
    </w:p>
    <w:p w14:paraId="5F858697" w14:textId="77777777" w:rsidR="00332A70" w:rsidRPr="009F0E2E" w:rsidRDefault="00332A70" w:rsidP="00633DAD">
      <w:pPr>
        <w:pStyle w:val="VE2"/>
        <w:tabs>
          <w:tab w:val="clear" w:pos="4545"/>
          <w:tab w:val="num" w:pos="709"/>
        </w:tabs>
        <w:ind w:left="567" w:hanging="578"/>
        <w:rPr>
          <w:lang w:val="en-GB"/>
        </w:rPr>
      </w:pPr>
      <w:r>
        <w:rPr>
          <w:lang w:val="en-GB"/>
        </w:rPr>
        <w:t>Somatic Cell Count</w:t>
      </w:r>
    </w:p>
    <w:p w14:paraId="1C86228A" w14:textId="77777777" w:rsidR="00332A70" w:rsidRDefault="00332A70" w:rsidP="005A1195">
      <w:pPr>
        <w:spacing w:line="276" w:lineRule="auto"/>
        <w:rPr>
          <w:rFonts w:ascii="Calibri" w:hAnsi="Calibri" w:cs="Calibri"/>
          <w:lang w:val="en-GB"/>
        </w:rPr>
      </w:pPr>
    </w:p>
    <w:p w14:paraId="44B70CFA" w14:textId="0874EB5E" w:rsidR="00332A70" w:rsidRDefault="00332A70" w:rsidP="00332A70">
      <w:pPr>
        <w:spacing w:line="276" w:lineRule="auto"/>
        <w:rPr>
          <w:rFonts w:ascii="Calibri" w:hAnsi="Calibri" w:cs="Calibri"/>
          <w:lang w:val="en-GB"/>
        </w:rPr>
      </w:pPr>
      <w:r>
        <w:rPr>
          <w:rFonts w:ascii="Calibri" w:hAnsi="Calibri" w:cs="Calibri"/>
          <w:lang w:val="en-GB"/>
        </w:rPr>
        <w:t>F</w:t>
      </w:r>
      <w:r w:rsidR="00FE7EE4">
        <w:rPr>
          <w:rFonts w:ascii="Calibri" w:hAnsi="Calibri" w:cs="Calibri"/>
          <w:lang w:val="en-GB"/>
        </w:rPr>
        <w:t xml:space="preserve">igures 1-3 describing the Wilmink curves and the </w:t>
      </w:r>
      <w:proofErr w:type="spellStart"/>
      <w:r w:rsidR="00FE7EE4">
        <w:rPr>
          <w:rFonts w:ascii="Calibri" w:hAnsi="Calibri" w:cs="Calibri"/>
          <w:lang w:val="en-GB"/>
        </w:rPr>
        <w:t>nls</w:t>
      </w:r>
      <w:proofErr w:type="spellEnd"/>
      <w:r w:rsidR="00FE7EE4">
        <w:rPr>
          <w:rFonts w:ascii="Calibri" w:hAnsi="Calibri" w:cs="Calibri"/>
          <w:lang w:val="en-GB"/>
        </w:rPr>
        <w:t xml:space="preserve"> output</w:t>
      </w:r>
    </w:p>
    <w:p w14:paraId="4E1EDA44" w14:textId="77777777" w:rsidR="00F26F3F" w:rsidRDefault="00F26F3F" w:rsidP="00F26F3F">
      <w:pPr>
        <w:keepNext/>
        <w:spacing w:line="276" w:lineRule="auto"/>
      </w:pPr>
      <w:r>
        <w:rPr>
          <w:rFonts w:ascii="Calibri" w:hAnsi="Calibri" w:cs="Calibri"/>
          <w:noProof/>
        </w:rPr>
        <w:lastRenderedPageBreak/>
        <w:drawing>
          <wp:inline distT="0" distB="0" distL="0" distR="0" wp14:anchorId="1207DB10" wp14:editId="589905B1">
            <wp:extent cx="5760085" cy="3218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gpair_test.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218180"/>
                    </a:xfrm>
                    <a:prstGeom prst="rect">
                      <a:avLst/>
                    </a:prstGeom>
                  </pic:spPr>
                </pic:pic>
              </a:graphicData>
            </a:graphic>
          </wp:inline>
        </w:drawing>
      </w:r>
    </w:p>
    <w:p w14:paraId="121D2FA5" w14:textId="664433EE" w:rsidR="00F26F3F" w:rsidRDefault="00F26F3F" w:rsidP="00F26F3F">
      <w:pPr>
        <w:pStyle w:val="Caption"/>
        <w:rPr>
          <w:rFonts w:ascii="Calibri" w:hAnsi="Calibri" w:cs="Calibri"/>
          <w:lang w:val="en-GB"/>
        </w:rPr>
      </w:pPr>
      <w:r>
        <w:t xml:space="preserve">Figure </w:t>
      </w:r>
      <w:r>
        <w:fldChar w:fldCharType="begin"/>
      </w:r>
      <w:r>
        <w:instrText xml:space="preserve"> SEQ Figure \* ARABIC </w:instrText>
      </w:r>
      <w:r>
        <w:fldChar w:fldCharType="separate"/>
      </w:r>
      <w:r w:rsidR="00AB6296">
        <w:rPr>
          <w:noProof/>
        </w:rPr>
        <w:t>1</w:t>
      </w:r>
      <w:r>
        <w:fldChar w:fldCharType="end"/>
      </w:r>
      <w:r>
        <w:t xml:space="preserve">: </w:t>
      </w:r>
      <w:proofErr w:type="spellStart"/>
      <w:r>
        <w:t>Intercorrelation</w:t>
      </w:r>
      <w:proofErr w:type="spellEnd"/>
      <w:r>
        <w:t xml:space="preserve"> of Wilmink curve Parameters ... MORE text</w:t>
      </w:r>
    </w:p>
    <w:p w14:paraId="0190DCCF" w14:textId="24A2F401" w:rsidR="00332A70" w:rsidRDefault="00332A70" w:rsidP="005A1195">
      <w:pPr>
        <w:spacing w:line="276" w:lineRule="auto"/>
        <w:rPr>
          <w:rFonts w:ascii="Calibri" w:hAnsi="Calibri" w:cs="Calibri"/>
          <w:lang w:val="en-GB"/>
        </w:rPr>
      </w:pPr>
    </w:p>
    <w:p w14:paraId="1A777DD8" w14:textId="77777777" w:rsidR="00F64118" w:rsidRDefault="00F64118" w:rsidP="005A1195">
      <w:pPr>
        <w:spacing w:line="276" w:lineRule="auto"/>
        <w:rPr>
          <w:rFonts w:ascii="Calibri" w:hAnsi="Calibri" w:cs="Calibri"/>
          <w:lang w:val="en-GB"/>
        </w:rPr>
      </w:pPr>
    </w:p>
    <w:p w14:paraId="277F65EC" w14:textId="77777777" w:rsidR="00FE7EE4" w:rsidRDefault="00FE7EE4" w:rsidP="00FE7EE4">
      <w:pPr>
        <w:keepNext/>
      </w:pPr>
      <w:r>
        <w:rPr>
          <w:rFonts w:ascii="Calibri" w:hAnsi="Calibri" w:cs="Calibri"/>
          <w:noProof/>
        </w:rPr>
        <w:drawing>
          <wp:inline distT="0" distB="0" distL="0" distR="0" wp14:anchorId="31455511" wp14:editId="4D5D2A67">
            <wp:extent cx="5760085" cy="2934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_parameters.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934335"/>
                    </a:xfrm>
                    <a:prstGeom prst="rect">
                      <a:avLst/>
                    </a:prstGeom>
                  </pic:spPr>
                </pic:pic>
              </a:graphicData>
            </a:graphic>
          </wp:inline>
        </w:drawing>
      </w:r>
    </w:p>
    <w:p w14:paraId="5C398A34" w14:textId="0DE337C2" w:rsidR="005A1195" w:rsidRDefault="00FE7EE4" w:rsidP="00FE7EE4">
      <w:pPr>
        <w:pStyle w:val="Caption"/>
      </w:pPr>
      <w:r>
        <w:t xml:space="preserve">Figure </w:t>
      </w:r>
      <w:r>
        <w:fldChar w:fldCharType="begin"/>
      </w:r>
      <w:r>
        <w:instrText xml:space="preserve"> SEQ Figure \* ARABIC </w:instrText>
      </w:r>
      <w:r>
        <w:fldChar w:fldCharType="separate"/>
      </w:r>
      <w:r w:rsidR="00AB6296">
        <w:rPr>
          <w:noProof/>
        </w:rPr>
        <w:t>2</w:t>
      </w:r>
      <w:r>
        <w:fldChar w:fldCharType="end"/>
      </w:r>
      <w:r>
        <w:t>: Histogram of parameter distribution for each parity. MORE txt</w:t>
      </w:r>
    </w:p>
    <w:p w14:paraId="5F82CEF1" w14:textId="084D3488" w:rsidR="00AB6296" w:rsidRDefault="00AB6296" w:rsidP="00AB6296"/>
    <w:p w14:paraId="23B43353" w14:textId="77777777" w:rsidR="00AB6296" w:rsidRDefault="00AB6296" w:rsidP="00AB6296">
      <w:pPr>
        <w:keepNext/>
      </w:pPr>
      <w:r>
        <w:rPr>
          <w:noProof/>
        </w:rPr>
        <w:lastRenderedPageBreak/>
        <w:drawing>
          <wp:inline distT="0" distB="0" distL="0" distR="0" wp14:anchorId="44335371" wp14:editId="4D35C80C">
            <wp:extent cx="4858428" cy="34390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lmink_test1.png"/>
                    <pic:cNvPicPr/>
                  </pic:nvPicPr>
                  <pic:blipFill>
                    <a:blip r:embed="rId13">
                      <a:extLst>
                        <a:ext uri="{28A0092B-C50C-407E-A947-70E740481C1C}">
                          <a14:useLocalDpi xmlns:a14="http://schemas.microsoft.com/office/drawing/2010/main" val="0"/>
                        </a:ext>
                      </a:extLst>
                    </a:blip>
                    <a:stretch>
                      <a:fillRect/>
                    </a:stretch>
                  </pic:blipFill>
                  <pic:spPr>
                    <a:xfrm>
                      <a:off x="0" y="0"/>
                      <a:ext cx="4858428" cy="3439005"/>
                    </a:xfrm>
                    <a:prstGeom prst="rect">
                      <a:avLst/>
                    </a:prstGeom>
                  </pic:spPr>
                </pic:pic>
              </a:graphicData>
            </a:graphic>
          </wp:inline>
        </w:drawing>
      </w:r>
    </w:p>
    <w:p w14:paraId="14E4EF5E" w14:textId="27D82EF7" w:rsidR="00AB6296" w:rsidRPr="00AB6296" w:rsidRDefault="00AB6296" w:rsidP="00AB6296">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Wilmink curve </w:t>
      </w:r>
      <w:proofErr w:type="spellStart"/>
      <w:r>
        <w:t>contructed</w:t>
      </w:r>
      <w:proofErr w:type="spellEnd"/>
      <w:r>
        <w:t xml:space="preserve"> with parameters from the </w:t>
      </w:r>
      <w:proofErr w:type="spellStart"/>
      <w:r>
        <w:t>nls</w:t>
      </w:r>
      <w:proofErr w:type="spellEnd"/>
      <w:r>
        <w:t xml:space="preserve"> output, based on the median and the 95CI. MORE text. This is just initial figure. No points should be in the figure</w:t>
      </w:r>
    </w:p>
    <w:p w14:paraId="321B94B3" w14:textId="77777777" w:rsidR="00F26F3F" w:rsidRPr="00022720" w:rsidRDefault="00F26F3F" w:rsidP="00022720">
      <w:pPr>
        <w:rPr>
          <w:rFonts w:ascii="Calibri" w:hAnsi="Calibri" w:cs="Calibri"/>
          <w:lang w:val="en-GB"/>
        </w:rPr>
      </w:pPr>
    </w:p>
    <w:p w14:paraId="1F202EE2" w14:textId="68CFA3E3" w:rsidR="00C057D7" w:rsidRDefault="00C057D7" w:rsidP="001E0525">
      <w:pPr>
        <w:pStyle w:val="VE1"/>
        <w:rPr>
          <w:lang w:val="en-GB"/>
        </w:rPr>
      </w:pPr>
      <w:r>
        <w:rPr>
          <w:lang w:val="en-GB"/>
        </w:rPr>
        <w:t>Discussion</w:t>
      </w:r>
    </w:p>
    <w:p w14:paraId="3DE9AA38" w14:textId="22000E49" w:rsidR="00E75F91" w:rsidRPr="00114210" w:rsidRDefault="00E75F91" w:rsidP="00114210">
      <w:pPr>
        <w:pStyle w:val="ListParagraph"/>
        <w:numPr>
          <w:ilvl w:val="0"/>
          <w:numId w:val="17"/>
        </w:numPr>
        <w:spacing w:after="120" w:line="276" w:lineRule="auto"/>
        <w:rPr>
          <w:rFonts w:ascii="Calibri" w:hAnsi="Calibri" w:cs="Calibri"/>
          <w:color w:val="FF0000"/>
          <w:lang w:val="en-GB"/>
        </w:rPr>
      </w:pPr>
      <w:r w:rsidRPr="00114210">
        <w:rPr>
          <w:rFonts w:ascii="Calibri" w:hAnsi="Calibri" w:cs="Calibri"/>
          <w:color w:val="FF0000"/>
          <w:lang w:val="en-GB"/>
        </w:rPr>
        <w:t>REMEMBER references for the discussion</w:t>
      </w:r>
      <w:proofErr w:type="gramStart"/>
      <w:r w:rsidRPr="00114210">
        <w:rPr>
          <w:rFonts w:ascii="Calibri" w:hAnsi="Calibri" w:cs="Calibri"/>
          <w:color w:val="FF0000"/>
          <w:lang w:val="en-GB"/>
        </w:rPr>
        <w:t>..</w:t>
      </w:r>
      <w:proofErr w:type="gramEnd"/>
      <w:r w:rsidR="00550A8E" w:rsidRPr="00114210">
        <w:rPr>
          <w:rFonts w:ascii="Calibri" w:hAnsi="Calibri" w:cs="Calibri"/>
          <w:color w:val="FF0000"/>
          <w:lang w:val="en-GB"/>
        </w:rPr>
        <w:t xml:space="preserve"> </w:t>
      </w:r>
      <w:proofErr w:type="spellStart"/>
      <w:r w:rsidR="00550A8E" w:rsidRPr="00114210">
        <w:rPr>
          <w:rFonts w:ascii="Calibri" w:hAnsi="Calibri" w:cs="Calibri"/>
          <w:color w:val="FF0000"/>
          <w:lang w:val="en-GB"/>
        </w:rPr>
        <w:t>Appr</w:t>
      </w:r>
      <w:proofErr w:type="spellEnd"/>
      <w:r w:rsidR="00550A8E" w:rsidRPr="00114210">
        <w:rPr>
          <w:rFonts w:ascii="Calibri" w:hAnsi="Calibri" w:cs="Calibri"/>
          <w:color w:val="FF0000"/>
          <w:lang w:val="en-GB"/>
        </w:rPr>
        <w:t>. 10 references</w:t>
      </w:r>
    </w:p>
    <w:p w14:paraId="3EAB87AA" w14:textId="718D78AC" w:rsidR="00550A8E" w:rsidRPr="00114210" w:rsidRDefault="00550A8E" w:rsidP="00114210">
      <w:pPr>
        <w:pStyle w:val="ListParagraph"/>
        <w:numPr>
          <w:ilvl w:val="0"/>
          <w:numId w:val="17"/>
        </w:numPr>
        <w:spacing w:after="120" w:line="276" w:lineRule="auto"/>
        <w:rPr>
          <w:rFonts w:ascii="Calibri" w:hAnsi="Calibri" w:cs="Calibri"/>
          <w:color w:val="FF0000"/>
          <w:lang w:val="en-GB"/>
        </w:rPr>
      </w:pPr>
      <w:r w:rsidRPr="00114210">
        <w:rPr>
          <w:rFonts w:ascii="Calibri" w:hAnsi="Calibri" w:cs="Calibri"/>
          <w:color w:val="FF0000"/>
          <w:lang w:val="en-GB"/>
        </w:rPr>
        <w:t xml:space="preserve">Finish one thing at the time. 2-4 pages long. </w:t>
      </w:r>
    </w:p>
    <w:p w14:paraId="5B5B49DB" w14:textId="79011A16" w:rsidR="00C5179C" w:rsidRPr="00114210" w:rsidRDefault="00C5179C" w:rsidP="00114210">
      <w:pPr>
        <w:pStyle w:val="ListParagraph"/>
        <w:numPr>
          <w:ilvl w:val="0"/>
          <w:numId w:val="17"/>
        </w:numPr>
        <w:spacing w:after="120" w:line="276" w:lineRule="auto"/>
        <w:rPr>
          <w:rFonts w:ascii="Calibri" w:hAnsi="Calibri" w:cs="Calibri"/>
          <w:color w:val="FF0000"/>
          <w:lang w:val="en-GB"/>
        </w:rPr>
      </w:pPr>
      <w:r w:rsidRPr="00114210">
        <w:rPr>
          <w:rFonts w:ascii="Calibri" w:hAnsi="Calibri" w:cs="Calibri"/>
          <w:color w:val="FF0000"/>
          <w:lang w:val="en-GB"/>
        </w:rPr>
        <w:t xml:space="preserve">Limitation section: important, this is the weak site, so write good limitation, as the reviewers then </w:t>
      </w:r>
      <w:r w:rsidR="00FC0CFA" w:rsidRPr="00114210">
        <w:rPr>
          <w:rFonts w:ascii="Calibri" w:hAnsi="Calibri" w:cs="Calibri"/>
          <w:color w:val="FF0000"/>
          <w:lang w:val="en-GB"/>
        </w:rPr>
        <w:t>cannot</w:t>
      </w:r>
      <w:r w:rsidRPr="00114210">
        <w:rPr>
          <w:rFonts w:ascii="Calibri" w:hAnsi="Calibri" w:cs="Calibri"/>
          <w:color w:val="FF0000"/>
          <w:lang w:val="en-GB"/>
        </w:rPr>
        <w:t xml:space="preserve"> attack this.</w:t>
      </w:r>
    </w:p>
    <w:p w14:paraId="14AEB653" w14:textId="69167FD6" w:rsidR="00114210" w:rsidRPr="00114210" w:rsidRDefault="00114210" w:rsidP="00114210">
      <w:pPr>
        <w:pStyle w:val="ListParagraph"/>
        <w:numPr>
          <w:ilvl w:val="0"/>
          <w:numId w:val="17"/>
        </w:numPr>
        <w:spacing w:after="120" w:line="276" w:lineRule="auto"/>
        <w:rPr>
          <w:rFonts w:ascii="Calibri" w:hAnsi="Calibri" w:cs="Calibri"/>
          <w:color w:val="FF0000"/>
          <w:lang w:val="en-GB"/>
        </w:rPr>
      </w:pPr>
      <w:proofErr w:type="gramStart"/>
      <w:r w:rsidRPr="00114210">
        <w:rPr>
          <w:rFonts w:ascii="Calibri" w:hAnsi="Calibri" w:cs="Calibri"/>
          <w:color w:val="FF0000"/>
          <w:lang w:val="en-GB"/>
        </w:rPr>
        <w:t>Don’t</w:t>
      </w:r>
      <w:proofErr w:type="gramEnd"/>
      <w:r w:rsidR="00FC0CFA">
        <w:rPr>
          <w:rFonts w:ascii="Calibri" w:hAnsi="Calibri" w:cs="Calibri"/>
          <w:color w:val="FF0000"/>
          <w:lang w:val="en-GB"/>
        </w:rPr>
        <w:t xml:space="preserve"> write:</w:t>
      </w:r>
      <w:r w:rsidRPr="00114210">
        <w:rPr>
          <w:rFonts w:ascii="Calibri" w:hAnsi="Calibri" w:cs="Calibri"/>
          <w:color w:val="FF0000"/>
          <w:lang w:val="en-GB"/>
        </w:rPr>
        <w:t xml:space="preserve"> more research is needed. Because this will always be the fact. Instead we could write where to go from now.</w:t>
      </w:r>
    </w:p>
    <w:p w14:paraId="4A402859" w14:textId="77B3731D" w:rsidR="00132BDC" w:rsidRPr="00EE2466" w:rsidRDefault="00132BDC" w:rsidP="00132BDC">
      <w:pPr>
        <w:spacing w:after="120" w:line="276" w:lineRule="auto"/>
        <w:rPr>
          <w:rFonts w:ascii="Calibri" w:hAnsi="Calibri" w:cs="Calibri"/>
          <w:lang w:val="en-GB"/>
        </w:rPr>
      </w:pPr>
      <w:r w:rsidRPr="00EE2466">
        <w:rPr>
          <w:rFonts w:ascii="Calibri" w:hAnsi="Calibri" w:cs="Calibri"/>
          <w:lang w:val="en-GB"/>
        </w:rPr>
        <w:t xml:space="preserve">Findings rely mainly on the statistical analysis, which also will be the biggest challenge, as it </w:t>
      </w:r>
      <w:proofErr w:type="gramStart"/>
      <w:r w:rsidRPr="00EE2466">
        <w:rPr>
          <w:rFonts w:ascii="Calibri" w:hAnsi="Calibri" w:cs="Calibri"/>
          <w:lang w:val="en-GB"/>
        </w:rPr>
        <w:t>is expected</w:t>
      </w:r>
      <w:proofErr w:type="gramEnd"/>
      <w:r w:rsidRPr="00EE2466">
        <w:rPr>
          <w:rFonts w:ascii="Calibri" w:hAnsi="Calibri" w:cs="Calibri"/>
          <w:lang w:val="en-GB"/>
        </w:rPr>
        <w:t xml:space="preserve"> modelling big data will demand both strong computational power and advanced statistical and programming skills from</w:t>
      </w:r>
      <w:r>
        <w:rPr>
          <w:rFonts w:ascii="Calibri" w:hAnsi="Calibri" w:cs="Calibri"/>
          <w:lang w:val="en-GB"/>
        </w:rPr>
        <w:t xml:space="preserve"> the</w:t>
      </w:r>
      <w:r w:rsidRPr="00EE2466">
        <w:rPr>
          <w:rFonts w:ascii="Calibri" w:hAnsi="Calibri" w:cs="Calibri"/>
          <w:lang w:val="en-GB"/>
        </w:rPr>
        <w:t xml:space="preserve"> researcher. This has been taking into </w:t>
      </w:r>
      <w:r w:rsidR="00114210" w:rsidRPr="00EE2466">
        <w:rPr>
          <w:rFonts w:ascii="Calibri" w:hAnsi="Calibri" w:cs="Calibri"/>
          <w:lang w:val="en-GB"/>
        </w:rPr>
        <w:t>consideration</w:t>
      </w:r>
      <w:r w:rsidRPr="00EE2466">
        <w:rPr>
          <w:rFonts w:ascii="Calibri" w:hAnsi="Calibri" w:cs="Calibri"/>
          <w:lang w:val="en-GB"/>
        </w:rPr>
        <w:t xml:space="preserve"> </w:t>
      </w:r>
      <w:r>
        <w:rPr>
          <w:rFonts w:ascii="Calibri" w:hAnsi="Calibri" w:cs="Calibri"/>
          <w:lang w:val="en-GB"/>
        </w:rPr>
        <w:t xml:space="preserve">when choosing the project group, </w:t>
      </w:r>
      <w:r w:rsidRPr="00EE2466">
        <w:rPr>
          <w:rFonts w:ascii="Calibri" w:hAnsi="Calibri" w:cs="Calibri"/>
          <w:lang w:val="en-GB"/>
        </w:rPr>
        <w:t xml:space="preserve">the </w:t>
      </w:r>
      <w:r>
        <w:rPr>
          <w:rFonts w:ascii="Calibri" w:hAnsi="Calibri" w:cs="Calibri"/>
          <w:lang w:val="en-GB"/>
        </w:rPr>
        <w:t>computer and the programs for analysing.</w:t>
      </w:r>
    </w:p>
    <w:p w14:paraId="1A58B733" w14:textId="095F2AE6" w:rsidR="00132BDC" w:rsidRDefault="00132BDC" w:rsidP="00132BDC">
      <w:pPr>
        <w:spacing w:after="120" w:line="276" w:lineRule="auto"/>
        <w:rPr>
          <w:rFonts w:ascii="Calibri" w:hAnsi="Calibri" w:cs="Calibri"/>
          <w:lang w:val="en-GB"/>
        </w:rPr>
      </w:pPr>
      <w:proofErr w:type="gramStart"/>
      <w:r w:rsidRPr="00DF4C16">
        <w:rPr>
          <w:rFonts w:ascii="Calibri" w:hAnsi="Calibri" w:cs="Calibri"/>
          <w:lang w:val="en-GB"/>
        </w:rPr>
        <w:t>Some variables may be handled carefully</w:t>
      </w:r>
      <w:r>
        <w:rPr>
          <w:rFonts w:ascii="Calibri" w:hAnsi="Calibri" w:cs="Calibri"/>
          <w:lang w:val="en-GB"/>
        </w:rPr>
        <w:t xml:space="preserve">, such as an </w:t>
      </w:r>
      <w:r w:rsidRPr="00DF4C16">
        <w:rPr>
          <w:rFonts w:ascii="Calibri" w:hAnsi="Calibri" w:cs="Calibri"/>
          <w:lang w:val="en-GB"/>
        </w:rPr>
        <w:t>unconsciously and/or consciously biased sampling by farmers</w:t>
      </w:r>
      <w:proofErr w:type="gramEnd"/>
      <w:r w:rsidRPr="00DF4C16">
        <w:rPr>
          <w:rFonts w:ascii="Calibri" w:hAnsi="Calibri" w:cs="Calibri"/>
          <w:lang w:val="en-GB"/>
        </w:rPr>
        <w:t xml:space="preserve">. However, this only applies for PCR results, as most data </w:t>
      </w:r>
      <w:proofErr w:type="gramStart"/>
      <w:r w:rsidRPr="00DF4C16">
        <w:rPr>
          <w:rFonts w:ascii="Calibri" w:hAnsi="Calibri" w:cs="Calibri"/>
          <w:lang w:val="en-GB"/>
        </w:rPr>
        <w:t>are automatically and routinely recorded</w:t>
      </w:r>
      <w:proofErr w:type="gramEnd"/>
      <w:r w:rsidRPr="00DF4C16">
        <w:rPr>
          <w:rFonts w:ascii="Calibri" w:hAnsi="Calibri" w:cs="Calibri"/>
          <w:lang w:val="en-GB"/>
        </w:rPr>
        <w:t>.</w:t>
      </w:r>
    </w:p>
    <w:p w14:paraId="6D4F43E0" w14:textId="01D7F6E7" w:rsidR="004B07C7" w:rsidRDefault="004B07C7" w:rsidP="00633DAD">
      <w:pPr>
        <w:pStyle w:val="VE2"/>
        <w:tabs>
          <w:tab w:val="clear" w:pos="4545"/>
          <w:tab w:val="num" w:pos="709"/>
        </w:tabs>
        <w:ind w:left="567" w:hanging="578"/>
        <w:rPr>
          <w:lang w:val="en-GB"/>
        </w:rPr>
      </w:pPr>
      <w:r>
        <w:rPr>
          <w:lang w:val="en-GB"/>
        </w:rPr>
        <w:t>Somatic Cell Count</w:t>
      </w:r>
    </w:p>
    <w:p w14:paraId="22FD768C" w14:textId="14F438CA" w:rsidR="004B07C7" w:rsidRPr="004B07C7" w:rsidRDefault="004B07C7" w:rsidP="00132BDC">
      <w:pPr>
        <w:spacing w:after="120" w:line="276" w:lineRule="auto"/>
        <w:rPr>
          <w:rFonts w:ascii="Calibri" w:hAnsi="Calibri" w:cs="Calibri"/>
          <w:color w:val="FF0000"/>
          <w:lang w:val="en-GB"/>
        </w:rPr>
      </w:pPr>
      <w:r w:rsidRPr="004B07C7">
        <w:rPr>
          <w:rFonts w:ascii="Calibri" w:hAnsi="Calibri" w:cs="Calibri"/>
          <w:color w:val="FF0000"/>
          <w:lang w:val="en-GB"/>
        </w:rPr>
        <w:t>Describe the parameters. Describe the threshold</w:t>
      </w:r>
    </w:p>
    <w:p w14:paraId="11FFFC32" w14:textId="4E5B1B02" w:rsidR="004B07C7" w:rsidRDefault="004B07C7" w:rsidP="007407F0">
      <w:pPr>
        <w:pStyle w:val="VE1"/>
        <w:rPr>
          <w:lang w:val="en-GB"/>
        </w:rPr>
      </w:pPr>
      <w:bookmarkStart w:id="1" w:name="_Toc239740987"/>
      <w:bookmarkStart w:id="2" w:name="_Toc320107862"/>
      <w:bookmarkStart w:id="3" w:name="_Toc4671837"/>
      <w:r>
        <w:rPr>
          <w:lang w:val="en-GB"/>
        </w:rPr>
        <w:t>Conclusion</w:t>
      </w:r>
    </w:p>
    <w:p w14:paraId="5B910375" w14:textId="7481D296" w:rsidR="004B07C7" w:rsidRPr="004B07C7" w:rsidRDefault="004B07C7" w:rsidP="004B07C7">
      <w:pPr>
        <w:spacing w:after="120" w:line="276" w:lineRule="auto"/>
        <w:rPr>
          <w:rFonts w:ascii="Calibri" w:hAnsi="Calibri" w:cs="Calibri"/>
          <w:color w:val="FF0000"/>
          <w:lang w:val="en-GB"/>
        </w:rPr>
      </w:pPr>
      <w:r w:rsidRPr="004B07C7">
        <w:rPr>
          <w:rFonts w:ascii="Calibri" w:hAnsi="Calibri" w:cs="Calibri"/>
          <w:color w:val="FF0000"/>
          <w:lang w:val="en-GB"/>
        </w:rPr>
        <w:t>To be applied</w:t>
      </w:r>
    </w:p>
    <w:p w14:paraId="1828042E" w14:textId="4F29E382" w:rsidR="004B07C7" w:rsidRDefault="004B07C7" w:rsidP="004B07C7">
      <w:pPr>
        <w:pStyle w:val="VE1"/>
        <w:numPr>
          <w:ilvl w:val="0"/>
          <w:numId w:val="0"/>
        </w:numPr>
        <w:rPr>
          <w:lang w:val="en-GB"/>
        </w:rPr>
      </w:pPr>
    </w:p>
    <w:p w14:paraId="26BFC0FC" w14:textId="22C245E4" w:rsidR="007407F0" w:rsidRDefault="007407F0" w:rsidP="007407F0">
      <w:pPr>
        <w:pStyle w:val="VE1"/>
        <w:rPr>
          <w:lang w:val="en-GB"/>
        </w:rPr>
      </w:pPr>
      <w:r>
        <w:rPr>
          <w:lang w:val="en-GB"/>
        </w:rPr>
        <w:t xml:space="preserve">Acknowledgement </w:t>
      </w:r>
    </w:p>
    <w:p w14:paraId="6540B6B5" w14:textId="4F276679" w:rsidR="007407F0" w:rsidRPr="00C32CAE" w:rsidRDefault="00794BC3" w:rsidP="007407F0">
      <w:pPr>
        <w:rPr>
          <w:rFonts w:ascii="Calibri" w:hAnsi="Calibri" w:cs="Calibri"/>
          <w:lang w:val="en-GB"/>
        </w:rPr>
      </w:pPr>
      <w:r>
        <w:rPr>
          <w:rFonts w:ascii="Calibri" w:hAnsi="Calibri" w:cs="Calibri"/>
          <w:lang w:val="en-GB"/>
        </w:rPr>
        <w:t xml:space="preserve">The authors would like to thank </w:t>
      </w:r>
      <w:r w:rsidR="007407F0" w:rsidRPr="00C32CAE">
        <w:rPr>
          <w:rFonts w:ascii="Calibri" w:hAnsi="Calibri" w:cs="Calibri"/>
          <w:lang w:val="en-GB"/>
        </w:rPr>
        <w:t xml:space="preserve">Line </w:t>
      </w:r>
      <w:proofErr w:type="spellStart"/>
      <w:r w:rsidR="007407F0" w:rsidRPr="00C32CAE">
        <w:rPr>
          <w:rFonts w:ascii="Calibri" w:hAnsi="Calibri" w:cs="Calibri"/>
          <w:lang w:val="en-GB"/>
        </w:rPr>
        <w:t>Svennesen</w:t>
      </w:r>
      <w:proofErr w:type="spellEnd"/>
      <w:r w:rsidR="007407F0" w:rsidRPr="00C32CAE">
        <w:rPr>
          <w:rFonts w:ascii="Calibri" w:hAnsi="Calibri" w:cs="Calibri"/>
          <w:lang w:val="en-GB"/>
        </w:rPr>
        <w:t xml:space="preserve"> for </w:t>
      </w:r>
      <w:r>
        <w:rPr>
          <w:rFonts w:ascii="Calibri" w:hAnsi="Calibri" w:cs="Calibri"/>
          <w:lang w:val="en-GB"/>
        </w:rPr>
        <w:t xml:space="preserve">providing valuable information about PCR sampling in practical </w:t>
      </w:r>
      <w:r w:rsidR="00AB6296">
        <w:rPr>
          <w:rFonts w:ascii="Calibri" w:hAnsi="Calibri" w:cs="Calibri"/>
          <w:lang w:val="en-GB"/>
        </w:rPr>
        <w:t xml:space="preserve">at </w:t>
      </w:r>
      <w:r>
        <w:rPr>
          <w:rFonts w:ascii="Calibri" w:hAnsi="Calibri" w:cs="Calibri"/>
          <w:lang w:val="en-GB"/>
        </w:rPr>
        <w:t xml:space="preserve">the farms, and SEGES for have given access to the Danish Cattle Database. </w:t>
      </w:r>
    </w:p>
    <w:p w14:paraId="680FF245" w14:textId="03373F43" w:rsidR="007407F0" w:rsidRPr="00794BC3" w:rsidRDefault="007407F0" w:rsidP="002D13E0">
      <w:pPr>
        <w:spacing w:after="120" w:line="276" w:lineRule="auto"/>
        <w:rPr>
          <w:rFonts w:ascii="Calibri" w:hAnsi="Calibri" w:cs="Calibri"/>
          <w:lang w:val="en-GB"/>
        </w:rPr>
      </w:pPr>
    </w:p>
    <w:p w14:paraId="06559113" w14:textId="77777777" w:rsidR="00DC7030" w:rsidRPr="00B04335" w:rsidRDefault="00DC7030" w:rsidP="00506336">
      <w:pPr>
        <w:pStyle w:val="VE1"/>
        <w:ind w:left="431" w:hanging="431"/>
        <w:rPr>
          <w:lang w:val="en-GB"/>
        </w:rPr>
      </w:pPr>
      <w:r w:rsidRPr="00B04335">
        <w:rPr>
          <w:lang w:val="en-GB"/>
        </w:rPr>
        <w:t>References</w:t>
      </w:r>
      <w:bookmarkEnd w:id="1"/>
      <w:bookmarkEnd w:id="2"/>
      <w:bookmarkEnd w:id="3"/>
    </w:p>
    <w:p w14:paraId="7072E58C" w14:textId="015DFA24" w:rsidR="00A50D11" w:rsidRPr="00A50D11" w:rsidRDefault="00386169" w:rsidP="00A50D11">
      <w:pPr>
        <w:widowControl w:val="0"/>
        <w:autoSpaceDE w:val="0"/>
        <w:autoSpaceDN w:val="0"/>
        <w:adjustRightInd w:val="0"/>
        <w:spacing w:after="120"/>
        <w:ind w:left="480" w:hanging="480"/>
        <w:rPr>
          <w:rFonts w:ascii="Calibri" w:hAnsi="Calibri" w:cs="Calibri"/>
          <w:noProof/>
        </w:rPr>
      </w:pPr>
      <w:r>
        <w:rPr>
          <w:rFonts w:ascii="Calibri" w:hAnsi="Calibri" w:cs="Calibri"/>
          <w:lang w:val="en-GB"/>
        </w:rPr>
        <w:fldChar w:fldCharType="begin" w:fldLock="1"/>
      </w:r>
      <w:r>
        <w:rPr>
          <w:rFonts w:ascii="Calibri" w:hAnsi="Calibri" w:cs="Calibri"/>
          <w:lang w:val="en-GB"/>
        </w:rPr>
        <w:instrText xml:space="preserve">ADDIN Mendeley Bibliography CSL_BIBLIOGRAPHY </w:instrText>
      </w:r>
      <w:r>
        <w:rPr>
          <w:rFonts w:ascii="Calibri" w:hAnsi="Calibri" w:cs="Calibri"/>
          <w:lang w:val="en-GB"/>
        </w:rPr>
        <w:fldChar w:fldCharType="separate"/>
      </w:r>
      <w:r w:rsidR="00A50D11" w:rsidRPr="00A50D11">
        <w:rPr>
          <w:rFonts w:ascii="Calibri" w:hAnsi="Calibri" w:cs="Calibri"/>
          <w:noProof/>
        </w:rPr>
        <w:t xml:space="preserve">EU. (2016). </w:t>
      </w:r>
      <w:r w:rsidR="00A50D11" w:rsidRPr="00A50D11">
        <w:rPr>
          <w:rFonts w:ascii="Calibri" w:hAnsi="Calibri" w:cs="Calibri"/>
          <w:i/>
          <w:iCs/>
          <w:noProof/>
        </w:rPr>
        <w:t>Animal Health Law 2016</w:t>
      </w:r>
      <w:r w:rsidR="00A50D11" w:rsidRPr="00A50D11">
        <w:rPr>
          <w:rFonts w:ascii="Calibri" w:hAnsi="Calibri" w:cs="Calibri"/>
          <w:noProof/>
        </w:rPr>
        <w:t>. https://eur-lex.europa.eu/legal-content/EN/TXT/?uri=OJ:L:2016:084:TOC</w:t>
      </w:r>
    </w:p>
    <w:p w14:paraId="02DD26F8" w14:textId="77777777" w:rsidR="00A50D11" w:rsidRPr="00A50D11" w:rsidRDefault="00A50D11" w:rsidP="00A50D11">
      <w:pPr>
        <w:widowControl w:val="0"/>
        <w:autoSpaceDE w:val="0"/>
        <w:autoSpaceDN w:val="0"/>
        <w:adjustRightInd w:val="0"/>
        <w:spacing w:after="120"/>
        <w:ind w:left="480" w:hanging="480"/>
        <w:rPr>
          <w:rFonts w:ascii="Calibri" w:hAnsi="Calibri" w:cs="Calibri"/>
          <w:noProof/>
        </w:rPr>
      </w:pPr>
      <w:r w:rsidRPr="00A50D11">
        <w:rPr>
          <w:rFonts w:ascii="Calibri" w:hAnsi="Calibri" w:cs="Calibri"/>
          <w:noProof/>
        </w:rPr>
        <w:t xml:space="preserve">Halasa, T., Huijps, K., Østerås, O., &amp; Hogeveen, H. (2007). Economic effects of bovine mastitis and mastitis management: A review. </w:t>
      </w:r>
      <w:r w:rsidRPr="00A50D11">
        <w:rPr>
          <w:rFonts w:ascii="Calibri" w:hAnsi="Calibri" w:cs="Calibri"/>
          <w:i/>
          <w:iCs/>
          <w:noProof/>
        </w:rPr>
        <w:t>Veterinary Quarterly</w:t>
      </w:r>
      <w:r w:rsidRPr="00A50D11">
        <w:rPr>
          <w:rFonts w:ascii="Calibri" w:hAnsi="Calibri" w:cs="Calibri"/>
          <w:noProof/>
        </w:rPr>
        <w:t xml:space="preserve">, </w:t>
      </w:r>
      <w:r w:rsidRPr="00A50D11">
        <w:rPr>
          <w:rFonts w:ascii="Calibri" w:hAnsi="Calibri" w:cs="Calibri"/>
          <w:i/>
          <w:iCs/>
          <w:noProof/>
        </w:rPr>
        <w:t>29</w:t>
      </w:r>
      <w:r w:rsidRPr="00A50D11">
        <w:rPr>
          <w:rFonts w:ascii="Calibri" w:hAnsi="Calibri" w:cs="Calibri"/>
          <w:noProof/>
        </w:rPr>
        <w:t>(1), 18–31. https://doi.org/10.1080/01652176.2007.9695224</w:t>
      </w:r>
    </w:p>
    <w:p w14:paraId="792CBC5A" w14:textId="77777777" w:rsidR="00A50D11" w:rsidRPr="00A50D11" w:rsidRDefault="00A50D11" w:rsidP="00A50D11">
      <w:pPr>
        <w:widowControl w:val="0"/>
        <w:autoSpaceDE w:val="0"/>
        <w:autoSpaceDN w:val="0"/>
        <w:adjustRightInd w:val="0"/>
        <w:spacing w:after="120"/>
        <w:ind w:left="480" w:hanging="480"/>
        <w:rPr>
          <w:rFonts w:ascii="Calibri" w:hAnsi="Calibri" w:cs="Calibri"/>
          <w:noProof/>
        </w:rPr>
      </w:pPr>
      <w:r w:rsidRPr="00A50D11">
        <w:rPr>
          <w:rFonts w:ascii="Calibri" w:hAnsi="Calibri" w:cs="Calibri"/>
          <w:noProof/>
        </w:rPr>
        <w:t xml:space="preserve">IVH. (2020). </w:t>
      </w:r>
      <w:r w:rsidRPr="00A50D11">
        <w:rPr>
          <w:rFonts w:ascii="Calibri" w:hAnsi="Calibri" w:cs="Calibri"/>
          <w:i/>
          <w:iCs/>
          <w:noProof/>
        </w:rPr>
        <w:t>ACROBAT project</w:t>
      </w:r>
      <w:r w:rsidRPr="00A50D11">
        <w:rPr>
          <w:rFonts w:ascii="Calibri" w:hAnsi="Calibri" w:cs="Calibri"/>
          <w:noProof/>
        </w:rPr>
        <w:t>. https://ivh.ku.dk/english/research/animal-welfare-and-disease-control/projects/acrobat/</w:t>
      </w:r>
    </w:p>
    <w:p w14:paraId="4442B4BF" w14:textId="77777777" w:rsidR="00A50D11" w:rsidRPr="00A50D11" w:rsidRDefault="00A50D11" w:rsidP="00A50D11">
      <w:pPr>
        <w:widowControl w:val="0"/>
        <w:autoSpaceDE w:val="0"/>
        <w:autoSpaceDN w:val="0"/>
        <w:adjustRightInd w:val="0"/>
        <w:spacing w:after="120"/>
        <w:ind w:left="480" w:hanging="480"/>
        <w:rPr>
          <w:rFonts w:ascii="Calibri" w:hAnsi="Calibri" w:cs="Calibri"/>
          <w:noProof/>
        </w:rPr>
      </w:pPr>
      <w:r w:rsidRPr="00A50D11">
        <w:rPr>
          <w:rFonts w:ascii="Calibri" w:hAnsi="Calibri" w:cs="Calibri"/>
          <w:noProof/>
        </w:rPr>
        <w:t xml:space="preserve">P van den Borne, B. H., Halasa, T., van Schaik, G., Hogeveen, H., &amp; Nielen, M. (2010). Bioeconomic modeling of lactational antimicrobial treatment of new bovine subclinical intramammary infections caused by contagious pathogens. </w:t>
      </w:r>
      <w:r w:rsidRPr="00A50D11">
        <w:rPr>
          <w:rFonts w:ascii="Calibri" w:hAnsi="Calibri" w:cs="Calibri"/>
          <w:i/>
          <w:iCs/>
          <w:noProof/>
        </w:rPr>
        <w:t>Journal of Dairy Science</w:t>
      </w:r>
      <w:r w:rsidRPr="00A50D11">
        <w:rPr>
          <w:rFonts w:ascii="Calibri" w:hAnsi="Calibri" w:cs="Calibri"/>
          <w:noProof/>
        </w:rPr>
        <w:t xml:space="preserve">, </w:t>
      </w:r>
      <w:r w:rsidRPr="00A50D11">
        <w:rPr>
          <w:rFonts w:ascii="Calibri" w:hAnsi="Calibri" w:cs="Calibri"/>
          <w:i/>
          <w:iCs/>
          <w:noProof/>
        </w:rPr>
        <w:t>93</w:t>
      </w:r>
      <w:r w:rsidRPr="00A50D11">
        <w:rPr>
          <w:rFonts w:ascii="Calibri" w:hAnsi="Calibri" w:cs="Calibri"/>
          <w:noProof/>
        </w:rPr>
        <w:t>, 4034–4044. https://doi.org/10.3168/jds.2009-3030</w:t>
      </w:r>
    </w:p>
    <w:p w14:paraId="4E1CCB18" w14:textId="77777777" w:rsidR="00A50D11" w:rsidRPr="00A50D11" w:rsidRDefault="00A50D11" w:rsidP="00A50D11">
      <w:pPr>
        <w:widowControl w:val="0"/>
        <w:autoSpaceDE w:val="0"/>
        <w:autoSpaceDN w:val="0"/>
        <w:adjustRightInd w:val="0"/>
        <w:spacing w:after="120"/>
        <w:ind w:left="480" w:hanging="480"/>
        <w:rPr>
          <w:rFonts w:ascii="Calibri" w:hAnsi="Calibri" w:cs="Calibri"/>
          <w:noProof/>
        </w:rPr>
      </w:pPr>
      <w:r w:rsidRPr="00A50D11">
        <w:rPr>
          <w:rFonts w:ascii="Calibri" w:hAnsi="Calibri" w:cs="Calibri"/>
          <w:noProof/>
        </w:rPr>
        <w:t xml:space="preserve">R Core team. (2020). </w:t>
      </w:r>
      <w:r w:rsidRPr="00A50D11">
        <w:rPr>
          <w:rFonts w:ascii="Calibri" w:hAnsi="Calibri" w:cs="Calibri"/>
          <w:i/>
          <w:iCs/>
          <w:noProof/>
        </w:rPr>
        <w:t>R: A language and environment for statistical computing</w:t>
      </w:r>
      <w:r w:rsidRPr="00A50D11">
        <w:rPr>
          <w:rFonts w:ascii="Calibri" w:hAnsi="Calibri" w:cs="Calibri"/>
          <w:noProof/>
        </w:rPr>
        <w:t xml:space="preserve"> (4.0). R Foundation for Statistical Computing, Vienna, Austria. https://www.r-project.org/</w:t>
      </w:r>
    </w:p>
    <w:p w14:paraId="41A82B0A" w14:textId="77777777" w:rsidR="00A50D11" w:rsidRPr="00A50D11" w:rsidRDefault="00A50D11" w:rsidP="00A50D11">
      <w:pPr>
        <w:widowControl w:val="0"/>
        <w:autoSpaceDE w:val="0"/>
        <w:autoSpaceDN w:val="0"/>
        <w:adjustRightInd w:val="0"/>
        <w:spacing w:after="120"/>
        <w:ind w:left="480" w:hanging="480"/>
        <w:rPr>
          <w:rFonts w:ascii="Calibri" w:hAnsi="Calibri" w:cs="Calibri"/>
          <w:noProof/>
        </w:rPr>
      </w:pPr>
      <w:r w:rsidRPr="00A50D11">
        <w:rPr>
          <w:rFonts w:ascii="Calibri" w:hAnsi="Calibri" w:cs="Calibri"/>
          <w:noProof/>
        </w:rPr>
        <w:t xml:space="preserve">SEGES. (n.d.). </w:t>
      </w:r>
      <w:r w:rsidRPr="00A50D11">
        <w:rPr>
          <w:rFonts w:ascii="Calibri" w:hAnsi="Calibri" w:cs="Calibri"/>
          <w:i/>
          <w:iCs/>
          <w:noProof/>
        </w:rPr>
        <w:t>Danish Cattle Database</w:t>
      </w:r>
      <w:r w:rsidRPr="00A50D11">
        <w:rPr>
          <w:rFonts w:ascii="Calibri" w:hAnsi="Calibri" w:cs="Calibri"/>
          <w:noProof/>
        </w:rPr>
        <w:t>. Landbrug Og Fødevarer. https://www.seges.dk/fagomraader/kvaeg/raadgivning/kvaeg-it</w:t>
      </w:r>
    </w:p>
    <w:p w14:paraId="6B87F7DF" w14:textId="77777777" w:rsidR="00A50D11" w:rsidRPr="00A50D11" w:rsidRDefault="00A50D11" w:rsidP="00A50D11">
      <w:pPr>
        <w:widowControl w:val="0"/>
        <w:autoSpaceDE w:val="0"/>
        <w:autoSpaceDN w:val="0"/>
        <w:adjustRightInd w:val="0"/>
        <w:spacing w:after="120"/>
        <w:ind w:left="480" w:hanging="480"/>
        <w:rPr>
          <w:rFonts w:ascii="Calibri" w:hAnsi="Calibri" w:cs="Calibri"/>
          <w:noProof/>
        </w:rPr>
      </w:pPr>
      <w:r w:rsidRPr="00A50D11">
        <w:rPr>
          <w:rFonts w:ascii="Calibri" w:hAnsi="Calibri" w:cs="Calibri"/>
          <w:noProof/>
        </w:rPr>
        <w:t xml:space="preserve">SEGES, AU, KU-SUND, &amp; Den Danske Dyrlægeforening. (2015). </w:t>
      </w:r>
      <w:r w:rsidRPr="00A50D11">
        <w:rPr>
          <w:rFonts w:ascii="Calibri" w:hAnsi="Calibri" w:cs="Calibri"/>
          <w:i/>
          <w:iCs/>
          <w:noProof/>
        </w:rPr>
        <w:t>SEGES antibiotic usage</w:t>
      </w:r>
      <w:r w:rsidRPr="00A50D11">
        <w:rPr>
          <w:rFonts w:ascii="Calibri" w:hAnsi="Calibri" w:cs="Calibri"/>
          <w:noProof/>
        </w:rPr>
        <w:t>. https://www.landbrugsinfo.dk/-/media/landbrugsinfo/public/0/c/b/kv_17_retningslinjer-for-brug-af-antibiotika.pdf</w:t>
      </w:r>
    </w:p>
    <w:p w14:paraId="5A3D0CAA" w14:textId="77777777" w:rsidR="00A50D11" w:rsidRPr="00A50D11" w:rsidRDefault="00A50D11" w:rsidP="00A50D11">
      <w:pPr>
        <w:widowControl w:val="0"/>
        <w:autoSpaceDE w:val="0"/>
        <w:autoSpaceDN w:val="0"/>
        <w:adjustRightInd w:val="0"/>
        <w:spacing w:after="120"/>
        <w:ind w:left="480" w:hanging="480"/>
        <w:rPr>
          <w:rFonts w:ascii="Calibri" w:hAnsi="Calibri" w:cs="Calibri"/>
          <w:noProof/>
        </w:rPr>
      </w:pPr>
      <w:r w:rsidRPr="00A50D11">
        <w:rPr>
          <w:rFonts w:ascii="Calibri" w:hAnsi="Calibri" w:cs="Calibri"/>
          <w:noProof/>
        </w:rPr>
        <w:t xml:space="preserve">WHO. (2018). </w:t>
      </w:r>
      <w:r w:rsidRPr="00A50D11">
        <w:rPr>
          <w:rFonts w:ascii="Calibri" w:hAnsi="Calibri" w:cs="Calibri"/>
          <w:i/>
          <w:iCs/>
          <w:noProof/>
        </w:rPr>
        <w:t>WHO - Antimicrobial resistance</w:t>
      </w:r>
      <w:r w:rsidRPr="00A50D11">
        <w:rPr>
          <w:rFonts w:ascii="Calibri" w:hAnsi="Calibri" w:cs="Calibri"/>
          <w:noProof/>
        </w:rPr>
        <w:t>. http://www.who.int/en/news-room/fact-sheets/detail/antimicrobial-resistance</w:t>
      </w:r>
    </w:p>
    <w:p w14:paraId="1BAB3556" w14:textId="5562B192" w:rsidR="00DC7030" w:rsidRPr="00B04335" w:rsidRDefault="00386169" w:rsidP="003C79B9">
      <w:pPr>
        <w:spacing w:after="120" w:line="276" w:lineRule="auto"/>
        <w:rPr>
          <w:rFonts w:ascii="Calibri" w:hAnsi="Calibri" w:cs="Calibri"/>
          <w:lang w:val="en-GB"/>
        </w:rPr>
      </w:pPr>
      <w:r>
        <w:rPr>
          <w:rFonts w:ascii="Calibri" w:hAnsi="Calibri" w:cs="Calibri"/>
          <w:lang w:val="en-GB"/>
        </w:rPr>
        <w:fldChar w:fldCharType="end"/>
      </w:r>
    </w:p>
    <w:sectPr w:rsidR="00DC7030" w:rsidRPr="00B04335" w:rsidSect="00223F8E">
      <w:headerReference w:type="default" r:id="rId14"/>
      <w:footerReference w:type="default" r:id="rId15"/>
      <w:pgSz w:w="11907" w:h="16840" w:code="9"/>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25663" w14:textId="77777777" w:rsidR="00E80EF2" w:rsidRDefault="00E80EF2">
      <w:r>
        <w:separator/>
      </w:r>
    </w:p>
  </w:endnote>
  <w:endnote w:type="continuationSeparator" w:id="0">
    <w:p w14:paraId="3AB9748F" w14:textId="77777777" w:rsidR="00E80EF2" w:rsidRDefault="00E80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8EA74" w14:textId="570BADBE" w:rsidR="00771757" w:rsidRPr="0054717E" w:rsidRDefault="00771757" w:rsidP="00E42641">
    <w:pPr>
      <w:pStyle w:val="Footer"/>
      <w:tabs>
        <w:tab w:val="clear" w:pos="4320"/>
        <w:tab w:val="clear" w:pos="8640"/>
        <w:tab w:val="right" w:pos="8313"/>
      </w:tabs>
      <w:rPr>
        <w:rFonts w:ascii="Calibri" w:hAnsi="Calibri" w:cs="Calibri"/>
      </w:rPr>
    </w:pPr>
    <w:r>
      <w:tab/>
    </w:r>
    <w:r w:rsidRPr="0054717E">
      <w:rPr>
        <w:rFonts w:ascii="Calibri" w:hAnsi="Calibri" w:cs="Calibri"/>
      </w:rPr>
      <w:t xml:space="preserve">Page </w:t>
    </w:r>
    <w:r w:rsidRPr="0054717E">
      <w:rPr>
        <w:rFonts w:ascii="Calibri" w:hAnsi="Calibri" w:cs="Calibri"/>
      </w:rPr>
      <w:fldChar w:fldCharType="begin"/>
    </w:r>
    <w:r w:rsidRPr="0054717E">
      <w:rPr>
        <w:rFonts w:ascii="Calibri" w:hAnsi="Calibri" w:cs="Calibri"/>
      </w:rPr>
      <w:instrText xml:space="preserve"> PAGE </w:instrText>
    </w:r>
    <w:r w:rsidRPr="0054717E">
      <w:rPr>
        <w:rFonts w:ascii="Calibri" w:hAnsi="Calibri" w:cs="Calibri"/>
      </w:rPr>
      <w:fldChar w:fldCharType="separate"/>
    </w:r>
    <w:r w:rsidR="00B536C0">
      <w:rPr>
        <w:rFonts w:ascii="Calibri" w:hAnsi="Calibri" w:cs="Calibri"/>
        <w:noProof/>
      </w:rPr>
      <w:t>3</w:t>
    </w:r>
    <w:r w:rsidRPr="0054717E">
      <w:rPr>
        <w:rFonts w:ascii="Calibri" w:hAnsi="Calibri" w:cs="Calibri"/>
      </w:rPr>
      <w:fldChar w:fldCharType="end"/>
    </w:r>
    <w:r w:rsidRPr="0054717E">
      <w:rPr>
        <w:rFonts w:ascii="Calibri" w:hAnsi="Calibri" w:cs="Calibri"/>
      </w:rPr>
      <w:t xml:space="preserve"> of </w:t>
    </w:r>
    <w:r w:rsidRPr="0054717E">
      <w:rPr>
        <w:rFonts w:ascii="Calibri" w:hAnsi="Calibri" w:cs="Calibri"/>
      </w:rPr>
      <w:fldChar w:fldCharType="begin"/>
    </w:r>
    <w:r w:rsidRPr="0054717E">
      <w:rPr>
        <w:rFonts w:ascii="Calibri" w:hAnsi="Calibri" w:cs="Calibri"/>
      </w:rPr>
      <w:instrText xml:space="preserve"> NUMPAGES </w:instrText>
    </w:r>
    <w:r w:rsidRPr="0054717E">
      <w:rPr>
        <w:rFonts w:ascii="Calibri" w:hAnsi="Calibri" w:cs="Calibri"/>
      </w:rPr>
      <w:fldChar w:fldCharType="separate"/>
    </w:r>
    <w:r w:rsidR="00B536C0">
      <w:rPr>
        <w:rFonts w:ascii="Calibri" w:hAnsi="Calibri" w:cs="Calibri"/>
        <w:noProof/>
      </w:rPr>
      <w:t>6</w:t>
    </w:r>
    <w:r w:rsidRPr="0054717E">
      <w:rPr>
        <w:rFonts w:ascii="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DE838" w14:textId="77777777" w:rsidR="00E80EF2" w:rsidRDefault="00E80EF2">
      <w:r>
        <w:separator/>
      </w:r>
    </w:p>
  </w:footnote>
  <w:footnote w:type="continuationSeparator" w:id="0">
    <w:p w14:paraId="6A5D2E53" w14:textId="77777777" w:rsidR="00E80EF2" w:rsidRDefault="00E80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8204A" w14:textId="77777777" w:rsidR="00771757" w:rsidRPr="00F34CF5" w:rsidRDefault="00771757" w:rsidP="00F34CF5">
    <w:pPr>
      <w:pStyle w:val="Header"/>
      <w:tabs>
        <w:tab w:val="clear" w:pos="4320"/>
        <w:tab w:val="clear" w:pos="8640"/>
        <w:tab w:val="right" w:pos="9072"/>
      </w:tabs>
      <w:rPr>
        <w:rFonts w:ascii="Calibri" w:hAnsi="Calibri" w:cs="Calibri"/>
        <w:b/>
      </w:rPr>
    </w:pPr>
    <w:r w:rsidRPr="00F34CF5">
      <w:rPr>
        <w:rFonts w:ascii="Calibri" w:hAnsi="Calibri" w:cs="Calibri"/>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332D60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FCB8E64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405150"/>
    <w:multiLevelType w:val="hybridMultilevel"/>
    <w:tmpl w:val="50540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D318F"/>
    <w:multiLevelType w:val="hybridMultilevel"/>
    <w:tmpl w:val="E94A6D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82647F"/>
    <w:multiLevelType w:val="multilevel"/>
    <w:tmpl w:val="8C065AB6"/>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4545"/>
        </w:tabs>
        <w:ind w:left="4545"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1EFE223A"/>
    <w:multiLevelType w:val="hybridMultilevel"/>
    <w:tmpl w:val="FD0E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8693A"/>
    <w:multiLevelType w:val="multilevel"/>
    <w:tmpl w:val="52F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33B56"/>
    <w:multiLevelType w:val="hybridMultilevel"/>
    <w:tmpl w:val="09EAA450"/>
    <w:lvl w:ilvl="0" w:tplc="F662BE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0376169"/>
    <w:multiLevelType w:val="hybridMultilevel"/>
    <w:tmpl w:val="87C662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9D7B9A"/>
    <w:multiLevelType w:val="hybridMultilevel"/>
    <w:tmpl w:val="12165D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CC3A31"/>
    <w:multiLevelType w:val="hybridMultilevel"/>
    <w:tmpl w:val="681ED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85AEA"/>
    <w:multiLevelType w:val="hybridMultilevel"/>
    <w:tmpl w:val="0CF214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5D1F3C"/>
    <w:multiLevelType w:val="hybridMultilevel"/>
    <w:tmpl w:val="F606F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E724A0"/>
    <w:multiLevelType w:val="hybridMultilevel"/>
    <w:tmpl w:val="7B5E5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52295"/>
    <w:multiLevelType w:val="hybridMultilevel"/>
    <w:tmpl w:val="BA8643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91F4D"/>
    <w:multiLevelType w:val="hybridMultilevel"/>
    <w:tmpl w:val="FD5EA7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CB328D"/>
    <w:multiLevelType w:val="hybridMultilevel"/>
    <w:tmpl w:val="2EA25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33F1B"/>
    <w:multiLevelType w:val="hybridMultilevel"/>
    <w:tmpl w:val="603A2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BF4BB2"/>
    <w:multiLevelType w:val="multilevel"/>
    <w:tmpl w:val="946427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8"/>
  </w:num>
  <w:num w:numId="3">
    <w:abstractNumId w:val="11"/>
  </w:num>
  <w:num w:numId="4">
    <w:abstractNumId w:val="15"/>
  </w:num>
  <w:num w:numId="5">
    <w:abstractNumId w:val="9"/>
  </w:num>
  <w:num w:numId="6">
    <w:abstractNumId w:val="12"/>
  </w:num>
  <w:num w:numId="7">
    <w:abstractNumId w:val="17"/>
  </w:num>
  <w:num w:numId="8">
    <w:abstractNumId w:val="3"/>
  </w:num>
  <w:num w:numId="9">
    <w:abstractNumId w:val="8"/>
  </w:num>
  <w:num w:numId="10">
    <w:abstractNumId w:val="0"/>
  </w:num>
  <w:num w:numId="11">
    <w:abstractNumId w:val="1"/>
  </w:num>
  <w:num w:numId="12">
    <w:abstractNumId w:val="5"/>
  </w:num>
  <w:num w:numId="13">
    <w:abstractNumId w:val="6"/>
  </w:num>
  <w:num w:numId="14">
    <w:abstractNumId w:val="14"/>
  </w:num>
  <w:num w:numId="15">
    <w:abstractNumId w:val="2"/>
  </w:num>
  <w:num w:numId="16">
    <w:abstractNumId w:val="13"/>
  </w:num>
  <w:num w:numId="17">
    <w:abstractNumId w:val="10"/>
  </w:num>
  <w:num w:numId="18">
    <w:abstractNumId w:val="16"/>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A6"/>
    <w:rsid w:val="00002320"/>
    <w:rsid w:val="00002883"/>
    <w:rsid w:val="000038BE"/>
    <w:rsid w:val="00007F34"/>
    <w:rsid w:val="00013DDC"/>
    <w:rsid w:val="00020393"/>
    <w:rsid w:val="00022720"/>
    <w:rsid w:val="00024C74"/>
    <w:rsid w:val="00036ACF"/>
    <w:rsid w:val="00037567"/>
    <w:rsid w:val="00037650"/>
    <w:rsid w:val="00041BF4"/>
    <w:rsid w:val="00060D2F"/>
    <w:rsid w:val="00066971"/>
    <w:rsid w:val="00073CAA"/>
    <w:rsid w:val="00075A92"/>
    <w:rsid w:val="00083C48"/>
    <w:rsid w:val="000873EF"/>
    <w:rsid w:val="00093388"/>
    <w:rsid w:val="000959B9"/>
    <w:rsid w:val="000A0219"/>
    <w:rsid w:val="000A58DE"/>
    <w:rsid w:val="000B5D0A"/>
    <w:rsid w:val="000B762D"/>
    <w:rsid w:val="000C419E"/>
    <w:rsid w:val="000C47C1"/>
    <w:rsid w:val="000C4A96"/>
    <w:rsid w:val="000C72A1"/>
    <w:rsid w:val="000D32E8"/>
    <w:rsid w:val="000D5C7F"/>
    <w:rsid w:val="000E63AE"/>
    <w:rsid w:val="000E65D6"/>
    <w:rsid w:val="000F03BE"/>
    <w:rsid w:val="000F4C27"/>
    <w:rsid w:val="000F7089"/>
    <w:rsid w:val="001000F7"/>
    <w:rsid w:val="00112590"/>
    <w:rsid w:val="00114210"/>
    <w:rsid w:val="00116219"/>
    <w:rsid w:val="00130F7D"/>
    <w:rsid w:val="001312CB"/>
    <w:rsid w:val="00132BDC"/>
    <w:rsid w:val="001347AB"/>
    <w:rsid w:val="00136DBF"/>
    <w:rsid w:val="00137B7C"/>
    <w:rsid w:val="00140206"/>
    <w:rsid w:val="0014072B"/>
    <w:rsid w:val="00152C2B"/>
    <w:rsid w:val="00155295"/>
    <w:rsid w:val="0015722A"/>
    <w:rsid w:val="001751C5"/>
    <w:rsid w:val="00175C41"/>
    <w:rsid w:val="00176DA2"/>
    <w:rsid w:val="00180240"/>
    <w:rsid w:val="001823F5"/>
    <w:rsid w:val="00186D69"/>
    <w:rsid w:val="00192DD0"/>
    <w:rsid w:val="00192F12"/>
    <w:rsid w:val="00194B2C"/>
    <w:rsid w:val="001B0A05"/>
    <w:rsid w:val="001B35DA"/>
    <w:rsid w:val="001B481D"/>
    <w:rsid w:val="001C3B9D"/>
    <w:rsid w:val="001C69FA"/>
    <w:rsid w:val="001C7A49"/>
    <w:rsid w:val="001C7B6D"/>
    <w:rsid w:val="001D2679"/>
    <w:rsid w:val="001D3E7F"/>
    <w:rsid w:val="001D7660"/>
    <w:rsid w:val="001E0525"/>
    <w:rsid w:val="001E1DCE"/>
    <w:rsid w:val="001F01F8"/>
    <w:rsid w:val="001F1F08"/>
    <w:rsid w:val="00205710"/>
    <w:rsid w:val="002078B1"/>
    <w:rsid w:val="002124CF"/>
    <w:rsid w:val="00223F8E"/>
    <w:rsid w:val="00226410"/>
    <w:rsid w:val="00230BCE"/>
    <w:rsid w:val="00232732"/>
    <w:rsid w:val="00233A35"/>
    <w:rsid w:val="00237B80"/>
    <w:rsid w:val="002430A0"/>
    <w:rsid w:val="0024399A"/>
    <w:rsid w:val="0024655A"/>
    <w:rsid w:val="00246871"/>
    <w:rsid w:val="00246C4D"/>
    <w:rsid w:val="0024713B"/>
    <w:rsid w:val="002503F2"/>
    <w:rsid w:val="002519B3"/>
    <w:rsid w:val="002544BC"/>
    <w:rsid w:val="00254646"/>
    <w:rsid w:val="002627B2"/>
    <w:rsid w:val="002841E6"/>
    <w:rsid w:val="00284F1D"/>
    <w:rsid w:val="00291044"/>
    <w:rsid w:val="002928F9"/>
    <w:rsid w:val="002945BD"/>
    <w:rsid w:val="002A235B"/>
    <w:rsid w:val="002A4926"/>
    <w:rsid w:val="002B05E2"/>
    <w:rsid w:val="002B1C81"/>
    <w:rsid w:val="002B3075"/>
    <w:rsid w:val="002D13E0"/>
    <w:rsid w:val="002D355B"/>
    <w:rsid w:val="002D5652"/>
    <w:rsid w:val="002D5AA5"/>
    <w:rsid w:val="002D67DA"/>
    <w:rsid w:val="002D7715"/>
    <w:rsid w:val="002E0FD3"/>
    <w:rsid w:val="002E17D9"/>
    <w:rsid w:val="002E2C9B"/>
    <w:rsid w:val="002E779F"/>
    <w:rsid w:val="002F0999"/>
    <w:rsid w:val="002F4D06"/>
    <w:rsid w:val="002F5E5D"/>
    <w:rsid w:val="003007E6"/>
    <w:rsid w:val="00304306"/>
    <w:rsid w:val="00306720"/>
    <w:rsid w:val="003077AA"/>
    <w:rsid w:val="003077E1"/>
    <w:rsid w:val="003128F6"/>
    <w:rsid w:val="00314027"/>
    <w:rsid w:val="003205C9"/>
    <w:rsid w:val="00326058"/>
    <w:rsid w:val="00331B2D"/>
    <w:rsid w:val="00332A70"/>
    <w:rsid w:val="00335353"/>
    <w:rsid w:val="0033549E"/>
    <w:rsid w:val="003372B0"/>
    <w:rsid w:val="003426CB"/>
    <w:rsid w:val="00342B30"/>
    <w:rsid w:val="003435F4"/>
    <w:rsid w:val="00344F99"/>
    <w:rsid w:val="00357690"/>
    <w:rsid w:val="00364639"/>
    <w:rsid w:val="00370BFE"/>
    <w:rsid w:val="00374381"/>
    <w:rsid w:val="00377531"/>
    <w:rsid w:val="00386169"/>
    <w:rsid w:val="003877E0"/>
    <w:rsid w:val="00387DF9"/>
    <w:rsid w:val="00393BEF"/>
    <w:rsid w:val="00395B56"/>
    <w:rsid w:val="003A005F"/>
    <w:rsid w:val="003A06EC"/>
    <w:rsid w:val="003A3168"/>
    <w:rsid w:val="003A3E7F"/>
    <w:rsid w:val="003A7AC2"/>
    <w:rsid w:val="003B57CA"/>
    <w:rsid w:val="003B6330"/>
    <w:rsid w:val="003B672B"/>
    <w:rsid w:val="003B7AE9"/>
    <w:rsid w:val="003C28AF"/>
    <w:rsid w:val="003C4169"/>
    <w:rsid w:val="003C6076"/>
    <w:rsid w:val="003C79B9"/>
    <w:rsid w:val="003D0097"/>
    <w:rsid w:val="003D07C9"/>
    <w:rsid w:val="003D1547"/>
    <w:rsid w:val="003D1B16"/>
    <w:rsid w:val="003D4D8A"/>
    <w:rsid w:val="003D66B4"/>
    <w:rsid w:val="003D7647"/>
    <w:rsid w:val="003E0033"/>
    <w:rsid w:val="003F55E2"/>
    <w:rsid w:val="00400F05"/>
    <w:rsid w:val="0040125A"/>
    <w:rsid w:val="00402FDA"/>
    <w:rsid w:val="004030C2"/>
    <w:rsid w:val="0040525D"/>
    <w:rsid w:val="00406979"/>
    <w:rsid w:val="00406D8B"/>
    <w:rsid w:val="004151BB"/>
    <w:rsid w:val="00420C0F"/>
    <w:rsid w:val="004263AE"/>
    <w:rsid w:val="00427C4D"/>
    <w:rsid w:val="004341B9"/>
    <w:rsid w:val="00435D95"/>
    <w:rsid w:val="00436BFD"/>
    <w:rsid w:val="004511D5"/>
    <w:rsid w:val="00452532"/>
    <w:rsid w:val="00456ADF"/>
    <w:rsid w:val="0046201B"/>
    <w:rsid w:val="00465E10"/>
    <w:rsid w:val="004669FB"/>
    <w:rsid w:val="00472A84"/>
    <w:rsid w:val="00472D5B"/>
    <w:rsid w:val="00473378"/>
    <w:rsid w:val="00482EDA"/>
    <w:rsid w:val="00483A93"/>
    <w:rsid w:val="00483B19"/>
    <w:rsid w:val="00490424"/>
    <w:rsid w:val="00490F5C"/>
    <w:rsid w:val="00492BEB"/>
    <w:rsid w:val="00495179"/>
    <w:rsid w:val="0049602F"/>
    <w:rsid w:val="004A35D7"/>
    <w:rsid w:val="004A6C73"/>
    <w:rsid w:val="004B07C7"/>
    <w:rsid w:val="004B6B16"/>
    <w:rsid w:val="004C3789"/>
    <w:rsid w:val="004C5711"/>
    <w:rsid w:val="004D08C3"/>
    <w:rsid w:val="004E06F1"/>
    <w:rsid w:val="004E56DA"/>
    <w:rsid w:val="004F2EB8"/>
    <w:rsid w:val="004F3470"/>
    <w:rsid w:val="004F6F8D"/>
    <w:rsid w:val="004F7D89"/>
    <w:rsid w:val="00500077"/>
    <w:rsid w:val="0050141C"/>
    <w:rsid w:val="005038AC"/>
    <w:rsid w:val="00505940"/>
    <w:rsid w:val="00506336"/>
    <w:rsid w:val="00514A90"/>
    <w:rsid w:val="00525AE5"/>
    <w:rsid w:val="0053109D"/>
    <w:rsid w:val="00536BF1"/>
    <w:rsid w:val="005424AF"/>
    <w:rsid w:val="0054717E"/>
    <w:rsid w:val="00547EFC"/>
    <w:rsid w:val="00550A8E"/>
    <w:rsid w:val="0055130F"/>
    <w:rsid w:val="0055326D"/>
    <w:rsid w:val="00556348"/>
    <w:rsid w:val="005563BA"/>
    <w:rsid w:val="005568D3"/>
    <w:rsid w:val="00564563"/>
    <w:rsid w:val="00564ADE"/>
    <w:rsid w:val="005650E3"/>
    <w:rsid w:val="00574BEE"/>
    <w:rsid w:val="00574F2A"/>
    <w:rsid w:val="00575DF9"/>
    <w:rsid w:val="00577C98"/>
    <w:rsid w:val="00584F86"/>
    <w:rsid w:val="00593B6E"/>
    <w:rsid w:val="005A1195"/>
    <w:rsid w:val="005A2737"/>
    <w:rsid w:val="005A3129"/>
    <w:rsid w:val="005A3B4F"/>
    <w:rsid w:val="005A677B"/>
    <w:rsid w:val="005B332D"/>
    <w:rsid w:val="005B5094"/>
    <w:rsid w:val="005C3C56"/>
    <w:rsid w:val="005D00BA"/>
    <w:rsid w:val="005D01C5"/>
    <w:rsid w:val="005D55D0"/>
    <w:rsid w:val="005D6669"/>
    <w:rsid w:val="005D7B08"/>
    <w:rsid w:val="005E002C"/>
    <w:rsid w:val="005E6A4B"/>
    <w:rsid w:val="005E7246"/>
    <w:rsid w:val="005E7DAA"/>
    <w:rsid w:val="005F1501"/>
    <w:rsid w:val="005F25FD"/>
    <w:rsid w:val="005F5A2F"/>
    <w:rsid w:val="005F67E1"/>
    <w:rsid w:val="005F72D7"/>
    <w:rsid w:val="00600837"/>
    <w:rsid w:val="00601152"/>
    <w:rsid w:val="006043D2"/>
    <w:rsid w:val="00611A94"/>
    <w:rsid w:val="00612561"/>
    <w:rsid w:val="00613A78"/>
    <w:rsid w:val="00614435"/>
    <w:rsid w:val="006151CF"/>
    <w:rsid w:val="00617DEB"/>
    <w:rsid w:val="006212A8"/>
    <w:rsid w:val="00624661"/>
    <w:rsid w:val="006277C1"/>
    <w:rsid w:val="00631046"/>
    <w:rsid w:val="0063325F"/>
    <w:rsid w:val="00633DAD"/>
    <w:rsid w:val="0064245A"/>
    <w:rsid w:val="006424F8"/>
    <w:rsid w:val="0064355B"/>
    <w:rsid w:val="00644DF2"/>
    <w:rsid w:val="0064603F"/>
    <w:rsid w:val="0064743C"/>
    <w:rsid w:val="006517CF"/>
    <w:rsid w:val="00672799"/>
    <w:rsid w:val="00675B26"/>
    <w:rsid w:val="00696292"/>
    <w:rsid w:val="00696732"/>
    <w:rsid w:val="006A0634"/>
    <w:rsid w:val="006A286D"/>
    <w:rsid w:val="006A4AAA"/>
    <w:rsid w:val="006B3031"/>
    <w:rsid w:val="006B3E49"/>
    <w:rsid w:val="006B4204"/>
    <w:rsid w:val="006C25DA"/>
    <w:rsid w:val="006C7F84"/>
    <w:rsid w:val="006D1F2A"/>
    <w:rsid w:val="006D7461"/>
    <w:rsid w:val="006E0D3B"/>
    <w:rsid w:val="006E22A1"/>
    <w:rsid w:val="006E4C3C"/>
    <w:rsid w:val="006F64A5"/>
    <w:rsid w:val="006F6586"/>
    <w:rsid w:val="007078CB"/>
    <w:rsid w:val="00715BC5"/>
    <w:rsid w:val="00715D40"/>
    <w:rsid w:val="00720E13"/>
    <w:rsid w:val="00726049"/>
    <w:rsid w:val="007309FA"/>
    <w:rsid w:val="00730B3E"/>
    <w:rsid w:val="007338F3"/>
    <w:rsid w:val="007407F0"/>
    <w:rsid w:val="007424D5"/>
    <w:rsid w:val="00747199"/>
    <w:rsid w:val="00757A75"/>
    <w:rsid w:val="00761397"/>
    <w:rsid w:val="007615EA"/>
    <w:rsid w:val="007637DB"/>
    <w:rsid w:val="00764C3B"/>
    <w:rsid w:val="00771757"/>
    <w:rsid w:val="00775EE2"/>
    <w:rsid w:val="007852B6"/>
    <w:rsid w:val="00785A66"/>
    <w:rsid w:val="00794BC3"/>
    <w:rsid w:val="0079534A"/>
    <w:rsid w:val="00796211"/>
    <w:rsid w:val="007A5A95"/>
    <w:rsid w:val="007B0064"/>
    <w:rsid w:val="007B3834"/>
    <w:rsid w:val="007B5E93"/>
    <w:rsid w:val="007B6286"/>
    <w:rsid w:val="007C0260"/>
    <w:rsid w:val="007C6222"/>
    <w:rsid w:val="007D1E8A"/>
    <w:rsid w:val="007D5CFB"/>
    <w:rsid w:val="007E08D6"/>
    <w:rsid w:val="007E11E0"/>
    <w:rsid w:val="007F27D9"/>
    <w:rsid w:val="007F355F"/>
    <w:rsid w:val="007F72C7"/>
    <w:rsid w:val="00800E1C"/>
    <w:rsid w:val="00806639"/>
    <w:rsid w:val="00806BAD"/>
    <w:rsid w:val="0081319D"/>
    <w:rsid w:val="00817DAE"/>
    <w:rsid w:val="00822243"/>
    <w:rsid w:val="0083214E"/>
    <w:rsid w:val="0083242C"/>
    <w:rsid w:val="00832B5E"/>
    <w:rsid w:val="0083354F"/>
    <w:rsid w:val="0083391F"/>
    <w:rsid w:val="00835761"/>
    <w:rsid w:val="00835E14"/>
    <w:rsid w:val="00837A93"/>
    <w:rsid w:val="00864DAE"/>
    <w:rsid w:val="00871FE1"/>
    <w:rsid w:val="00872BC7"/>
    <w:rsid w:val="00873629"/>
    <w:rsid w:val="008747CA"/>
    <w:rsid w:val="00876BB1"/>
    <w:rsid w:val="00877CFF"/>
    <w:rsid w:val="00877F30"/>
    <w:rsid w:val="0088524B"/>
    <w:rsid w:val="00887795"/>
    <w:rsid w:val="0089480F"/>
    <w:rsid w:val="008A0359"/>
    <w:rsid w:val="008A5274"/>
    <w:rsid w:val="008B10B5"/>
    <w:rsid w:val="008C34D0"/>
    <w:rsid w:val="008C474D"/>
    <w:rsid w:val="008C6388"/>
    <w:rsid w:val="008D0155"/>
    <w:rsid w:val="008D17CB"/>
    <w:rsid w:val="008D443F"/>
    <w:rsid w:val="008D4F2E"/>
    <w:rsid w:val="008E0F7C"/>
    <w:rsid w:val="008E166E"/>
    <w:rsid w:val="008E2C9D"/>
    <w:rsid w:val="008F3CCA"/>
    <w:rsid w:val="008F65A1"/>
    <w:rsid w:val="0090512F"/>
    <w:rsid w:val="0090602F"/>
    <w:rsid w:val="00906ED8"/>
    <w:rsid w:val="009073AF"/>
    <w:rsid w:val="00907FB7"/>
    <w:rsid w:val="009125CB"/>
    <w:rsid w:val="0092245B"/>
    <w:rsid w:val="009251F8"/>
    <w:rsid w:val="00925BE9"/>
    <w:rsid w:val="009261D5"/>
    <w:rsid w:val="00934856"/>
    <w:rsid w:val="00936D0F"/>
    <w:rsid w:val="00937575"/>
    <w:rsid w:val="009402B4"/>
    <w:rsid w:val="00942F08"/>
    <w:rsid w:val="0094500D"/>
    <w:rsid w:val="00950CAD"/>
    <w:rsid w:val="00951CC3"/>
    <w:rsid w:val="0095796C"/>
    <w:rsid w:val="00960632"/>
    <w:rsid w:val="00964532"/>
    <w:rsid w:val="00965EB4"/>
    <w:rsid w:val="00977AB1"/>
    <w:rsid w:val="00984F2C"/>
    <w:rsid w:val="009905A5"/>
    <w:rsid w:val="00995C3A"/>
    <w:rsid w:val="009A28BE"/>
    <w:rsid w:val="009A337E"/>
    <w:rsid w:val="009B22A6"/>
    <w:rsid w:val="009B34CA"/>
    <w:rsid w:val="009C17AD"/>
    <w:rsid w:val="009C6C49"/>
    <w:rsid w:val="009D3131"/>
    <w:rsid w:val="009D3DB5"/>
    <w:rsid w:val="009D6329"/>
    <w:rsid w:val="009D7652"/>
    <w:rsid w:val="009E174B"/>
    <w:rsid w:val="009E4ADD"/>
    <w:rsid w:val="009F0E2E"/>
    <w:rsid w:val="009F427B"/>
    <w:rsid w:val="00A00446"/>
    <w:rsid w:val="00A0296F"/>
    <w:rsid w:val="00A0489F"/>
    <w:rsid w:val="00A21FE9"/>
    <w:rsid w:val="00A36686"/>
    <w:rsid w:val="00A36ED0"/>
    <w:rsid w:val="00A37A5F"/>
    <w:rsid w:val="00A464F4"/>
    <w:rsid w:val="00A50D11"/>
    <w:rsid w:val="00A523D6"/>
    <w:rsid w:val="00A54986"/>
    <w:rsid w:val="00A60C99"/>
    <w:rsid w:val="00A6372A"/>
    <w:rsid w:val="00A71256"/>
    <w:rsid w:val="00A807F4"/>
    <w:rsid w:val="00A82A35"/>
    <w:rsid w:val="00A84973"/>
    <w:rsid w:val="00A9108B"/>
    <w:rsid w:val="00A97EDB"/>
    <w:rsid w:val="00AA0D6F"/>
    <w:rsid w:val="00AA1E5B"/>
    <w:rsid w:val="00AA7868"/>
    <w:rsid w:val="00AB6296"/>
    <w:rsid w:val="00AC09A5"/>
    <w:rsid w:val="00AC20AB"/>
    <w:rsid w:val="00AD3700"/>
    <w:rsid w:val="00AD51AF"/>
    <w:rsid w:val="00AD64DD"/>
    <w:rsid w:val="00AE5F0A"/>
    <w:rsid w:val="00AF0A76"/>
    <w:rsid w:val="00AF2142"/>
    <w:rsid w:val="00B04335"/>
    <w:rsid w:val="00B05FD2"/>
    <w:rsid w:val="00B124BD"/>
    <w:rsid w:val="00B1402A"/>
    <w:rsid w:val="00B1611B"/>
    <w:rsid w:val="00B17BED"/>
    <w:rsid w:val="00B226B7"/>
    <w:rsid w:val="00B31478"/>
    <w:rsid w:val="00B430AD"/>
    <w:rsid w:val="00B536C0"/>
    <w:rsid w:val="00B719FF"/>
    <w:rsid w:val="00B7309E"/>
    <w:rsid w:val="00B755B2"/>
    <w:rsid w:val="00B821E2"/>
    <w:rsid w:val="00B82C20"/>
    <w:rsid w:val="00B84754"/>
    <w:rsid w:val="00B84FC2"/>
    <w:rsid w:val="00B85E6A"/>
    <w:rsid w:val="00B86895"/>
    <w:rsid w:val="00B86D54"/>
    <w:rsid w:val="00B90480"/>
    <w:rsid w:val="00B95C14"/>
    <w:rsid w:val="00B97F9B"/>
    <w:rsid w:val="00BA30F8"/>
    <w:rsid w:val="00BA51F5"/>
    <w:rsid w:val="00BA6343"/>
    <w:rsid w:val="00BB431F"/>
    <w:rsid w:val="00BB5F32"/>
    <w:rsid w:val="00BC2F1D"/>
    <w:rsid w:val="00BC6703"/>
    <w:rsid w:val="00BD0387"/>
    <w:rsid w:val="00BD1351"/>
    <w:rsid w:val="00BD2650"/>
    <w:rsid w:val="00BD48F1"/>
    <w:rsid w:val="00BD542C"/>
    <w:rsid w:val="00BD6E2B"/>
    <w:rsid w:val="00BD7D55"/>
    <w:rsid w:val="00BE42A4"/>
    <w:rsid w:val="00BE4A32"/>
    <w:rsid w:val="00BE4A85"/>
    <w:rsid w:val="00BE78BB"/>
    <w:rsid w:val="00BE7D4D"/>
    <w:rsid w:val="00BF2A03"/>
    <w:rsid w:val="00BF4C97"/>
    <w:rsid w:val="00BF4D41"/>
    <w:rsid w:val="00C057D7"/>
    <w:rsid w:val="00C12A6D"/>
    <w:rsid w:val="00C145F6"/>
    <w:rsid w:val="00C15373"/>
    <w:rsid w:val="00C16A8A"/>
    <w:rsid w:val="00C23CA1"/>
    <w:rsid w:val="00C25EB5"/>
    <w:rsid w:val="00C300FF"/>
    <w:rsid w:val="00C32CAE"/>
    <w:rsid w:val="00C370D7"/>
    <w:rsid w:val="00C37246"/>
    <w:rsid w:val="00C40632"/>
    <w:rsid w:val="00C40CC7"/>
    <w:rsid w:val="00C51420"/>
    <w:rsid w:val="00C5179C"/>
    <w:rsid w:val="00C51FF2"/>
    <w:rsid w:val="00C5629A"/>
    <w:rsid w:val="00C56719"/>
    <w:rsid w:val="00C62153"/>
    <w:rsid w:val="00C642F3"/>
    <w:rsid w:val="00C64A09"/>
    <w:rsid w:val="00C66D7D"/>
    <w:rsid w:val="00C9027A"/>
    <w:rsid w:val="00CA2743"/>
    <w:rsid w:val="00CB71D2"/>
    <w:rsid w:val="00CC2BD3"/>
    <w:rsid w:val="00CD4415"/>
    <w:rsid w:val="00CE2A5C"/>
    <w:rsid w:val="00CE6177"/>
    <w:rsid w:val="00CF0B73"/>
    <w:rsid w:val="00CF3EEC"/>
    <w:rsid w:val="00CF5169"/>
    <w:rsid w:val="00D05ED1"/>
    <w:rsid w:val="00D10DF9"/>
    <w:rsid w:val="00D10E0A"/>
    <w:rsid w:val="00D13385"/>
    <w:rsid w:val="00D140D4"/>
    <w:rsid w:val="00D152B1"/>
    <w:rsid w:val="00D24C06"/>
    <w:rsid w:val="00D25592"/>
    <w:rsid w:val="00D25877"/>
    <w:rsid w:val="00D314FF"/>
    <w:rsid w:val="00D505F0"/>
    <w:rsid w:val="00D51B40"/>
    <w:rsid w:val="00D54E51"/>
    <w:rsid w:val="00D674BB"/>
    <w:rsid w:val="00D674D3"/>
    <w:rsid w:val="00D729BE"/>
    <w:rsid w:val="00D81012"/>
    <w:rsid w:val="00D83B18"/>
    <w:rsid w:val="00D87733"/>
    <w:rsid w:val="00D91A28"/>
    <w:rsid w:val="00DA01B2"/>
    <w:rsid w:val="00DB5C78"/>
    <w:rsid w:val="00DB688E"/>
    <w:rsid w:val="00DC7030"/>
    <w:rsid w:val="00DE33E4"/>
    <w:rsid w:val="00DE7E74"/>
    <w:rsid w:val="00DF2070"/>
    <w:rsid w:val="00DF4C16"/>
    <w:rsid w:val="00DF5A4B"/>
    <w:rsid w:val="00E049B8"/>
    <w:rsid w:val="00E05164"/>
    <w:rsid w:val="00E11184"/>
    <w:rsid w:val="00E14059"/>
    <w:rsid w:val="00E14AC7"/>
    <w:rsid w:val="00E15958"/>
    <w:rsid w:val="00E273C4"/>
    <w:rsid w:val="00E3041D"/>
    <w:rsid w:val="00E30BC3"/>
    <w:rsid w:val="00E33179"/>
    <w:rsid w:val="00E35FC5"/>
    <w:rsid w:val="00E42641"/>
    <w:rsid w:val="00E42AD1"/>
    <w:rsid w:val="00E52DB6"/>
    <w:rsid w:val="00E60B4C"/>
    <w:rsid w:val="00E66D5F"/>
    <w:rsid w:val="00E671AA"/>
    <w:rsid w:val="00E7275F"/>
    <w:rsid w:val="00E72F6F"/>
    <w:rsid w:val="00E73989"/>
    <w:rsid w:val="00E75F91"/>
    <w:rsid w:val="00E77D55"/>
    <w:rsid w:val="00E80827"/>
    <w:rsid w:val="00E80EF2"/>
    <w:rsid w:val="00E962BA"/>
    <w:rsid w:val="00E97449"/>
    <w:rsid w:val="00EA2804"/>
    <w:rsid w:val="00EA70AA"/>
    <w:rsid w:val="00EB0827"/>
    <w:rsid w:val="00EB0A79"/>
    <w:rsid w:val="00EB24B4"/>
    <w:rsid w:val="00EB53BF"/>
    <w:rsid w:val="00EC7AB4"/>
    <w:rsid w:val="00ED0CB6"/>
    <w:rsid w:val="00EE2466"/>
    <w:rsid w:val="00EE2B8D"/>
    <w:rsid w:val="00EE3C8C"/>
    <w:rsid w:val="00EF4F4E"/>
    <w:rsid w:val="00EF7401"/>
    <w:rsid w:val="00F01F6E"/>
    <w:rsid w:val="00F07C0C"/>
    <w:rsid w:val="00F1078C"/>
    <w:rsid w:val="00F11E15"/>
    <w:rsid w:val="00F131E6"/>
    <w:rsid w:val="00F2467A"/>
    <w:rsid w:val="00F26F3F"/>
    <w:rsid w:val="00F342AC"/>
    <w:rsid w:val="00F34CF5"/>
    <w:rsid w:val="00F37694"/>
    <w:rsid w:val="00F428BF"/>
    <w:rsid w:val="00F45CA5"/>
    <w:rsid w:val="00F508AC"/>
    <w:rsid w:val="00F51330"/>
    <w:rsid w:val="00F52CE1"/>
    <w:rsid w:val="00F60F85"/>
    <w:rsid w:val="00F64118"/>
    <w:rsid w:val="00F70C98"/>
    <w:rsid w:val="00F72069"/>
    <w:rsid w:val="00F8277F"/>
    <w:rsid w:val="00F84D52"/>
    <w:rsid w:val="00F86251"/>
    <w:rsid w:val="00F9029D"/>
    <w:rsid w:val="00F90640"/>
    <w:rsid w:val="00F90C63"/>
    <w:rsid w:val="00F933BD"/>
    <w:rsid w:val="00FA041B"/>
    <w:rsid w:val="00FA4E01"/>
    <w:rsid w:val="00FB55A1"/>
    <w:rsid w:val="00FB6811"/>
    <w:rsid w:val="00FB6DCB"/>
    <w:rsid w:val="00FB73D0"/>
    <w:rsid w:val="00FB75B3"/>
    <w:rsid w:val="00FC0CFA"/>
    <w:rsid w:val="00FC36B2"/>
    <w:rsid w:val="00FC7AB4"/>
    <w:rsid w:val="00FD318E"/>
    <w:rsid w:val="00FD6A1C"/>
    <w:rsid w:val="00FE65A6"/>
    <w:rsid w:val="00FE7EE4"/>
    <w:rsid w:val="00FF4339"/>
    <w:rsid w:val="00FF52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4B77D"/>
  <w15:chartTrackingRefBased/>
  <w15:docId w15:val="{21941913-D353-4752-B318-2C8A0DE9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700"/>
    <w:rPr>
      <w:rFonts w:ascii="Arial" w:hAnsi="Arial"/>
      <w:sz w:val="22"/>
      <w:szCs w:val="24"/>
      <w:lang w:val="en-US" w:eastAsia="en-US"/>
    </w:rPr>
  </w:style>
  <w:style w:type="paragraph" w:styleId="Heading1">
    <w:name w:val="heading 1"/>
    <w:basedOn w:val="Normal"/>
    <w:next w:val="Normal"/>
    <w:autoRedefine/>
    <w:qFormat/>
    <w:rsid w:val="00D314FF"/>
    <w:pPr>
      <w:keepNext/>
      <w:numPr>
        <w:numId w:val="1"/>
      </w:numPr>
      <w:spacing w:line="276" w:lineRule="auto"/>
      <w:ind w:left="432"/>
      <w:outlineLvl w:val="0"/>
    </w:pPr>
    <w:rPr>
      <w:rFonts w:ascii="Calibri" w:hAnsi="Calibri" w:cs="Calibri"/>
      <w:b/>
      <w:bCs/>
      <w:kern w:val="32"/>
      <w:sz w:val="28"/>
      <w:szCs w:val="28"/>
    </w:rPr>
  </w:style>
  <w:style w:type="paragraph" w:styleId="Heading2">
    <w:name w:val="heading 2"/>
    <w:basedOn w:val="Normal"/>
    <w:next w:val="Normal"/>
    <w:qFormat/>
    <w:rsid w:val="00624661"/>
    <w:pPr>
      <w:keepNext/>
      <w:numPr>
        <w:ilvl w:val="1"/>
        <w:numId w:val="1"/>
      </w:numPr>
      <w:tabs>
        <w:tab w:val="clear" w:pos="4545"/>
        <w:tab w:val="num" w:pos="936"/>
      </w:tabs>
      <w:spacing w:before="240" w:after="60"/>
      <w:ind w:left="936"/>
      <w:outlineLvl w:val="1"/>
    </w:pPr>
    <w:rPr>
      <w:rFonts w:cs="Arial"/>
      <w:b/>
      <w:bCs/>
      <w:i/>
      <w:iCs/>
      <w:sz w:val="28"/>
      <w:szCs w:val="28"/>
    </w:rPr>
  </w:style>
  <w:style w:type="paragraph" w:styleId="Heading3">
    <w:name w:val="heading 3"/>
    <w:basedOn w:val="Normal"/>
    <w:next w:val="Normal"/>
    <w:qFormat/>
    <w:rsid w:val="00624661"/>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624661"/>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624661"/>
    <w:pPr>
      <w:numPr>
        <w:ilvl w:val="4"/>
        <w:numId w:val="1"/>
      </w:numPr>
      <w:spacing w:before="240" w:after="60"/>
      <w:outlineLvl w:val="4"/>
    </w:pPr>
    <w:rPr>
      <w:b/>
      <w:bCs/>
      <w:i/>
      <w:iCs/>
      <w:sz w:val="26"/>
      <w:szCs w:val="26"/>
    </w:rPr>
  </w:style>
  <w:style w:type="paragraph" w:styleId="Heading6">
    <w:name w:val="heading 6"/>
    <w:basedOn w:val="Normal"/>
    <w:next w:val="Normal"/>
    <w:qFormat/>
    <w:rsid w:val="00624661"/>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624661"/>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62466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624661"/>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2641"/>
    <w:pPr>
      <w:tabs>
        <w:tab w:val="center" w:pos="4320"/>
        <w:tab w:val="right" w:pos="8640"/>
      </w:tabs>
    </w:pPr>
  </w:style>
  <w:style w:type="paragraph" w:styleId="Footer">
    <w:name w:val="footer"/>
    <w:basedOn w:val="Normal"/>
    <w:rsid w:val="00E42641"/>
    <w:pPr>
      <w:tabs>
        <w:tab w:val="center" w:pos="4320"/>
        <w:tab w:val="right" w:pos="8640"/>
      </w:tabs>
    </w:pPr>
  </w:style>
  <w:style w:type="paragraph" w:styleId="TOC1">
    <w:name w:val="toc 1"/>
    <w:basedOn w:val="Normal"/>
    <w:next w:val="Normal"/>
    <w:autoRedefine/>
    <w:uiPriority w:val="39"/>
    <w:qFormat/>
    <w:rsid w:val="003C79B9"/>
    <w:pPr>
      <w:spacing w:after="120" w:line="276" w:lineRule="auto"/>
    </w:pPr>
    <w:rPr>
      <w:rFonts w:ascii="Calibri" w:hAnsi="Calibri"/>
      <w:sz w:val="24"/>
    </w:rPr>
  </w:style>
  <w:style w:type="character" w:styleId="Hyperlink">
    <w:name w:val="Hyperlink"/>
    <w:uiPriority w:val="99"/>
    <w:rsid w:val="00624661"/>
    <w:rPr>
      <w:color w:val="0000FF"/>
      <w:u w:val="single"/>
    </w:rPr>
  </w:style>
  <w:style w:type="paragraph" w:styleId="TOC2">
    <w:name w:val="toc 2"/>
    <w:basedOn w:val="Normal"/>
    <w:next w:val="Normal"/>
    <w:autoRedefine/>
    <w:uiPriority w:val="39"/>
    <w:qFormat/>
    <w:rsid w:val="003C79B9"/>
    <w:pPr>
      <w:spacing w:after="120" w:line="276" w:lineRule="auto"/>
      <w:ind w:left="221"/>
    </w:pPr>
    <w:rPr>
      <w:rFonts w:ascii="Calibri" w:hAnsi="Calibri"/>
    </w:rPr>
  </w:style>
  <w:style w:type="paragraph" w:styleId="TOC3">
    <w:name w:val="toc 3"/>
    <w:basedOn w:val="Normal"/>
    <w:next w:val="Normal"/>
    <w:autoRedefine/>
    <w:uiPriority w:val="39"/>
    <w:qFormat/>
    <w:rsid w:val="003C79B9"/>
    <w:pPr>
      <w:spacing w:after="120" w:line="276" w:lineRule="auto"/>
      <w:ind w:left="442"/>
    </w:pPr>
    <w:rPr>
      <w:rFonts w:ascii="Calibri" w:hAnsi="Calibri"/>
      <w:sz w:val="20"/>
    </w:rPr>
  </w:style>
  <w:style w:type="character" w:styleId="FollowedHyperlink">
    <w:name w:val="FollowedHyperlink"/>
    <w:rsid w:val="00BD542C"/>
    <w:rPr>
      <w:color w:val="800080"/>
      <w:u w:val="single"/>
    </w:rPr>
  </w:style>
  <w:style w:type="paragraph" w:styleId="BalloonText">
    <w:name w:val="Balloon Text"/>
    <w:basedOn w:val="Normal"/>
    <w:link w:val="BalloonTextChar"/>
    <w:rsid w:val="0015722A"/>
    <w:rPr>
      <w:rFonts w:ascii="Tahoma" w:hAnsi="Tahoma" w:cs="Tahoma"/>
      <w:sz w:val="16"/>
      <w:szCs w:val="16"/>
    </w:rPr>
  </w:style>
  <w:style w:type="character" w:customStyle="1" w:styleId="BalloonTextChar">
    <w:name w:val="Balloon Text Char"/>
    <w:link w:val="BalloonText"/>
    <w:rsid w:val="0015722A"/>
    <w:rPr>
      <w:rFonts w:ascii="Tahoma" w:hAnsi="Tahoma" w:cs="Tahoma"/>
      <w:sz w:val="16"/>
      <w:szCs w:val="16"/>
    </w:rPr>
  </w:style>
  <w:style w:type="paragraph" w:customStyle="1" w:styleId="VE1">
    <w:name w:val="VE1"/>
    <w:basedOn w:val="Heading1"/>
    <w:qFormat/>
    <w:rsid w:val="00D314FF"/>
  </w:style>
  <w:style w:type="paragraph" w:customStyle="1" w:styleId="VE2">
    <w:name w:val="VE2"/>
    <w:basedOn w:val="Heading2"/>
    <w:qFormat/>
    <w:rsid w:val="00506336"/>
    <w:pPr>
      <w:tabs>
        <w:tab w:val="clear" w:pos="936"/>
        <w:tab w:val="num" w:pos="4545"/>
      </w:tabs>
      <w:spacing w:before="0" w:line="276" w:lineRule="auto"/>
      <w:ind w:left="4545"/>
    </w:pPr>
    <w:rPr>
      <w:rFonts w:ascii="Calibri" w:hAnsi="Calibri" w:cs="Calibri"/>
      <w:sz w:val="26"/>
      <w:szCs w:val="26"/>
    </w:rPr>
  </w:style>
  <w:style w:type="paragraph" w:customStyle="1" w:styleId="VE3">
    <w:name w:val="VE3"/>
    <w:basedOn w:val="Heading3"/>
    <w:qFormat/>
    <w:rsid w:val="00D314FF"/>
    <w:pPr>
      <w:tabs>
        <w:tab w:val="clear" w:pos="1080"/>
        <w:tab w:val="num" w:pos="709"/>
      </w:tabs>
      <w:spacing w:line="276" w:lineRule="auto"/>
      <w:ind w:left="709" w:hanging="709"/>
    </w:pPr>
    <w:rPr>
      <w:rFonts w:ascii="Calibri" w:hAnsi="Calibri" w:cs="Calibri"/>
      <w:sz w:val="24"/>
    </w:rPr>
  </w:style>
  <w:style w:type="paragraph" w:styleId="TOCHeading">
    <w:name w:val="TOC Heading"/>
    <w:basedOn w:val="Heading1"/>
    <w:next w:val="Normal"/>
    <w:uiPriority w:val="39"/>
    <w:semiHidden/>
    <w:unhideWhenUsed/>
    <w:qFormat/>
    <w:rsid w:val="003C79B9"/>
    <w:pPr>
      <w:keepLines/>
      <w:numPr>
        <w:numId w:val="0"/>
      </w:numPr>
      <w:spacing w:before="480"/>
      <w:outlineLvl w:val="9"/>
    </w:pPr>
    <w:rPr>
      <w:rFonts w:ascii="Cambria" w:eastAsia="MS Gothic" w:hAnsi="Cambria" w:cs="Times New Roman"/>
      <w:color w:val="365F91"/>
      <w:kern w:val="0"/>
      <w:lang w:eastAsia="ja-JP"/>
    </w:rPr>
  </w:style>
  <w:style w:type="paragraph" w:styleId="Title">
    <w:name w:val="Title"/>
    <w:basedOn w:val="Normal"/>
    <w:next w:val="Normal"/>
    <w:link w:val="TitleChar"/>
    <w:qFormat/>
    <w:rsid w:val="001E0525"/>
    <w:pPr>
      <w:spacing w:before="240" w:after="60"/>
      <w:jc w:val="center"/>
      <w:outlineLvl w:val="0"/>
    </w:pPr>
    <w:rPr>
      <w:rFonts w:ascii="Cambria" w:hAnsi="Cambria"/>
      <w:b/>
      <w:bCs/>
      <w:kern w:val="28"/>
      <w:sz w:val="32"/>
      <w:szCs w:val="32"/>
    </w:rPr>
  </w:style>
  <w:style w:type="character" w:customStyle="1" w:styleId="TitleChar">
    <w:name w:val="Title Char"/>
    <w:link w:val="Title"/>
    <w:rsid w:val="001E0525"/>
    <w:rPr>
      <w:rFonts w:ascii="Cambria" w:eastAsia="Times New Roman" w:hAnsi="Cambria" w:cs="Times New Roman"/>
      <w:b/>
      <w:bCs/>
      <w:kern w:val="28"/>
      <w:sz w:val="32"/>
      <w:szCs w:val="32"/>
      <w:lang w:val="en-US" w:eastAsia="en-US"/>
    </w:rPr>
  </w:style>
  <w:style w:type="character" w:styleId="LineNumber">
    <w:name w:val="line number"/>
    <w:basedOn w:val="DefaultParagraphFont"/>
    <w:rsid w:val="00223F8E"/>
  </w:style>
  <w:style w:type="paragraph" w:styleId="ListParagraph">
    <w:name w:val="List Paragraph"/>
    <w:basedOn w:val="Normal"/>
    <w:uiPriority w:val="34"/>
    <w:qFormat/>
    <w:rsid w:val="002078B1"/>
    <w:pPr>
      <w:ind w:left="720"/>
      <w:contextualSpacing/>
    </w:pPr>
  </w:style>
  <w:style w:type="character" w:customStyle="1" w:styleId="st">
    <w:name w:val="st"/>
    <w:basedOn w:val="DefaultParagraphFont"/>
    <w:rsid w:val="005B332D"/>
  </w:style>
  <w:style w:type="table" w:styleId="GridTable4-Accent6">
    <w:name w:val="Grid Table 4 Accent 6"/>
    <w:basedOn w:val="TableNormal"/>
    <w:uiPriority w:val="49"/>
    <w:rsid w:val="009579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Number">
    <w:name w:val="List Number"/>
    <w:basedOn w:val="Normal"/>
    <w:rsid w:val="0095796C"/>
    <w:pPr>
      <w:numPr>
        <w:numId w:val="10"/>
      </w:numPr>
      <w:contextualSpacing/>
    </w:pPr>
  </w:style>
  <w:style w:type="paragraph" w:styleId="ListBullet">
    <w:name w:val="List Bullet"/>
    <w:basedOn w:val="Normal"/>
    <w:rsid w:val="0095796C"/>
    <w:pPr>
      <w:numPr>
        <w:numId w:val="11"/>
      </w:numPr>
      <w:contextualSpacing/>
    </w:pPr>
  </w:style>
  <w:style w:type="table" w:styleId="TableGrid">
    <w:name w:val="Table Grid"/>
    <w:basedOn w:val="TableNormal"/>
    <w:rsid w:val="002E1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B0827"/>
    <w:rPr>
      <w:i/>
      <w:iCs/>
    </w:rPr>
  </w:style>
  <w:style w:type="character" w:styleId="PlaceholderText">
    <w:name w:val="Placeholder Text"/>
    <w:basedOn w:val="DefaultParagraphFont"/>
    <w:uiPriority w:val="99"/>
    <w:semiHidden/>
    <w:rsid w:val="00435D95"/>
    <w:rPr>
      <w:color w:val="808080"/>
    </w:rPr>
  </w:style>
  <w:style w:type="paragraph" w:styleId="Caption">
    <w:name w:val="caption"/>
    <w:basedOn w:val="Normal"/>
    <w:next w:val="Normal"/>
    <w:unhideWhenUsed/>
    <w:qFormat/>
    <w:rsid w:val="00E77D55"/>
    <w:pPr>
      <w:spacing w:after="200"/>
    </w:pPr>
    <w:rPr>
      <w:i/>
      <w:iCs/>
      <w:color w:val="44546A" w:themeColor="text2"/>
      <w:sz w:val="18"/>
      <w:szCs w:val="18"/>
    </w:rPr>
  </w:style>
  <w:style w:type="table" w:styleId="GridTable7Colorful">
    <w:name w:val="Grid Table 7 Colorful"/>
    <w:basedOn w:val="TableNormal"/>
    <w:uiPriority w:val="52"/>
    <w:rsid w:val="00E66D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E66D5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E66D5F"/>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E66D5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C057D7"/>
    <w:pPr>
      <w:spacing w:before="100" w:beforeAutospacing="1" w:after="100" w:afterAutospacing="1"/>
    </w:pPr>
    <w:rPr>
      <w:rFonts w:ascii="Times New Roman" w:hAnsi="Times New Roman"/>
      <w:sz w:val="24"/>
    </w:rPr>
  </w:style>
  <w:style w:type="character" w:styleId="CommentReference">
    <w:name w:val="annotation reference"/>
    <w:basedOn w:val="DefaultParagraphFont"/>
    <w:rsid w:val="00400F05"/>
    <w:rPr>
      <w:sz w:val="16"/>
      <w:szCs w:val="16"/>
    </w:rPr>
  </w:style>
  <w:style w:type="paragraph" w:styleId="CommentText">
    <w:name w:val="annotation text"/>
    <w:basedOn w:val="Normal"/>
    <w:link w:val="CommentTextChar"/>
    <w:rsid w:val="00400F05"/>
    <w:rPr>
      <w:sz w:val="20"/>
      <w:szCs w:val="20"/>
    </w:rPr>
  </w:style>
  <w:style w:type="character" w:customStyle="1" w:styleId="CommentTextChar">
    <w:name w:val="Comment Text Char"/>
    <w:basedOn w:val="DefaultParagraphFont"/>
    <w:link w:val="CommentText"/>
    <w:rsid w:val="00400F05"/>
    <w:rPr>
      <w:rFonts w:ascii="Arial" w:hAnsi="Arial"/>
      <w:lang w:val="en-US" w:eastAsia="en-US"/>
    </w:rPr>
  </w:style>
  <w:style w:type="paragraph" w:styleId="CommentSubject">
    <w:name w:val="annotation subject"/>
    <w:basedOn w:val="CommentText"/>
    <w:next w:val="CommentText"/>
    <w:link w:val="CommentSubjectChar"/>
    <w:rsid w:val="00400F05"/>
    <w:rPr>
      <w:b/>
      <w:bCs/>
    </w:rPr>
  </w:style>
  <w:style w:type="character" w:customStyle="1" w:styleId="CommentSubjectChar">
    <w:name w:val="Comment Subject Char"/>
    <w:basedOn w:val="CommentTextChar"/>
    <w:link w:val="CommentSubject"/>
    <w:rsid w:val="00400F05"/>
    <w:rPr>
      <w:rFonts w:ascii="Arial" w:hAnsi="Arial"/>
      <w:b/>
      <w:bCs/>
      <w:lang w:val="en-US" w:eastAsia="en-US"/>
    </w:rPr>
  </w:style>
  <w:style w:type="table" w:styleId="PlainTable2">
    <w:name w:val="Plain Table 2"/>
    <w:basedOn w:val="TableNormal"/>
    <w:uiPriority w:val="42"/>
    <w:rsid w:val="006C7F84"/>
    <w:rPr>
      <w:rFonts w:asciiTheme="minorHAnsi" w:eastAsiaTheme="minorHAnsi" w:hAnsiTheme="minorHAnsi" w:cstheme="minorBidi"/>
      <w:sz w:val="22"/>
      <w:szCs w:val="22"/>
      <w:lang w:eastAsia="en-US"/>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B3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478"/>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3585">
      <w:bodyDiv w:val="1"/>
      <w:marLeft w:val="0"/>
      <w:marRight w:val="0"/>
      <w:marTop w:val="0"/>
      <w:marBottom w:val="0"/>
      <w:divBdr>
        <w:top w:val="none" w:sz="0" w:space="0" w:color="auto"/>
        <w:left w:val="none" w:sz="0" w:space="0" w:color="auto"/>
        <w:bottom w:val="none" w:sz="0" w:space="0" w:color="auto"/>
        <w:right w:val="none" w:sz="0" w:space="0" w:color="auto"/>
      </w:divBdr>
    </w:div>
    <w:div w:id="525872893">
      <w:bodyDiv w:val="1"/>
      <w:marLeft w:val="0"/>
      <w:marRight w:val="0"/>
      <w:marTop w:val="0"/>
      <w:marBottom w:val="0"/>
      <w:divBdr>
        <w:top w:val="none" w:sz="0" w:space="0" w:color="auto"/>
        <w:left w:val="none" w:sz="0" w:space="0" w:color="auto"/>
        <w:bottom w:val="none" w:sz="0" w:space="0" w:color="auto"/>
        <w:right w:val="none" w:sz="0" w:space="0" w:color="auto"/>
      </w:divBdr>
    </w:div>
    <w:div w:id="534120508">
      <w:bodyDiv w:val="1"/>
      <w:marLeft w:val="0"/>
      <w:marRight w:val="0"/>
      <w:marTop w:val="0"/>
      <w:marBottom w:val="0"/>
      <w:divBdr>
        <w:top w:val="none" w:sz="0" w:space="0" w:color="auto"/>
        <w:left w:val="none" w:sz="0" w:space="0" w:color="auto"/>
        <w:bottom w:val="none" w:sz="0" w:space="0" w:color="auto"/>
        <w:right w:val="none" w:sz="0" w:space="0" w:color="auto"/>
      </w:divBdr>
    </w:div>
    <w:div w:id="592594496">
      <w:bodyDiv w:val="1"/>
      <w:marLeft w:val="0"/>
      <w:marRight w:val="0"/>
      <w:marTop w:val="0"/>
      <w:marBottom w:val="0"/>
      <w:divBdr>
        <w:top w:val="none" w:sz="0" w:space="0" w:color="auto"/>
        <w:left w:val="none" w:sz="0" w:space="0" w:color="auto"/>
        <w:bottom w:val="none" w:sz="0" w:space="0" w:color="auto"/>
        <w:right w:val="none" w:sz="0" w:space="0" w:color="auto"/>
      </w:divBdr>
    </w:div>
    <w:div w:id="752706070">
      <w:bodyDiv w:val="1"/>
      <w:marLeft w:val="0"/>
      <w:marRight w:val="0"/>
      <w:marTop w:val="0"/>
      <w:marBottom w:val="0"/>
      <w:divBdr>
        <w:top w:val="none" w:sz="0" w:space="0" w:color="auto"/>
        <w:left w:val="none" w:sz="0" w:space="0" w:color="auto"/>
        <w:bottom w:val="none" w:sz="0" w:space="0" w:color="auto"/>
        <w:right w:val="none" w:sz="0" w:space="0" w:color="auto"/>
      </w:divBdr>
    </w:div>
    <w:div w:id="1254121837">
      <w:bodyDiv w:val="1"/>
      <w:marLeft w:val="0"/>
      <w:marRight w:val="0"/>
      <w:marTop w:val="0"/>
      <w:marBottom w:val="0"/>
      <w:divBdr>
        <w:top w:val="none" w:sz="0" w:space="0" w:color="auto"/>
        <w:left w:val="none" w:sz="0" w:space="0" w:color="auto"/>
        <w:bottom w:val="none" w:sz="0" w:space="0" w:color="auto"/>
        <w:right w:val="none" w:sz="0" w:space="0" w:color="auto"/>
      </w:divBdr>
    </w:div>
    <w:div w:id="1396657534">
      <w:bodyDiv w:val="1"/>
      <w:marLeft w:val="0"/>
      <w:marRight w:val="0"/>
      <w:marTop w:val="0"/>
      <w:marBottom w:val="0"/>
      <w:divBdr>
        <w:top w:val="none" w:sz="0" w:space="0" w:color="auto"/>
        <w:left w:val="none" w:sz="0" w:space="0" w:color="auto"/>
        <w:bottom w:val="none" w:sz="0" w:space="0" w:color="auto"/>
        <w:right w:val="none" w:sz="0" w:space="0" w:color="auto"/>
      </w:divBdr>
      <w:divsChild>
        <w:div w:id="165558262">
          <w:marLeft w:val="0"/>
          <w:marRight w:val="0"/>
          <w:marTop w:val="0"/>
          <w:marBottom w:val="0"/>
          <w:divBdr>
            <w:top w:val="none" w:sz="0" w:space="0" w:color="auto"/>
            <w:left w:val="none" w:sz="0" w:space="0" w:color="auto"/>
            <w:bottom w:val="none" w:sz="0" w:space="0" w:color="auto"/>
            <w:right w:val="none" w:sz="0" w:space="0" w:color="auto"/>
          </w:divBdr>
        </w:div>
        <w:div w:id="1667395516">
          <w:marLeft w:val="0"/>
          <w:marRight w:val="0"/>
          <w:marTop w:val="0"/>
          <w:marBottom w:val="0"/>
          <w:divBdr>
            <w:top w:val="none" w:sz="0" w:space="0" w:color="auto"/>
            <w:left w:val="none" w:sz="0" w:space="0" w:color="auto"/>
            <w:bottom w:val="none" w:sz="0" w:space="0" w:color="auto"/>
            <w:right w:val="none" w:sz="0" w:space="0" w:color="auto"/>
          </w:divBdr>
        </w:div>
        <w:div w:id="1174147539">
          <w:marLeft w:val="0"/>
          <w:marRight w:val="0"/>
          <w:marTop w:val="0"/>
          <w:marBottom w:val="0"/>
          <w:divBdr>
            <w:top w:val="none" w:sz="0" w:space="0" w:color="auto"/>
            <w:left w:val="none" w:sz="0" w:space="0" w:color="auto"/>
            <w:bottom w:val="none" w:sz="0" w:space="0" w:color="auto"/>
            <w:right w:val="none" w:sz="0" w:space="0" w:color="auto"/>
          </w:divBdr>
          <w:divsChild>
            <w:div w:id="2042508202">
              <w:marLeft w:val="0"/>
              <w:marRight w:val="0"/>
              <w:marTop w:val="0"/>
              <w:marBottom w:val="0"/>
              <w:divBdr>
                <w:top w:val="none" w:sz="0" w:space="0" w:color="auto"/>
                <w:left w:val="none" w:sz="0" w:space="0" w:color="auto"/>
                <w:bottom w:val="none" w:sz="0" w:space="0" w:color="auto"/>
                <w:right w:val="none" w:sz="0" w:space="0" w:color="auto"/>
              </w:divBdr>
            </w:div>
            <w:div w:id="1871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3640">
      <w:bodyDiv w:val="1"/>
      <w:marLeft w:val="0"/>
      <w:marRight w:val="0"/>
      <w:marTop w:val="0"/>
      <w:marBottom w:val="0"/>
      <w:divBdr>
        <w:top w:val="none" w:sz="0" w:space="0" w:color="auto"/>
        <w:left w:val="none" w:sz="0" w:space="0" w:color="auto"/>
        <w:bottom w:val="none" w:sz="0" w:space="0" w:color="auto"/>
        <w:right w:val="none" w:sz="0" w:space="0" w:color="auto"/>
      </w:divBdr>
    </w:div>
    <w:div w:id="1471676547">
      <w:bodyDiv w:val="1"/>
      <w:marLeft w:val="0"/>
      <w:marRight w:val="0"/>
      <w:marTop w:val="0"/>
      <w:marBottom w:val="0"/>
      <w:divBdr>
        <w:top w:val="none" w:sz="0" w:space="0" w:color="auto"/>
        <w:left w:val="none" w:sz="0" w:space="0" w:color="auto"/>
        <w:bottom w:val="none" w:sz="0" w:space="0" w:color="auto"/>
        <w:right w:val="none" w:sz="0" w:space="0" w:color="auto"/>
      </w:divBdr>
    </w:div>
    <w:div w:id="1840316724">
      <w:bodyDiv w:val="1"/>
      <w:marLeft w:val="0"/>
      <w:marRight w:val="0"/>
      <w:marTop w:val="0"/>
      <w:marBottom w:val="0"/>
      <w:divBdr>
        <w:top w:val="none" w:sz="0" w:space="0" w:color="auto"/>
        <w:left w:val="none" w:sz="0" w:space="0" w:color="auto"/>
        <w:bottom w:val="none" w:sz="0" w:space="0" w:color="auto"/>
        <w:right w:val="none" w:sz="0" w:space="0" w:color="auto"/>
      </w:divBdr>
      <w:divsChild>
        <w:div w:id="9104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621780">
      <w:bodyDiv w:val="1"/>
      <w:marLeft w:val="0"/>
      <w:marRight w:val="0"/>
      <w:marTop w:val="0"/>
      <w:marBottom w:val="0"/>
      <w:divBdr>
        <w:top w:val="none" w:sz="0" w:space="0" w:color="auto"/>
        <w:left w:val="none" w:sz="0" w:space="0" w:color="auto"/>
        <w:bottom w:val="none" w:sz="0" w:space="0" w:color="auto"/>
        <w:right w:val="none" w:sz="0" w:space="0" w:color="auto"/>
      </w:divBdr>
    </w:div>
    <w:div w:id="1971282570">
      <w:bodyDiv w:val="1"/>
      <w:marLeft w:val="0"/>
      <w:marRight w:val="0"/>
      <w:marTop w:val="0"/>
      <w:marBottom w:val="0"/>
      <w:divBdr>
        <w:top w:val="none" w:sz="0" w:space="0" w:color="auto"/>
        <w:left w:val="none" w:sz="0" w:space="0" w:color="auto"/>
        <w:bottom w:val="none" w:sz="0" w:space="0" w:color="auto"/>
        <w:right w:val="none" w:sz="0" w:space="0" w:color="auto"/>
      </w:divBdr>
    </w:div>
    <w:div w:id="20931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7EB6DC2874434D9910FD8BBFB5BE24" ma:contentTypeVersion="9" ma:contentTypeDescription="Create a new document." ma:contentTypeScope="" ma:versionID="6859f89e965be418d5b5885397c67f0b">
  <xsd:schema xmlns:xsd="http://www.w3.org/2001/XMLSchema" xmlns:xs="http://www.w3.org/2001/XMLSchema" xmlns:p="http://schemas.microsoft.com/office/2006/metadata/properties" xmlns:ns3="5b29165a-1448-4dda-82dc-1f9b991a99a2" targetNamespace="http://schemas.microsoft.com/office/2006/metadata/properties" ma:root="true" ma:fieldsID="db7ec75211b0658fa75daa312ca9e9fa" ns3:_="">
    <xsd:import namespace="5b29165a-1448-4dda-82dc-1f9b991a99a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165a-1448-4dda-82dc-1f9b991a99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3D2B2-5BAC-4EDA-B1E1-57A6BF9DC592}">
  <ds:schemaRefs>
    <ds:schemaRef ds:uri="http://schemas.microsoft.com/sharepoint/v3/contenttype/forms"/>
  </ds:schemaRefs>
</ds:datastoreItem>
</file>

<file path=customXml/itemProps2.xml><?xml version="1.0" encoding="utf-8"?>
<ds:datastoreItem xmlns:ds="http://schemas.openxmlformats.org/officeDocument/2006/customXml" ds:itemID="{D5EBFA06-8C95-4C68-A074-02D8844351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3F954F-D75B-410E-8EFF-DDC5ADF01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165a-1448-4dda-82dc-1f9b991a99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D5B695-5E40-4FC9-80D0-211E9726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6</Pages>
  <Words>3161</Words>
  <Characters>17895</Characters>
  <Application>Microsoft Office Word</Application>
  <DocSecurity>0</DocSecurity>
  <Lines>397</Lines>
  <Paragraphs>198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Research Protocol for an Observational Cross-sectional Study</vt:lpstr>
      <vt:lpstr>Research Protocol for an Observational Cross-sectional Study</vt:lpstr>
    </vt:vector>
  </TitlesOfParts>
  <Company>life.ku.dk</Company>
  <LinksUpToDate>false</LinksUpToDate>
  <CharactersWithSpaces>20858</CharactersWithSpaces>
  <SharedDoc>false</SharedDoc>
  <HLinks>
    <vt:vector size="360" baseType="variant">
      <vt:variant>
        <vt:i4>1507383</vt:i4>
      </vt:variant>
      <vt:variant>
        <vt:i4>356</vt:i4>
      </vt:variant>
      <vt:variant>
        <vt:i4>0</vt:i4>
      </vt:variant>
      <vt:variant>
        <vt:i4>5</vt:i4>
      </vt:variant>
      <vt:variant>
        <vt:lpwstr/>
      </vt:variant>
      <vt:variant>
        <vt:lpwstr>_Toc434575030</vt:lpwstr>
      </vt:variant>
      <vt:variant>
        <vt:i4>1441847</vt:i4>
      </vt:variant>
      <vt:variant>
        <vt:i4>350</vt:i4>
      </vt:variant>
      <vt:variant>
        <vt:i4>0</vt:i4>
      </vt:variant>
      <vt:variant>
        <vt:i4>5</vt:i4>
      </vt:variant>
      <vt:variant>
        <vt:lpwstr/>
      </vt:variant>
      <vt:variant>
        <vt:lpwstr>_Toc434575029</vt:lpwstr>
      </vt:variant>
      <vt:variant>
        <vt:i4>1441847</vt:i4>
      </vt:variant>
      <vt:variant>
        <vt:i4>344</vt:i4>
      </vt:variant>
      <vt:variant>
        <vt:i4>0</vt:i4>
      </vt:variant>
      <vt:variant>
        <vt:i4>5</vt:i4>
      </vt:variant>
      <vt:variant>
        <vt:lpwstr/>
      </vt:variant>
      <vt:variant>
        <vt:lpwstr>_Toc434575028</vt:lpwstr>
      </vt:variant>
      <vt:variant>
        <vt:i4>1441847</vt:i4>
      </vt:variant>
      <vt:variant>
        <vt:i4>338</vt:i4>
      </vt:variant>
      <vt:variant>
        <vt:i4>0</vt:i4>
      </vt:variant>
      <vt:variant>
        <vt:i4>5</vt:i4>
      </vt:variant>
      <vt:variant>
        <vt:lpwstr/>
      </vt:variant>
      <vt:variant>
        <vt:lpwstr>_Toc434575027</vt:lpwstr>
      </vt:variant>
      <vt:variant>
        <vt:i4>1441847</vt:i4>
      </vt:variant>
      <vt:variant>
        <vt:i4>332</vt:i4>
      </vt:variant>
      <vt:variant>
        <vt:i4>0</vt:i4>
      </vt:variant>
      <vt:variant>
        <vt:i4>5</vt:i4>
      </vt:variant>
      <vt:variant>
        <vt:lpwstr/>
      </vt:variant>
      <vt:variant>
        <vt:lpwstr>_Toc434575026</vt:lpwstr>
      </vt:variant>
      <vt:variant>
        <vt:i4>1441847</vt:i4>
      </vt:variant>
      <vt:variant>
        <vt:i4>326</vt:i4>
      </vt:variant>
      <vt:variant>
        <vt:i4>0</vt:i4>
      </vt:variant>
      <vt:variant>
        <vt:i4>5</vt:i4>
      </vt:variant>
      <vt:variant>
        <vt:lpwstr/>
      </vt:variant>
      <vt:variant>
        <vt:lpwstr>_Toc434575025</vt:lpwstr>
      </vt:variant>
      <vt:variant>
        <vt:i4>1441847</vt:i4>
      </vt:variant>
      <vt:variant>
        <vt:i4>320</vt:i4>
      </vt:variant>
      <vt:variant>
        <vt:i4>0</vt:i4>
      </vt:variant>
      <vt:variant>
        <vt:i4>5</vt:i4>
      </vt:variant>
      <vt:variant>
        <vt:lpwstr/>
      </vt:variant>
      <vt:variant>
        <vt:lpwstr>_Toc434575024</vt:lpwstr>
      </vt:variant>
      <vt:variant>
        <vt:i4>1441847</vt:i4>
      </vt:variant>
      <vt:variant>
        <vt:i4>314</vt:i4>
      </vt:variant>
      <vt:variant>
        <vt:i4>0</vt:i4>
      </vt:variant>
      <vt:variant>
        <vt:i4>5</vt:i4>
      </vt:variant>
      <vt:variant>
        <vt:lpwstr/>
      </vt:variant>
      <vt:variant>
        <vt:lpwstr>_Toc434575023</vt:lpwstr>
      </vt:variant>
      <vt:variant>
        <vt:i4>1441847</vt:i4>
      </vt:variant>
      <vt:variant>
        <vt:i4>308</vt:i4>
      </vt:variant>
      <vt:variant>
        <vt:i4>0</vt:i4>
      </vt:variant>
      <vt:variant>
        <vt:i4>5</vt:i4>
      </vt:variant>
      <vt:variant>
        <vt:lpwstr/>
      </vt:variant>
      <vt:variant>
        <vt:lpwstr>_Toc434575022</vt:lpwstr>
      </vt:variant>
      <vt:variant>
        <vt:i4>1441847</vt:i4>
      </vt:variant>
      <vt:variant>
        <vt:i4>302</vt:i4>
      </vt:variant>
      <vt:variant>
        <vt:i4>0</vt:i4>
      </vt:variant>
      <vt:variant>
        <vt:i4>5</vt:i4>
      </vt:variant>
      <vt:variant>
        <vt:lpwstr/>
      </vt:variant>
      <vt:variant>
        <vt:lpwstr>_Toc434575021</vt:lpwstr>
      </vt:variant>
      <vt:variant>
        <vt:i4>1441847</vt:i4>
      </vt:variant>
      <vt:variant>
        <vt:i4>296</vt:i4>
      </vt:variant>
      <vt:variant>
        <vt:i4>0</vt:i4>
      </vt:variant>
      <vt:variant>
        <vt:i4>5</vt:i4>
      </vt:variant>
      <vt:variant>
        <vt:lpwstr/>
      </vt:variant>
      <vt:variant>
        <vt:lpwstr>_Toc434575020</vt:lpwstr>
      </vt:variant>
      <vt:variant>
        <vt:i4>1376311</vt:i4>
      </vt:variant>
      <vt:variant>
        <vt:i4>290</vt:i4>
      </vt:variant>
      <vt:variant>
        <vt:i4>0</vt:i4>
      </vt:variant>
      <vt:variant>
        <vt:i4>5</vt:i4>
      </vt:variant>
      <vt:variant>
        <vt:lpwstr/>
      </vt:variant>
      <vt:variant>
        <vt:lpwstr>_Toc434575019</vt:lpwstr>
      </vt:variant>
      <vt:variant>
        <vt:i4>1376311</vt:i4>
      </vt:variant>
      <vt:variant>
        <vt:i4>284</vt:i4>
      </vt:variant>
      <vt:variant>
        <vt:i4>0</vt:i4>
      </vt:variant>
      <vt:variant>
        <vt:i4>5</vt:i4>
      </vt:variant>
      <vt:variant>
        <vt:lpwstr/>
      </vt:variant>
      <vt:variant>
        <vt:lpwstr>_Toc434575018</vt:lpwstr>
      </vt:variant>
      <vt:variant>
        <vt:i4>1376311</vt:i4>
      </vt:variant>
      <vt:variant>
        <vt:i4>278</vt:i4>
      </vt:variant>
      <vt:variant>
        <vt:i4>0</vt:i4>
      </vt:variant>
      <vt:variant>
        <vt:i4>5</vt:i4>
      </vt:variant>
      <vt:variant>
        <vt:lpwstr/>
      </vt:variant>
      <vt:variant>
        <vt:lpwstr>_Toc434575017</vt:lpwstr>
      </vt:variant>
      <vt:variant>
        <vt:i4>1376311</vt:i4>
      </vt:variant>
      <vt:variant>
        <vt:i4>272</vt:i4>
      </vt:variant>
      <vt:variant>
        <vt:i4>0</vt:i4>
      </vt:variant>
      <vt:variant>
        <vt:i4>5</vt:i4>
      </vt:variant>
      <vt:variant>
        <vt:lpwstr/>
      </vt:variant>
      <vt:variant>
        <vt:lpwstr>_Toc434575016</vt:lpwstr>
      </vt:variant>
      <vt:variant>
        <vt:i4>1376311</vt:i4>
      </vt:variant>
      <vt:variant>
        <vt:i4>266</vt:i4>
      </vt:variant>
      <vt:variant>
        <vt:i4>0</vt:i4>
      </vt:variant>
      <vt:variant>
        <vt:i4>5</vt:i4>
      </vt:variant>
      <vt:variant>
        <vt:lpwstr/>
      </vt:variant>
      <vt:variant>
        <vt:lpwstr>_Toc434575015</vt:lpwstr>
      </vt:variant>
      <vt:variant>
        <vt:i4>1376311</vt:i4>
      </vt:variant>
      <vt:variant>
        <vt:i4>260</vt:i4>
      </vt:variant>
      <vt:variant>
        <vt:i4>0</vt:i4>
      </vt:variant>
      <vt:variant>
        <vt:i4>5</vt:i4>
      </vt:variant>
      <vt:variant>
        <vt:lpwstr/>
      </vt:variant>
      <vt:variant>
        <vt:lpwstr>_Toc434575014</vt:lpwstr>
      </vt:variant>
      <vt:variant>
        <vt:i4>1376311</vt:i4>
      </vt:variant>
      <vt:variant>
        <vt:i4>254</vt:i4>
      </vt:variant>
      <vt:variant>
        <vt:i4>0</vt:i4>
      </vt:variant>
      <vt:variant>
        <vt:i4>5</vt:i4>
      </vt:variant>
      <vt:variant>
        <vt:lpwstr/>
      </vt:variant>
      <vt:variant>
        <vt:lpwstr>_Toc434575013</vt:lpwstr>
      </vt:variant>
      <vt:variant>
        <vt:i4>1376311</vt:i4>
      </vt:variant>
      <vt:variant>
        <vt:i4>248</vt:i4>
      </vt:variant>
      <vt:variant>
        <vt:i4>0</vt:i4>
      </vt:variant>
      <vt:variant>
        <vt:i4>5</vt:i4>
      </vt:variant>
      <vt:variant>
        <vt:lpwstr/>
      </vt:variant>
      <vt:variant>
        <vt:lpwstr>_Toc434575012</vt:lpwstr>
      </vt:variant>
      <vt:variant>
        <vt:i4>1376311</vt:i4>
      </vt:variant>
      <vt:variant>
        <vt:i4>242</vt:i4>
      </vt:variant>
      <vt:variant>
        <vt:i4>0</vt:i4>
      </vt:variant>
      <vt:variant>
        <vt:i4>5</vt:i4>
      </vt:variant>
      <vt:variant>
        <vt:lpwstr/>
      </vt:variant>
      <vt:variant>
        <vt:lpwstr>_Toc434575011</vt:lpwstr>
      </vt:variant>
      <vt:variant>
        <vt:i4>1376311</vt:i4>
      </vt:variant>
      <vt:variant>
        <vt:i4>236</vt:i4>
      </vt:variant>
      <vt:variant>
        <vt:i4>0</vt:i4>
      </vt:variant>
      <vt:variant>
        <vt:i4>5</vt:i4>
      </vt:variant>
      <vt:variant>
        <vt:lpwstr/>
      </vt:variant>
      <vt:variant>
        <vt:lpwstr>_Toc434575010</vt:lpwstr>
      </vt:variant>
      <vt:variant>
        <vt:i4>1310775</vt:i4>
      </vt:variant>
      <vt:variant>
        <vt:i4>230</vt:i4>
      </vt:variant>
      <vt:variant>
        <vt:i4>0</vt:i4>
      </vt:variant>
      <vt:variant>
        <vt:i4>5</vt:i4>
      </vt:variant>
      <vt:variant>
        <vt:lpwstr/>
      </vt:variant>
      <vt:variant>
        <vt:lpwstr>_Toc434575009</vt:lpwstr>
      </vt:variant>
      <vt:variant>
        <vt:i4>1310775</vt:i4>
      </vt:variant>
      <vt:variant>
        <vt:i4>224</vt:i4>
      </vt:variant>
      <vt:variant>
        <vt:i4>0</vt:i4>
      </vt:variant>
      <vt:variant>
        <vt:i4>5</vt:i4>
      </vt:variant>
      <vt:variant>
        <vt:lpwstr/>
      </vt:variant>
      <vt:variant>
        <vt:lpwstr>_Toc434575008</vt:lpwstr>
      </vt:variant>
      <vt:variant>
        <vt:i4>1310775</vt:i4>
      </vt:variant>
      <vt:variant>
        <vt:i4>218</vt:i4>
      </vt:variant>
      <vt:variant>
        <vt:i4>0</vt:i4>
      </vt:variant>
      <vt:variant>
        <vt:i4>5</vt:i4>
      </vt:variant>
      <vt:variant>
        <vt:lpwstr/>
      </vt:variant>
      <vt:variant>
        <vt:lpwstr>_Toc434575007</vt:lpwstr>
      </vt:variant>
      <vt:variant>
        <vt:i4>1310775</vt:i4>
      </vt:variant>
      <vt:variant>
        <vt:i4>212</vt:i4>
      </vt:variant>
      <vt:variant>
        <vt:i4>0</vt:i4>
      </vt:variant>
      <vt:variant>
        <vt:i4>5</vt:i4>
      </vt:variant>
      <vt:variant>
        <vt:lpwstr/>
      </vt:variant>
      <vt:variant>
        <vt:lpwstr>_Toc434575006</vt:lpwstr>
      </vt:variant>
      <vt:variant>
        <vt:i4>1310775</vt:i4>
      </vt:variant>
      <vt:variant>
        <vt:i4>206</vt:i4>
      </vt:variant>
      <vt:variant>
        <vt:i4>0</vt:i4>
      </vt:variant>
      <vt:variant>
        <vt:i4>5</vt:i4>
      </vt:variant>
      <vt:variant>
        <vt:lpwstr/>
      </vt:variant>
      <vt:variant>
        <vt:lpwstr>_Toc434575005</vt:lpwstr>
      </vt:variant>
      <vt:variant>
        <vt:i4>1310775</vt:i4>
      </vt:variant>
      <vt:variant>
        <vt:i4>200</vt:i4>
      </vt:variant>
      <vt:variant>
        <vt:i4>0</vt:i4>
      </vt:variant>
      <vt:variant>
        <vt:i4>5</vt:i4>
      </vt:variant>
      <vt:variant>
        <vt:lpwstr/>
      </vt:variant>
      <vt:variant>
        <vt:lpwstr>_Toc434575004</vt:lpwstr>
      </vt:variant>
      <vt:variant>
        <vt:i4>1310775</vt:i4>
      </vt:variant>
      <vt:variant>
        <vt:i4>194</vt:i4>
      </vt:variant>
      <vt:variant>
        <vt:i4>0</vt:i4>
      </vt:variant>
      <vt:variant>
        <vt:i4>5</vt:i4>
      </vt:variant>
      <vt:variant>
        <vt:lpwstr/>
      </vt:variant>
      <vt:variant>
        <vt:lpwstr>_Toc434575003</vt:lpwstr>
      </vt:variant>
      <vt:variant>
        <vt:i4>1310775</vt:i4>
      </vt:variant>
      <vt:variant>
        <vt:i4>188</vt:i4>
      </vt:variant>
      <vt:variant>
        <vt:i4>0</vt:i4>
      </vt:variant>
      <vt:variant>
        <vt:i4>5</vt:i4>
      </vt:variant>
      <vt:variant>
        <vt:lpwstr/>
      </vt:variant>
      <vt:variant>
        <vt:lpwstr>_Toc434575002</vt:lpwstr>
      </vt:variant>
      <vt:variant>
        <vt:i4>1310775</vt:i4>
      </vt:variant>
      <vt:variant>
        <vt:i4>182</vt:i4>
      </vt:variant>
      <vt:variant>
        <vt:i4>0</vt:i4>
      </vt:variant>
      <vt:variant>
        <vt:i4>5</vt:i4>
      </vt:variant>
      <vt:variant>
        <vt:lpwstr/>
      </vt:variant>
      <vt:variant>
        <vt:lpwstr>_Toc434575001</vt:lpwstr>
      </vt:variant>
      <vt:variant>
        <vt:i4>1310775</vt:i4>
      </vt:variant>
      <vt:variant>
        <vt:i4>176</vt:i4>
      </vt:variant>
      <vt:variant>
        <vt:i4>0</vt:i4>
      </vt:variant>
      <vt:variant>
        <vt:i4>5</vt:i4>
      </vt:variant>
      <vt:variant>
        <vt:lpwstr/>
      </vt:variant>
      <vt:variant>
        <vt:lpwstr>_Toc434575000</vt:lpwstr>
      </vt:variant>
      <vt:variant>
        <vt:i4>1835070</vt:i4>
      </vt:variant>
      <vt:variant>
        <vt:i4>170</vt:i4>
      </vt:variant>
      <vt:variant>
        <vt:i4>0</vt:i4>
      </vt:variant>
      <vt:variant>
        <vt:i4>5</vt:i4>
      </vt:variant>
      <vt:variant>
        <vt:lpwstr/>
      </vt:variant>
      <vt:variant>
        <vt:lpwstr>_Toc434574999</vt:lpwstr>
      </vt:variant>
      <vt:variant>
        <vt:i4>1835070</vt:i4>
      </vt:variant>
      <vt:variant>
        <vt:i4>164</vt:i4>
      </vt:variant>
      <vt:variant>
        <vt:i4>0</vt:i4>
      </vt:variant>
      <vt:variant>
        <vt:i4>5</vt:i4>
      </vt:variant>
      <vt:variant>
        <vt:lpwstr/>
      </vt:variant>
      <vt:variant>
        <vt:lpwstr>_Toc434574998</vt:lpwstr>
      </vt:variant>
      <vt:variant>
        <vt:i4>1835070</vt:i4>
      </vt:variant>
      <vt:variant>
        <vt:i4>158</vt:i4>
      </vt:variant>
      <vt:variant>
        <vt:i4>0</vt:i4>
      </vt:variant>
      <vt:variant>
        <vt:i4>5</vt:i4>
      </vt:variant>
      <vt:variant>
        <vt:lpwstr/>
      </vt:variant>
      <vt:variant>
        <vt:lpwstr>_Toc434574997</vt:lpwstr>
      </vt:variant>
      <vt:variant>
        <vt:i4>1835070</vt:i4>
      </vt:variant>
      <vt:variant>
        <vt:i4>152</vt:i4>
      </vt:variant>
      <vt:variant>
        <vt:i4>0</vt:i4>
      </vt:variant>
      <vt:variant>
        <vt:i4>5</vt:i4>
      </vt:variant>
      <vt:variant>
        <vt:lpwstr/>
      </vt:variant>
      <vt:variant>
        <vt:lpwstr>_Toc434574996</vt:lpwstr>
      </vt:variant>
      <vt:variant>
        <vt:i4>1835070</vt:i4>
      </vt:variant>
      <vt:variant>
        <vt:i4>146</vt:i4>
      </vt:variant>
      <vt:variant>
        <vt:i4>0</vt:i4>
      </vt:variant>
      <vt:variant>
        <vt:i4>5</vt:i4>
      </vt:variant>
      <vt:variant>
        <vt:lpwstr/>
      </vt:variant>
      <vt:variant>
        <vt:lpwstr>_Toc434574995</vt:lpwstr>
      </vt:variant>
      <vt:variant>
        <vt:i4>1835070</vt:i4>
      </vt:variant>
      <vt:variant>
        <vt:i4>140</vt:i4>
      </vt:variant>
      <vt:variant>
        <vt:i4>0</vt:i4>
      </vt:variant>
      <vt:variant>
        <vt:i4>5</vt:i4>
      </vt:variant>
      <vt:variant>
        <vt:lpwstr/>
      </vt:variant>
      <vt:variant>
        <vt:lpwstr>_Toc434574994</vt:lpwstr>
      </vt:variant>
      <vt:variant>
        <vt:i4>1835070</vt:i4>
      </vt:variant>
      <vt:variant>
        <vt:i4>134</vt:i4>
      </vt:variant>
      <vt:variant>
        <vt:i4>0</vt:i4>
      </vt:variant>
      <vt:variant>
        <vt:i4>5</vt:i4>
      </vt:variant>
      <vt:variant>
        <vt:lpwstr/>
      </vt:variant>
      <vt:variant>
        <vt:lpwstr>_Toc434574993</vt:lpwstr>
      </vt:variant>
      <vt:variant>
        <vt:i4>1835070</vt:i4>
      </vt:variant>
      <vt:variant>
        <vt:i4>128</vt:i4>
      </vt:variant>
      <vt:variant>
        <vt:i4>0</vt:i4>
      </vt:variant>
      <vt:variant>
        <vt:i4>5</vt:i4>
      </vt:variant>
      <vt:variant>
        <vt:lpwstr/>
      </vt:variant>
      <vt:variant>
        <vt:lpwstr>_Toc434574992</vt:lpwstr>
      </vt:variant>
      <vt:variant>
        <vt:i4>1835070</vt:i4>
      </vt:variant>
      <vt:variant>
        <vt:i4>122</vt:i4>
      </vt:variant>
      <vt:variant>
        <vt:i4>0</vt:i4>
      </vt:variant>
      <vt:variant>
        <vt:i4>5</vt:i4>
      </vt:variant>
      <vt:variant>
        <vt:lpwstr/>
      </vt:variant>
      <vt:variant>
        <vt:lpwstr>_Toc434574991</vt:lpwstr>
      </vt:variant>
      <vt:variant>
        <vt:i4>1835070</vt:i4>
      </vt:variant>
      <vt:variant>
        <vt:i4>116</vt:i4>
      </vt:variant>
      <vt:variant>
        <vt:i4>0</vt:i4>
      </vt:variant>
      <vt:variant>
        <vt:i4>5</vt:i4>
      </vt:variant>
      <vt:variant>
        <vt:lpwstr/>
      </vt:variant>
      <vt:variant>
        <vt:lpwstr>_Toc434574990</vt:lpwstr>
      </vt:variant>
      <vt:variant>
        <vt:i4>1900606</vt:i4>
      </vt:variant>
      <vt:variant>
        <vt:i4>110</vt:i4>
      </vt:variant>
      <vt:variant>
        <vt:i4>0</vt:i4>
      </vt:variant>
      <vt:variant>
        <vt:i4>5</vt:i4>
      </vt:variant>
      <vt:variant>
        <vt:lpwstr/>
      </vt:variant>
      <vt:variant>
        <vt:lpwstr>_Toc434574989</vt:lpwstr>
      </vt:variant>
      <vt:variant>
        <vt:i4>1900606</vt:i4>
      </vt:variant>
      <vt:variant>
        <vt:i4>104</vt:i4>
      </vt:variant>
      <vt:variant>
        <vt:i4>0</vt:i4>
      </vt:variant>
      <vt:variant>
        <vt:i4>5</vt:i4>
      </vt:variant>
      <vt:variant>
        <vt:lpwstr/>
      </vt:variant>
      <vt:variant>
        <vt:lpwstr>_Toc434574988</vt:lpwstr>
      </vt:variant>
      <vt:variant>
        <vt:i4>1900606</vt:i4>
      </vt:variant>
      <vt:variant>
        <vt:i4>98</vt:i4>
      </vt:variant>
      <vt:variant>
        <vt:i4>0</vt:i4>
      </vt:variant>
      <vt:variant>
        <vt:i4>5</vt:i4>
      </vt:variant>
      <vt:variant>
        <vt:lpwstr/>
      </vt:variant>
      <vt:variant>
        <vt:lpwstr>_Toc434574987</vt:lpwstr>
      </vt:variant>
      <vt:variant>
        <vt:i4>1900606</vt:i4>
      </vt:variant>
      <vt:variant>
        <vt:i4>92</vt:i4>
      </vt:variant>
      <vt:variant>
        <vt:i4>0</vt:i4>
      </vt:variant>
      <vt:variant>
        <vt:i4>5</vt:i4>
      </vt:variant>
      <vt:variant>
        <vt:lpwstr/>
      </vt:variant>
      <vt:variant>
        <vt:lpwstr>_Toc434574986</vt:lpwstr>
      </vt:variant>
      <vt:variant>
        <vt:i4>1900606</vt:i4>
      </vt:variant>
      <vt:variant>
        <vt:i4>86</vt:i4>
      </vt:variant>
      <vt:variant>
        <vt:i4>0</vt:i4>
      </vt:variant>
      <vt:variant>
        <vt:i4>5</vt:i4>
      </vt:variant>
      <vt:variant>
        <vt:lpwstr/>
      </vt:variant>
      <vt:variant>
        <vt:lpwstr>_Toc434574985</vt:lpwstr>
      </vt:variant>
      <vt:variant>
        <vt:i4>1900606</vt:i4>
      </vt:variant>
      <vt:variant>
        <vt:i4>80</vt:i4>
      </vt:variant>
      <vt:variant>
        <vt:i4>0</vt:i4>
      </vt:variant>
      <vt:variant>
        <vt:i4>5</vt:i4>
      </vt:variant>
      <vt:variant>
        <vt:lpwstr/>
      </vt:variant>
      <vt:variant>
        <vt:lpwstr>_Toc434574984</vt:lpwstr>
      </vt:variant>
      <vt:variant>
        <vt:i4>1900606</vt:i4>
      </vt:variant>
      <vt:variant>
        <vt:i4>74</vt:i4>
      </vt:variant>
      <vt:variant>
        <vt:i4>0</vt:i4>
      </vt:variant>
      <vt:variant>
        <vt:i4>5</vt:i4>
      </vt:variant>
      <vt:variant>
        <vt:lpwstr/>
      </vt:variant>
      <vt:variant>
        <vt:lpwstr>_Toc434574983</vt:lpwstr>
      </vt:variant>
      <vt:variant>
        <vt:i4>1900606</vt:i4>
      </vt:variant>
      <vt:variant>
        <vt:i4>68</vt:i4>
      </vt:variant>
      <vt:variant>
        <vt:i4>0</vt:i4>
      </vt:variant>
      <vt:variant>
        <vt:i4>5</vt:i4>
      </vt:variant>
      <vt:variant>
        <vt:lpwstr/>
      </vt:variant>
      <vt:variant>
        <vt:lpwstr>_Toc434574982</vt:lpwstr>
      </vt:variant>
      <vt:variant>
        <vt:i4>1900606</vt:i4>
      </vt:variant>
      <vt:variant>
        <vt:i4>62</vt:i4>
      </vt:variant>
      <vt:variant>
        <vt:i4>0</vt:i4>
      </vt:variant>
      <vt:variant>
        <vt:i4>5</vt:i4>
      </vt:variant>
      <vt:variant>
        <vt:lpwstr/>
      </vt:variant>
      <vt:variant>
        <vt:lpwstr>_Toc434574981</vt:lpwstr>
      </vt:variant>
      <vt:variant>
        <vt:i4>1900606</vt:i4>
      </vt:variant>
      <vt:variant>
        <vt:i4>56</vt:i4>
      </vt:variant>
      <vt:variant>
        <vt:i4>0</vt:i4>
      </vt:variant>
      <vt:variant>
        <vt:i4>5</vt:i4>
      </vt:variant>
      <vt:variant>
        <vt:lpwstr/>
      </vt:variant>
      <vt:variant>
        <vt:lpwstr>_Toc434574980</vt:lpwstr>
      </vt:variant>
      <vt:variant>
        <vt:i4>1179710</vt:i4>
      </vt:variant>
      <vt:variant>
        <vt:i4>50</vt:i4>
      </vt:variant>
      <vt:variant>
        <vt:i4>0</vt:i4>
      </vt:variant>
      <vt:variant>
        <vt:i4>5</vt:i4>
      </vt:variant>
      <vt:variant>
        <vt:lpwstr/>
      </vt:variant>
      <vt:variant>
        <vt:lpwstr>_Toc434574979</vt:lpwstr>
      </vt:variant>
      <vt:variant>
        <vt:i4>1179710</vt:i4>
      </vt:variant>
      <vt:variant>
        <vt:i4>44</vt:i4>
      </vt:variant>
      <vt:variant>
        <vt:i4>0</vt:i4>
      </vt:variant>
      <vt:variant>
        <vt:i4>5</vt:i4>
      </vt:variant>
      <vt:variant>
        <vt:lpwstr/>
      </vt:variant>
      <vt:variant>
        <vt:lpwstr>_Toc434574978</vt:lpwstr>
      </vt:variant>
      <vt:variant>
        <vt:i4>1179710</vt:i4>
      </vt:variant>
      <vt:variant>
        <vt:i4>38</vt:i4>
      </vt:variant>
      <vt:variant>
        <vt:i4>0</vt:i4>
      </vt:variant>
      <vt:variant>
        <vt:i4>5</vt:i4>
      </vt:variant>
      <vt:variant>
        <vt:lpwstr/>
      </vt:variant>
      <vt:variant>
        <vt:lpwstr>_Toc434574977</vt:lpwstr>
      </vt:variant>
      <vt:variant>
        <vt:i4>1179710</vt:i4>
      </vt:variant>
      <vt:variant>
        <vt:i4>32</vt:i4>
      </vt:variant>
      <vt:variant>
        <vt:i4>0</vt:i4>
      </vt:variant>
      <vt:variant>
        <vt:i4>5</vt:i4>
      </vt:variant>
      <vt:variant>
        <vt:lpwstr/>
      </vt:variant>
      <vt:variant>
        <vt:lpwstr>_Toc434574976</vt:lpwstr>
      </vt:variant>
      <vt:variant>
        <vt:i4>1179710</vt:i4>
      </vt:variant>
      <vt:variant>
        <vt:i4>26</vt:i4>
      </vt:variant>
      <vt:variant>
        <vt:i4>0</vt:i4>
      </vt:variant>
      <vt:variant>
        <vt:i4>5</vt:i4>
      </vt:variant>
      <vt:variant>
        <vt:lpwstr/>
      </vt:variant>
      <vt:variant>
        <vt:lpwstr>_Toc434574975</vt:lpwstr>
      </vt:variant>
      <vt:variant>
        <vt:i4>1179710</vt:i4>
      </vt:variant>
      <vt:variant>
        <vt:i4>20</vt:i4>
      </vt:variant>
      <vt:variant>
        <vt:i4>0</vt:i4>
      </vt:variant>
      <vt:variant>
        <vt:i4>5</vt:i4>
      </vt:variant>
      <vt:variant>
        <vt:lpwstr/>
      </vt:variant>
      <vt:variant>
        <vt:lpwstr>_Toc434574974</vt:lpwstr>
      </vt:variant>
      <vt:variant>
        <vt:i4>1179710</vt:i4>
      </vt:variant>
      <vt:variant>
        <vt:i4>14</vt:i4>
      </vt:variant>
      <vt:variant>
        <vt:i4>0</vt:i4>
      </vt:variant>
      <vt:variant>
        <vt:i4>5</vt:i4>
      </vt:variant>
      <vt:variant>
        <vt:lpwstr/>
      </vt:variant>
      <vt:variant>
        <vt:lpwstr>_Toc434574973</vt:lpwstr>
      </vt:variant>
      <vt:variant>
        <vt:i4>1179710</vt:i4>
      </vt:variant>
      <vt:variant>
        <vt:i4>8</vt:i4>
      </vt:variant>
      <vt:variant>
        <vt:i4>0</vt:i4>
      </vt:variant>
      <vt:variant>
        <vt:i4>5</vt:i4>
      </vt:variant>
      <vt:variant>
        <vt:lpwstr/>
      </vt:variant>
      <vt:variant>
        <vt:lpwstr>_Toc434574972</vt:lpwstr>
      </vt:variant>
      <vt:variant>
        <vt:i4>1179710</vt:i4>
      </vt:variant>
      <vt:variant>
        <vt:i4>2</vt:i4>
      </vt:variant>
      <vt:variant>
        <vt:i4>0</vt:i4>
      </vt:variant>
      <vt:variant>
        <vt:i4>5</vt:i4>
      </vt:variant>
      <vt:variant>
        <vt:lpwstr/>
      </vt:variant>
      <vt:variant>
        <vt:lpwstr>_Toc434574971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Protocol for an Observational Cross-sectional Study</dc:title>
  <dc:subject/>
  <dc:creator>nt</dc:creator>
  <cp:keywords/>
  <cp:lastModifiedBy>Maj Beldring Henningsen</cp:lastModifiedBy>
  <cp:revision>60</cp:revision>
  <cp:lastPrinted>2020-10-23T07:44:00Z</cp:lastPrinted>
  <dcterms:created xsi:type="dcterms:W3CDTF">2021-02-24T11:23:00Z</dcterms:created>
  <dcterms:modified xsi:type="dcterms:W3CDTF">2021-03-03T16:10:00Z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0x0101005E7EB6DC2874434D9910FD8BBFB5BE24</vt:lpwstr>
  </property>
  <property fmtid="{D5CDD505-2E9C-101B-9397-08002B2CF9AE}" pid="4" name="Mendeley Document_1">
    <vt:lpwstr>True</vt:lpwstr>
  </property>
  <property fmtid="{D5CDD505-2E9C-101B-9397-08002B2CF9AE}" pid="5" name="Mendeley Unique User Id_1">
    <vt:lpwstr>2e456c04-5749-382b-bf02-eca5bd9ab8dc</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