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3272C" w14:textId="77777777" w:rsidR="005E4242" w:rsidRPr="005E4242" w:rsidRDefault="005E4242" w:rsidP="005E4242">
      <w:r w:rsidRPr="005E4242">
        <w:t>Rayyan, your discussion offers an insightful comparison between agent communication languages (ACLs) and traditional method invocation, and I particularly appreciate how you highlight </w:t>
      </w:r>
      <w:r w:rsidRPr="005E4242">
        <w:rPr>
          <w:b/>
          <w:bCs/>
        </w:rPr>
        <w:t>semantic abstraction</w:t>
      </w:r>
      <w:r w:rsidRPr="005E4242">
        <w:t> as a key strength of ACLs. As you rightly note, the ability of agents to exchange information without requiring knowledge of each other’s internal workings represents a major step toward interoperability and autonomy (</w:t>
      </w:r>
      <w:proofErr w:type="spellStart"/>
      <w:r w:rsidRPr="005E4242">
        <w:t>Labrou</w:t>
      </w:r>
      <w:proofErr w:type="spellEnd"/>
      <w:r w:rsidRPr="005E4242">
        <w:t>, Finin and Peng, 1999). This abstraction is precisely what enables multi-agent systems to scale across diverse platforms and programming environments.</w:t>
      </w:r>
    </w:p>
    <w:p w14:paraId="53127B54" w14:textId="77777777" w:rsidR="005E4242" w:rsidRPr="005E4242" w:rsidRDefault="005E4242" w:rsidP="005E4242">
      <w:r w:rsidRPr="005E4242">
        <w:t>I would like to expand on your point regarding </w:t>
      </w:r>
      <w:proofErr w:type="spellStart"/>
      <w:r w:rsidRPr="005E4242">
        <w:rPr>
          <w:b/>
          <w:bCs/>
        </w:rPr>
        <w:t>standardisation</w:t>
      </w:r>
      <w:proofErr w:type="spellEnd"/>
      <w:r w:rsidRPr="005E4242">
        <w:t>. The performatives defined by frameworks such as FIPA-ACL not only facilitate structured communication but also encourage </w:t>
      </w:r>
      <w:r w:rsidRPr="005E4242">
        <w:rPr>
          <w:b/>
          <w:bCs/>
        </w:rPr>
        <w:t>social reasoning</w:t>
      </w:r>
      <w:r w:rsidRPr="005E4242">
        <w:t>, where agents can interpret messages in context—allowing for negotiation, trust formation, and adaptive coordination (FIPA, 2002; Singh, 2013). This makes ACLs particularly powerful in dynamic domains such as smart grids or intelligent transportation systems, where distributed agents must continuously cooperate under uncertainty.</w:t>
      </w:r>
    </w:p>
    <w:p w14:paraId="07123623" w14:textId="77777777" w:rsidR="005E4242" w:rsidRPr="005E4242" w:rsidRDefault="005E4242" w:rsidP="005E4242">
      <w:r w:rsidRPr="005E4242">
        <w:t>However, your observation about computational cost is also crucial. As you mentioned, the </w:t>
      </w:r>
      <w:r w:rsidRPr="005E4242">
        <w:rPr>
          <w:b/>
          <w:bCs/>
        </w:rPr>
        <w:t>semantic parsing and reasoning overhead</w:t>
      </w:r>
      <w:r w:rsidRPr="005E4242">
        <w:t> in ACLs can limit performance in real-time applications. To mitigate this, hybrid architectures are emerging where lightweight message passing is combined with semantic reasoning layers only when necessary (Gambetta et al., 2020). Such approaches strike a balance between the </w:t>
      </w:r>
      <w:r w:rsidRPr="005E4242">
        <w:rPr>
          <w:b/>
          <w:bCs/>
        </w:rPr>
        <w:t>efficiency of method invocation</w:t>
      </w:r>
      <w:r w:rsidRPr="005E4242">
        <w:t> and the </w:t>
      </w:r>
      <w:r w:rsidRPr="005E4242">
        <w:rPr>
          <w:b/>
          <w:bCs/>
        </w:rPr>
        <w:t>intelligence of ACL-based communication</w:t>
      </w:r>
      <w:r w:rsidRPr="005E4242">
        <w:t>.</w:t>
      </w:r>
    </w:p>
    <w:p w14:paraId="60B3906A" w14:textId="77777777" w:rsidR="005E4242" w:rsidRPr="005E4242" w:rsidRDefault="005E4242" w:rsidP="005E4242">
      <w:r w:rsidRPr="005E4242">
        <w:t>Overall, your post effectively highlights how ACLs offer depth and adaptability, albeit with trade-offs that developers must carefully manage.</w:t>
      </w:r>
    </w:p>
    <w:p w14:paraId="63B81915" w14:textId="77777777" w:rsidR="005E4242" w:rsidRPr="005E4242" w:rsidRDefault="005E4242" w:rsidP="005E4242">
      <w:r w:rsidRPr="005E4242">
        <w:t>references:</w:t>
      </w:r>
    </w:p>
    <w:p w14:paraId="28A72E05" w14:textId="77777777" w:rsidR="005E4242" w:rsidRPr="005E4242" w:rsidRDefault="005E4242" w:rsidP="005E4242">
      <w:r w:rsidRPr="005E4242">
        <w:t>FIPA (2002) </w:t>
      </w:r>
      <w:r w:rsidRPr="005E4242">
        <w:rPr>
          <w:i/>
          <w:iCs/>
        </w:rPr>
        <w:t>FIPA Communicative Act Library Specification.</w:t>
      </w:r>
      <w:r w:rsidRPr="005E4242">
        <w:t> [Online] Available at: https://www.fipa.org/specs/fipa00037/SC00037J.html [Accessed 8 Sep. 2025].</w:t>
      </w:r>
      <w:r w:rsidRPr="005E4242">
        <w:br/>
        <w:t>Gambetta, M., Buitrago, C., Giordano, D. and Martínez, J. (2020) ‘A hybrid agent communication framework for real-time environments’, </w:t>
      </w:r>
      <w:r w:rsidRPr="005E4242">
        <w:rPr>
          <w:i/>
          <w:iCs/>
        </w:rPr>
        <w:t>Journal of Intelligent &amp; Fuzzy Systems</w:t>
      </w:r>
      <w:r w:rsidRPr="005E4242">
        <w:t>, 38(5), pp. 5901–5912.</w:t>
      </w:r>
      <w:r w:rsidRPr="005E4242">
        <w:br/>
      </w:r>
      <w:proofErr w:type="spellStart"/>
      <w:r w:rsidRPr="005E4242">
        <w:t>Labrou</w:t>
      </w:r>
      <w:proofErr w:type="spellEnd"/>
      <w:r w:rsidRPr="005E4242">
        <w:t>, Y., Finin, T. and Peng, Y. (1999) ‘The current landscape of agent communication languages’, </w:t>
      </w:r>
      <w:r w:rsidRPr="005E4242">
        <w:rPr>
          <w:i/>
          <w:iCs/>
        </w:rPr>
        <w:t>IEEE Intelligent Systems</w:t>
      </w:r>
      <w:r w:rsidRPr="005E4242">
        <w:t>, 14(2), pp. 45–52.</w:t>
      </w:r>
      <w:r w:rsidRPr="005E4242">
        <w:br/>
        <w:t>Singh, M. P. (2013) ‘Semantics and verification of information-based protocols’, </w:t>
      </w:r>
      <w:r w:rsidRPr="005E4242">
        <w:rPr>
          <w:i/>
          <w:iCs/>
        </w:rPr>
        <w:t>AI Communications</w:t>
      </w:r>
      <w:r w:rsidRPr="005E4242">
        <w:t>, 26(2), pp. 193–207.</w:t>
      </w:r>
    </w:p>
    <w:p w14:paraId="24C4E6C1" w14:textId="77777777" w:rsidR="00AE1719" w:rsidRDefault="00AE1719"/>
    <w:sectPr w:rsidR="00AE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42"/>
    <w:rsid w:val="005E4242"/>
    <w:rsid w:val="009A0D7F"/>
    <w:rsid w:val="00AE1719"/>
    <w:rsid w:val="00BB3196"/>
    <w:rsid w:val="00F7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0F8E"/>
  <w15:chartTrackingRefBased/>
  <w15:docId w15:val="{B02F5F8A-EAB1-4ACE-8C10-AFEF9BAB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ALzaabi</dc:creator>
  <cp:keywords/>
  <dc:description/>
  <cp:lastModifiedBy>Majed ALzaabi</cp:lastModifiedBy>
  <cp:revision>1</cp:revision>
  <dcterms:created xsi:type="dcterms:W3CDTF">2025-10-19T11:49:00Z</dcterms:created>
  <dcterms:modified xsi:type="dcterms:W3CDTF">2025-10-19T11:50:00Z</dcterms:modified>
</cp:coreProperties>
</file>