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6893" w14:textId="77777777" w:rsidR="00B031DE" w:rsidRPr="00B031DE" w:rsidRDefault="00B031DE" w:rsidP="00B031DE">
      <w:r w:rsidRPr="00B031DE">
        <w:t>Across this three-week discussion, several key perspectives have emerged regarding the benefits and limitations of </w:t>
      </w:r>
      <w:r w:rsidRPr="00B031DE">
        <w:rPr>
          <w:b/>
          <w:bCs/>
        </w:rPr>
        <w:t>Agent Communication Languages (ACLs)</w:t>
      </w:r>
      <w:r w:rsidRPr="00B031DE">
        <w:t> such as </w:t>
      </w:r>
      <w:r w:rsidRPr="00B031DE">
        <w:rPr>
          <w:b/>
          <w:bCs/>
        </w:rPr>
        <w:t>KQML</w:t>
      </w:r>
      <w:r w:rsidRPr="00B031DE">
        <w:t> and their comparison to traditional </w:t>
      </w:r>
      <w:r w:rsidRPr="00B031DE">
        <w:rPr>
          <w:b/>
          <w:bCs/>
        </w:rPr>
        <w:t>method invocation</w:t>
      </w:r>
      <w:r w:rsidRPr="00B031DE">
        <w:t> in programming languages like Python or Java.</w:t>
      </w:r>
    </w:p>
    <w:p w14:paraId="779299CE" w14:textId="77777777" w:rsidR="00B031DE" w:rsidRPr="00B031DE" w:rsidRDefault="00B031DE" w:rsidP="00B031DE">
      <w:r w:rsidRPr="00B031DE">
        <w:t>In my initial post, I argued that ACLs provide a higher level of </w:t>
      </w:r>
      <w:r w:rsidRPr="00B031DE">
        <w:rPr>
          <w:b/>
          <w:bCs/>
        </w:rPr>
        <w:t>semantic interoperability</w:t>
      </w:r>
      <w:r w:rsidRPr="00B031DE">
        <w:t xml:space="preserve"> by allowing agents to communicate intentions, beliefs, and goals through </w:t>
      </w:r>
      <w:proofErr w:type="spellStart"/>
      <w:r w:rsidRPr="00B031DE">
        <w:t>standardised</w:t>
      </w:r>
      <w:proofErr w:type="spellEnd"/>
      <w:r w:rsidRPr="00B031DE">
        <w:t xml:space="preserve"> performatives (Finin, </w:t>
      </w:r>
      <w:proofErr w:type="spellStart"/>
      <w:r w:rsidRPr="00B031DE">
        <w:t>Labrou</w:t>
      </w:r>
      <w:proofErr w:type="spellEnd"/>
      <w:r w:rsidRPr="00B031DE">
        <w:t xml:space="preserve"> and Mayfield, 1994). Unlike method invocation, which focuses on direct and syntactic communication, ACLs enable reasoning and negotiation, making them particularly suitable for distributed, adaptive systems. However, I also noted that this semantic richness introduces computational complexity and potential ambiguity due to the absence of unified ontologies (Wooldridge, 2009).</w:t>
      </w:r>
    </w:p>
    <w:p w14:paraId="4E235BD6" w14:textId="77777777" w:rsidR="00B031DE" w:rsidRPr="00B031DE" w:rsidRDefault="00B031DE" w:rsidP="00B031DE">
      <w:r w:rsidRPr="00B031DE">
        <w:rPr>
          <w:b/>
          <w:bCs/>
        </w:rPr>
        <w:t>Rayyan’s post</w:t>
      </w:r>
      <w:r w:rsidRPr="00B031DE">
        <w:t> reinforced this argument by highlighting how ACLs abstract away implementation details, enabling cross-platform collaboration among heterogeneous agents. His focus on </w:t>
      </w:r>
      <w:proofErr w:type="spellStart"/>
      <w:r w:rsidRPr="00B031DE">
        <w:rPr>
          <w:b/>
          <w:bCs/>
        </w:rPr>
        <w:t>standardisation</w:t>
      </w:r>
      <w:proofErr w:type="spellEnd"/>
      <w:r w:rsidRPr="00B031DE">
        <w:rPr>
          <w:b/>
          <w:bCs/>
        </w:rPr>
        <w:t xml:space="preserve"> through FIPA protocols</w:t>
      </w:r>
      <w:r w:rsidRPr="00B031DE">
        <w:t> demonstrated how structured performatives (e.g., </w:t>
      </w:r>
      <w:r w:rsidRPr="00B031DE">
        <w:rPr>
          <w:i/>
          <w:iCs/>
        </w:rPr>
        <w:t>ask</w:t>
      </w:r>
      <w:r w:rsidRPr="00B031DE">
        <w:t>, </w:t>
      </w:r>
      <w:r w:rsidRPr="00B031DE">
        <w:rPr>
          <w:i/>
          <w:iCs/>
        </w:rPr>
        <w:t>tell</w:t>
      </w:r>
      <w:r w:rsidRPr="00B031DE">
        <w:t>, </w:t>
      </w:r>
      <w:r w:rsidRPr="00B031DE">
        <w:rPr>
          <w:i/>
          <w:iCs/>
        </w:rPr>
        <w:t>subscribe</w:t>
      </w:r>
      <w:r w:rsidRPr="00B031DE">
        <w:t>) can emulate human-like negotiation (FIPA, 2002). His emphasis on modularity and semantic exchange added depth to my point about interoperability, although he correctly identified that such abstraction can be costly in performance-critical environments.</w:t>
      </w:r>
    </w:p>
    <w:p w14:paraId="3D86FF14" w14:textId="77777777" w:rsidR="00B031DE" w:rsidRPr="00B031DE" w:rsidRDefault="00B031DE" w:rsidP="00B031DE">
      <w:r w:rsidRPr="00B031DE">
        <w:rPr>
          <w:b/>
          <w:bCs/>
        </w:rPr>
        <w:t>Fahad’s contribution</w:t>
      </w:r>
      <w:r w:rsidRPr="00B031DE">
        <w:t> added a theoretical layer by connecting ACLs to </w:t>
      </w:r>
      <w:r w:rsidRPr="00B031DE">
        <w:rPr>
          <w:b/>
          <w:bCs/>
        </w:rPr>
        <w:t>speech act theory</w:t>
      </w:r>
      <w:r w:rsidRPr="00B031DE">
        <w:t>, underscoring how communication in agent systems conveys not just data but intent (</w:t>
      </w:r>
      <w:proofErr w:type="spellStart"/>
      <w:r w:rsidRPr="00B031DE">
        <w:t>Warstadt</w:t>
      </w:r>
      <w:proofErr w:type="spellEnd"/>
      <w:r w:rsidRPr="00B031DE">
        <w:t xml:space="preserve"> and Bowman, 2022). He also introduced the notion of a trade-off between the </w:t>
      </w:r>
      <w:r w:rsidRPr="00B031DE">
        <w:rPr>
          <w:b/>
          <w:bCs/>
        </w:rPr>
        <w:t>semantic depth of ACLs</w:t>
      </w:r>
      <w:r w:rsidRPr="00B031DE">
        <w:t> and the </w:t>
      </w:r>
      <w:r w:rsidRPr="00B031DE">
        <w:rPr>
          <w:b/>
          <w:bCs/>
        </w:rPr>
        <w:t>efficiency of method invocation</w:t>
      </w:r>
      <w:r w:rsidRPr="00B031DE">
        <w:t>, which aligns with emerging research exploring hybrid or LLM-enhanced communication frameworks (Zhang et al., 2024).</w:t>
      </w:r>
    </w:p>
    <w:p w14:paraId="7EF4700A" w14:textId="77777777" w:rsidR="00B031DE" w:rsidRPr="00B031DE" w:rsidRDefault="00B031DE" w:rsidP="00B031DE">
      <w:r w:rsidRPr="00B031DE">
        <w:t>Overall, the discussion highlighted that ACLs are indispensable for intelligent, distributed systems requiring autonomy and understanding, while method invocation remains preferable for tightly coupled, high-performance applications. Balancing these paradigms may define the next generation of adaptive agent architectures.</w:t>
      </w:r>
    </w:p>
    <w:p w14:paraId="027B1E4E" w14:textId="77777777" w:rsidR="00B031DE" w:rsidRPr="00B031DE" w:rsidRDefault="00B031DE" w:rsidP="00B031DE">
      <w:r w:rsidRPr="00B031DE">
        <w:t>references:</w:t>
      </w:r>
    </w:p>
    <w:p w14:paraId="484654C0" w14:textId="77777777" w:rsidR="00B031DE" w:rsidRPr="00B031DE" w:rsidRDefault="00B031DE" w:rsidP="00B031DE">
      <w:r w:rsidRPr="00B031DE">
        <w:t>FIPA (2002) </w:t>
      </w:r>
      <w:r w:rsidRPr="00B031DE">
        <w:rPr>
          <w:i/>
          <w:iCs/>
        </w:rPr>
        <w:t>FIPA Communicative Act Library Specification.</w:t>
      </w:r>
      <w:r w:rsidRPr="00B031DE">
        <w:t> [Online] Available at: https://www.fipa.org/specs/fipa00037/SC00037J.html (Accessed: 8 Sep. 2025).</w:t>
      </w:r>
      <w:r w:rsidRPr="00B031DE">
        <w:br/>
        <w:t xml:space="preserve">Finin, T., </w:t>
      </w:r>
      <w:proofErr w:type="spellStart"/>
      <w:r w:rsidRPr="00B031DE">
        <w:t>Labrou</w:t>
      </w:r>
      <w:proofErr w:type="spellEnd"/>
      <w:r w:rsidRPr="00B031DE">
        <w:t>, Y. and Mayfield, J. (1994) ‘KQML as an agent communication language’, </w:t>
      </w:r>
      <w:r w:rsidRPr="00B031DE">
        <w:rPr>
          <w:i/>
          <w:iCs/>
        </w:rPr>
        <w:t>Proceedings of the 3rd International Conference on Information and Knowledge Management</w:t>
      </w:r>
      <w:r w:rsidRPr="00B031DE">
        <w:t>, pp. 456–463.</w:t>
      </w:r>
      <w:r w:rsidRPr="00B031DE">
        <w:br/>
      </w:r>
      <w:proofErr w:type="spellStart"/>
      <w:r w:rsidRPr="00B031DE">
        <w:t>Warstadt</w:t>
      </w:r>
      <w:proofErr w:type="spellEnd"/>
      <w:r w:rsidRPr="00B031DE">
        <w:t>, A. and Bowman, S. R. (2022) ‘What artificial neural networks can tell us about human language acquisition’, in </w:t>
      </w:r>
      <w:r w:rsidRPr="00B031DE">
        <w:rPr>
          <w:i/>
          <w:iCs/>
        </w:rPr>
        <w:t>Algebraic Structures in Natural Language</w:t>
      </w:r>
      <w:r w:rsidRPr="00B031DE">
        <w:t>. CRC Press, pp. 17–60.</w:t>
      </w:r>
      <w:r w:rsidRPr="00B031DE">
        <w:br/>
        <w:t>Wooldridge, M. (2009) </w:t>
      </w:r>
      <w:r w:rsidRPr="00B031DE">
        <w:rPr>
          <w:i/>
          <w:iCs/>
        </w:rPr>
        <w:t xml:space="preserve">An Introduction to </w:t>
      </w:r>
      <w:proofErr w:type="spellStart"/>
      <w:r w:rsidRPr="00B031DE">
        <w:rPr>
          <w:i/>
          <w:iCs/>
        </w:rPr>
        <w:t>MultiAgent</w:t>
      </w:r>
      <w:proofErr w:type="spellEnd"/>
      <w:r w:rsidRPr="00B031DE">
        <w:rPr>
          <w:i/>
          <w:iCs/>
        </w:rPr>
        <w:t xml:space="preserve"> Systems.</w:t>
      </w:r>
      <w:r w:rsidRPr="00B031DE">
        <w:t xml:space="preserve"> 2nd </w:t>
      </w:r>
      <w:proofErr w:type="spellStart"/>
      <w:proofErr w:type="gramStart"/>
      <w:r w:rsidRPr="00B031DE">
        <w:t>edn</w:t>
      </w:r>
      <w:proofErr w:type="spellEnd"/>
      <w:proofErr w:type="gramEnd"/>
      <w:r w:rsidRPr="00B031DE">
        <w:t>. Chichester: John Wiley &amp; Sons.</w:t>
      </w:r>
      <w:r w:rsidRPr="00B031DE">
        <w:br/>
        <w:t>Zhang, Z. et al. (</w:t>
      </w:r>
      <w:proofErr w:type="gramStart"/>
      <w:r w:rsidRPr="00B031DE">
        <w:t>2024) ‘</w:t>
      </w:r>
      <w:proofErr w:type="gramEnd"/>
      <w:r w:rsidRPr="00B031DE">
        <w:t>A survey on the memory mechanism of large language model-based agents’, </w:t>
      </w:r>
      <w:r w:rsidRPr="00B031DE">
        <w:rPr>
          <w:i/>
          <w:iCs/>
        </w:rPr>
        <w:t>ACM Transactions on Information Systems</w:t>
      </w:r>
      <w:r w:rsidRPr="00B031DE">
        <w:t>. Available at: https://doi.org/10.1145/3748302.</w:t>
      </w:r>
    </w:p>
    <w:p w14:paraId="45D40DC3" w14:textId="77777777" w:rsidR="00AE1719" w:rsidRDefault="00AE1719"/>
    <w:sectPr w:rsidR="00A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DE"/>
    <w:rsid w:val="009A0D7F"/>
    <w:rsid w:val="00AE1719"/>
    <w:rsid w:val="00B031DE"/>
    <w:rsid w:val="00BB3196"/>
    <w:rsid w:val="00F7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5501"/>
  <w15:chartTrackingRefBased/>
  <w15:docId w15:val="{BAD12B2F-326D-4D46-A4F1-896CA8B3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ALzaabi</dc:creator>
  <cp:keywords/>
  <dc:description/>
  <cp:lastModifiedBy>Majed ALzaabi</cp:lastModifiedBy>
  <cp:revision>1</cp:revision>
  <dcterms:created xsi:type="dcterms:W3CDTF">2025-10-19T12:20:00Z</dcterms:created>
  <dcterms:modified xsi:type="dcterms:W3CDTF">2025-10-19T12:20:00Z</dcterms:modified>
</cp:coreProperties>
</file>