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408000" cy="1012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02853-2-hea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012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4E3F8C"/>
          <w:sz w:val="48"/>
          <w:szCs w:val="48"/>
        </w:rPr>
        <w:t>توصيف المقرر الدراسي</w:t>
      </w:r>
    </w:p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52B4C0"/>
          <w:sz w:val="44"/>
          <w:szCs w:val="44"/>
        </w:rPr>
        <w:t>دراسات في علوم القرآن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381"/>
        <w:gridCol w:w="7710"/>
      </w:tblGrid>
      <w:tr>
        <w:trPr>
          <w:tblHeader/>
        </w:trPr>
        <w:tc>
          <w:tcPr>
            <w:tcW w:type="dxa" w:w="2381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الحقل</w:t>
            </w:r>
          </w:p>
        </w:tc>
        <w:tc>
          <w:tcPr>
            <w:tcW w:type="dxa" w:w="7710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البيان</w:t>
            </w:r>
          </w:p>
        </w:tc>
      </w:tr>
      <w:tr>
        <w:trPr>
          <w:cantSplit/>
        </w:trPr>
        <w:tc>
          <w:tcPr>
            <w:tcW w:type="dxa" w:w="238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رمز المقرر</w:t>
            </w:r>
          </w:p>
        </w:tc>
        <w:tc>
          <w:tcPr>
            <w:tcW w:type="dxa" w:w="7710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2002853-2</w:t>
            </w:r>
          </w:p>
        </w:tc>
      </w:tr>
      <w:tr>
        <w:trPr>
          <w:cantSplit/>
        </w:trPr>
        <w:tc>
          <w:tcPr>
            <w:tcW w:type="dxa" w:w="238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البرنامج</w:t>
            </w:r>
          </w:p>
        </w:tc>
        <w:tc>
          <w:tcPr>
            <w:tcW w:type="dxa" w:w="7710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ماجستير الدراسات القرآنية المعاصرة</w:t>
            </w:r>
          </w:p>
        </w:tc>
      </w:tr>
      <w:tr>
        <w:trPr>
          <w:cantSplit/>
        </w:trPr>
        <w:tc>
          <w:tcPr>
            <w:tcW w:type="dxa" w:w="238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الساعات المعتمدة</w:t>
            </w:r>
          </w:p>
        </w:tc>
        <w:tc>
          <w:tcPr>
            <w:tcW w:type="dxa" w:w="7710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</w:t>
            </w:r>
          </w:p>
        </w:tc>
      </w:tr>
      <w:tr>
        <w:trPr>
          <w:cantSplit/>
        </w:trPr>
        <w:tc>
          <w:tcPr>
            <w:tcW w:type="dxa" w:w="238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المستوى</w:t>
            </w:r>
          </w:p>
        </w:tc>
        <w:tc>
          <w:tcPr>
            <w:tcW w:type="dxa" w:w="7710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</w:t>
            </w:r>
          </w:p>
        </w:tc>
      </w:tr>
      <w:tr>
        <w:trPr>
          <w:cantSplit/>
        </w:trPr>
        <w:tc>
          <w:tcPr>
            <w:tcW w:type="dxa" w:w="238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المراجعة</w:t>
            </w:r>
          </w:p>
        </w:tc>
        <w:tc>
          <w:tcPr>
            <w:tcW w:type="dxa" w:w="7710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15 أكتوبر 2026 — الربط الأحادي داخل المجال</w:t>
            </w:r>
          </w:p>
        </w:tc>
      </w:tr>
    </w:tbl>
    <w:p>
      <w:pPr>
        <w:keepNext w:val="0"/>
        <w:bidi/>
        <w:spacing w:after="100"/>
        <w:jc w:val="right"/>
      </w:pPr>
      <w:r>
        <w:rPr>
          <w:rFonts w:ascii="Sakkal Majalla" w:hAnsi="Sakkal Majalla" w:cs="Sakkal Majalla"/>
          <w:b w:val="0"/>
          <w:sz w:val="28"/>
          <w:szCs w:val="28"/>
        </w:rPr>
        <w:t>تستبدل هذه المراجعة جدول نواتج تعلم المقرر وربطه السابق. يرتبط كل مخرج بناتج برنامج واحد ضمن مجاله: 1 معرفي، 2 مهاري، 3 قيمي. تبقى موضوعات المقرر ومصادره وساعاته وأوزان أنشطة التقويم وفق المصدر المحفوظ.</w:t>
      </w:r>
    </w:p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4E3F8C"/>
          <w:sz w:val="34"/>
          <w:szCs w:val="34"/>
        </w:rPr>
        <w:t>اعتماد التوصيف المحدّث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4989"/>
        <w:gridCol w:w="2551"/>
        <w:gridCol w:w="2551"/>
      </w:tblGrid>
      <w:tr>
        <w:trPr>
          <w:tblHeader/>
        </w:trPr>
        <w:tc>
          <w:tcPr>
            <w:tcW w:type="dxa" w:w="4989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جهة الاعتماد</w:t>
            </w:r>
          </w:p>
        </w:tc>
        <w:tc>
          <w:tcPr>
            <w:tcW w:type="dxa" w:w="2551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رقم الجلسة</w:t>
            </w:r>
          </w:p>
        </w:tc>
        <w:tc>
          <w:tcPr>
            <w:tcW w:type="dxa" w:w="2551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تاريخ الجلسة</w:t>
            </w:r>
          </w:p>
        </w:tc>
      </w:tr>
      <w:tr>
        <w:trPr>
          <w:cantSplit/>
        </w:trPr>
        <w:tc>
          <w:tcPr>
            <w:tcW w:type="dxa" w:w="4989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مجلس قسم القراءات</w:t>
            </w:r>
          </w:p>
        </w:tc>
        <w:tc>
          <w:tcPr>
            <w:tcW w:type="dxa" w:w="255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</w:r>
          </w:p>
        </w:tc>
        <w:tc>
          <w:tcPr>
            <w:tcW w:type="dxa" w:w="255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</w:r>
          </w:p>
        </w:tc>
      </w:tr>
    </w:tbl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53-2-body-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53-2-body-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408000" cy="10127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02853-2-hea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012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4E3F8C"/>
          <w:sz w:val="36"/>
          <w:szCs w:val="36"/>
        </w:rPr>
        <w:t>نواتج تعلم المقرر واستراتيجيات تدريسها وطرق تقويمها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794"/>
        <w:gridCol w:w="4025"/>
        <w:gridCol w:w="737"/>
        <w:gridCol w:w="1871"/>
        <w:gridCol w:w="2665"/>
      </w:tblGrid>
      <w:tr>
        <w:trPr>
          <w:tblHeader/>
        </w:trPr>
        <w:tc>
          <w:tcPr>
            <w:tcW w:type="dxa" w:w="794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الرمز</w:t>
            </w:r>
          </w:p>
        </w:tc>
        <w:tc>
          <w:tcPr>
            <w:tcW w:type="dxa" w:w="4025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ناتج تعلم المقرر</w:t>
            </w:r>
          </w:p>
        </w:tc>
        <w:tc>
          <w:tcPr>
            <w:tcW w:type="dxa" w:w="737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PLO</w:t>
            </w:r>
          </w:p>
        </w:tc>
        <w:tc>
          <w:tcPr>
            <w:tcW w:type="dxa" w:w="1871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التدريس</w:t>
            </w:r>
          </w:p>
        </w:tc>
        <w:tc>
          <w:tcPr>
            <w:tcW w:type="dxa" w:w="2665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التقويم</w:t>
            </w:r>
          </w:p>
        </w:tc>
      </w:tr>
      <w:tr>
        <w:trPr>
          <w:cantSplit/>
        </w:trPr>
        <w:tc>
          <w:tcPr>
            <w:tcW w:type="dxa" w:w="79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1.1</w:t>
            </w:r>
          </w:p>
        </w:tc>
        <w:tc>
          <w:tcPr>
            <w:tcW w:type="dxa" w:w="402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يشرح الطالب مفهوم علوم القرآن ونشأتها وتطورها وأبرز مباحثها ومؤلفاتها.</w:t>
            </w:r>
          </w:p>
        </w:tc>
        <w:tc>
          <w:tcPr>
            <w:tcW w:type="dxa" w:w="737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ع2</w:t>
            </w:r>
          </w:p>
        </w:tc>
        <w:tc>
          <w:tcPr>
            <w:tcW w:type="dxa" w:w="187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المحاضرة والمناقشة</w:t>
            </w:r>
          </w:p>
        </w:tc>
        <w:tc>
          <w:tcPr>
            <w:tcW w:type="dxa" w:w="266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الاختبارات التحريرية</w:t>
            </w:r>
          </w:p>
        </w:tc>
      </w:tr>
      <w:tr>
        <w:trPr>
          <w:cantSplit/>
        </w:trPr>
        <w:tc>
          <w:tcPr>
            <w:tcW w:type="dxa" w:w="79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1.2</w:t>
            </w:r>
          </w:p>
        </w:tc>
        <w:tc>
          <w:tcPr>
            <w:tcW w:type="dxa" w:w="402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يبيّن الطالب التكامل بين علوم القرآن والعلوم الشرعية واللغوية في معالجة القضايا العلمية.</w:t>
            </w:r>
          </w:p>
        </w:tc>
        <w:tc>
          <w:tcPr>
            <w:tcW w:type="dxa" w:w="737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ع2</w:t>
            </w:r>
          </w:p>
        </w:tc>
        <w:tc>
          <w:tcPr>
            <w:tcW w:type="dxa" w:w="187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المحاضرة والمناقشة</w:t>
            </w:r>
          </w:p>
        </w:tc>
        <w:tc>
          <w:tcPr>
            <w:tcW w:type="dxa" w:w="266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الاختبارات التحريرية</w:t>
            </w:r>
          </w:p>
        </w:tc>
      </w:tr>
      <w:tr>
        <w:trPr>
          <w:cantSplit/>
        </w:trPr>
        <w:tc>
          <w:tcPr>
            <w:tcW w:type="dxa" w:w="79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1.3</w:t>
            </w:r>
          </w:p>
        </w:tc>
        <w:tc>
          <w:tcPr>
            <w:tcW w:type="dxa" w:w="402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يشرح الطالب مواقف العلماء من المناسبات والأحرف السبعة وغيرها من قضايا علوم القرآن وأدلتهم.</w:t>
            </w:r>
          </w:p>
        </w:tc>
        <w:tc>
          <w:tcPr>
            <w:tcW w:type="dxa" w:w="737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ع2</w:t>
            </w:r>
          </w:p>
        </w:tc>
        <w:tc>
          <w:tcPr>
            <w:tcW w:type="dxa" w:w="187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المحاضرة والمناقشة</w:t>
            </w:r>
          </w:p>
        </w:tc>
        <w:tc>
          <w:tcPr>
            <w:tcW w:type="dxa" w:w="266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الاختبارات التحريرية</w:t>
            </w:r>
          </w:p>
        </w:tc>
      </w:tr>
      <w:tr>
        <w:trPr>
          <w:cantSplit/>
        </w:trPr>
        <w:tc>
          <w:tcPr>
            <w:tcW w:type="dxa" w:w="79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2.1</w:t>
            </w:r>
          </w:p>
        </w:tc>
        <w:tc>
          <w:tcPr>
            <w:tcW w:type="dxa" w:w="402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يوظف الطالب التحليل والنقد في موازنة معالجات قضية من علوم القرآن في مصادر ومدارس مختلفة.</w:t>
            </w:r>
          </w:p>
        </w:tc>
        <w:tc>
          <w:tcPr>
            <w:tcW w:type="dxa" w:w="737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م1</w:t>
            </w:r>
          </w:p>
        </w:tc>
        <w:tc>
          <w:tcPr>
            <w:tcW w:type="dxa" w:w="187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التطبيقات والبحث والعروض</w:t>
            </w:r>
          </w:p>
        </w:tc>
        <w:tc>
          <w:tcPr>
            <w:tcW w:type="dxa" w:w="266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التقارير والعروض والمهام التطبيقية</w:t>
            </w:r>
          </w:p>
        </w:tc>
      </w:tr>
      <w:tr>
        <w:trPr>
          <w:cantSplit/>
        </w:trPr>
        <w:tc>
          <w:tcPr>
            <w:tcW w:type="dxa" w:w="79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2.2</w:t>
            </w:r>
          </w:p>
        </w:tc>
        <w:tc>
          <w:tcPr>
            <w:tcW w:type="dxa" w:w="402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يعد الطالب دراسة بحثية موثقة في إحدى قضايا علوم القرآن وتقويم جهود العلماء في معالجتها.</w:t>
            </w:r>
          </w:p>
        </w:tc>
        <w:tc>
          <w:tcPr>
            <w:tcW w:type="dxa" w:w="737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م2</w:t>
            </w:r>
          </w:p>
        </w:tc>
        <w:tc>
          <w:tcPr>
            <w:tcW w:type="dxa" w:w="187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التطبيقات والبحث والعروض</w:t>
            </w:r>
          </w:p>
        </w:tc>
        <w:tc>
          <w:tcPr>
            <w:tcW w:type="dxa" w:w="266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التقارير والعروض والمهام التطبيقية</w:t>
            </w:r>
          </w:p>
        </w:tc>
      </w:tr>
      <w:tr>
        <w:trPr>
          <w:cantSplit/>
        </w:trPr>
        <w:tc>
          <w:tcPr>
            <w:tcW w:type="dxa" w:w="79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3.1</w:t>
            </w:r>
          </w:p>
        </w:tc>
        <w:tc>
          <w:tcPr>
            <w:tcW w:type="dxa" w:w="402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يلتزم الطالب بأدب الخلاف والأمانة العلمية في عرض أقوال العلماء وتحرير محل النزاع في قضايا علوم القرآن.</w:t>
            </w:r>
          </w:p>
        </w:tc>
        <w:tc>
          <w:tcPr>
            <w:tcW w:type="dxa" w:w="737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ق1</w:t>
            </w:r>
          </w:p>
        </w:tc>
        <w:tc>
          <w:tcPr>
            <w:tcW w:type="dxa" w:w="187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المشروعات والمناقشة والتقويم الذاتي وتقويم الزملاء</w:t>
            </w:r>
          </w:p>
        </w:tc>
        <w:tc>
          <w:tcPr>
            <w:tcW w:type="dxa" w:w="266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سلم تقدير السلوك البحثي وملف المتابعة والمناقشات</w:t>
            </w:r>
          </w:p>
        </w:tc>
      </w:tr>
      <w:tr>
        <w:trPr>
          <w:cantSplit/>
        </w:trPr>
        <w:tc>
          <w:tcPr>
            <w:tcW w:type="dxa" w:w="79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3.2</w:t>
            </w:r>
          </w:p>
        </w:tc>
        <w:tc>
          <w:tcPr>
            <w:tcW w:type="dxa" w:w="402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يتحمل الطالب مسؤولية إعداد مناقشة علمية لقضية من علوم القرآن، ويستجيب للنقد ويتعاون مع زملائه في تطويرها.</w:t>
            </w:r>
          </w:p>
        </w:tc>
        <w:tc>
          <w:tcPr>
            <w:tcW w:type="dxa" w:w="737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ق2</w:t>
            </w:r>
          </w:p>
        </w:tc>
        <w:tc>
          <w:tcPr>
            <w:tcW w:type="dxa" w:w="187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المشروعات والمناقشة والتقويم الذاتي وتقويم الزملاء</w:t>
            </w:r>
          </w:p>
        </w:tc>
        <w:tc>
          <w:tcPr>
            <w:tcW w:type="dxa" w:w="266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سلم تقدير السلوك البحثي وملف المتابعة والمناقشات</w:t>
            </w:r>
          </w:p>
        </w:tc>
      </w:tr>
    </w:tbl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4E3F8C"/>
          <w:sz w:val="34"/>
          <w:szCs w:val="34"/>
        </w:rPr>
        <w:t>أوزان أنشطة تقويم المقرر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7824"/>
        <w:gridCol w:w="2268"/>
      </w:tblGrid>
      <w:tr>
        <w:trPr>
          <w:tblHeader/>
        </w:trPr>
        <w:tc>
          <w:tcPr>
            <w:tcW w:type="dxa" w:w="7824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نشاط التقويم</w:t>
            </w:r>
          </w:p>
        </w:tc>
        <w:tc>
          <w:tcPr>
            <w:tcW w:type="dxa" w:w="2268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النسبة من الدرجة</w:t>
            </w:r>
          </w:p>
        </w:tc>
      </w:tr>
      <w:tr>
        <w:trPr>
          <w:cantSplit/>
        </w:trPr>
        <w:tc>
          <w:tcPr>
            <w:tcW w:type="dxa" w:w="782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المناقشات</w:t>
            </w:r>
          </w:p>
        </w:tc>
        <w:tc>
          <w:tcPr>
            <w:tcW w:type="dxa" w:w="2268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5%</w:t>
            </w:r>
          </w:p>
        </w:tc>
      </w:tr>
      <w:tr>
        <w:trPr>
          <w:cantSplit/>
        </w:trPr>
        <w:tc>
          <w:tcPr>
            <w:tcW w:type="dxa" w:w="782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اختبار قصير</w:t>
            </w:r>
          </w:p>
        </w:tc>
        <w:tc>
          <w:tcPr>
            <w:tcW w:type="dxa" w:w="2268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5%</w:t>
            </w:r>
          </w:p>
        </w:tc>
      </w:tr>
      <w:tr>
        <w:trPr>
          <w:cantSplit/>
        </w:trPr>
        <w:tc>
          <w:tcPr>
            <w:tcW w:type="dxa" w:w="782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 النصفي التحريري</w:t>
            </w:r>
          </w:p>
        </w:tc>
        <w:tc>
          <w:tcPr>
            <w:tcW w:type="dxa" w:w="2268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30%</w:t>
            </w:r>
          </w:p>
        </w:tc>
      </w:tr>
      <w:tr>
        <w:trPr>
          <w:cantSplit/>
        </w:trPr>
        <w:tc>
          <w:tcPr>
            <w:tcW w:type="dxa" w:w="782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التقارير</w:t>
            </w:r>
          </w:p>
        </w:tc>
        <w:tc>
          <w:tcPr>
            <w:tcW w:type="dxa" w:w="2268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5%</w:t>
            </w:r>
          </w:p>
        </w:tc>
      </w:tr>
      <w:tr>
        <w:trPr>
          <w:cantSplit/>
        </w:trPr>
        <w:tc>
          <w:tcPr>
            <w:tcW w:type="dxa" w:w="782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العروض</w:t>
            </w:r>
          </w:p>
        </w:tc>
        <w:tc>
          <w:tcPr>
            <w:tcW w:type="dxa" w:w="2268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5%</w:t>
            </w:r>
          </w:p>
        </w:tc>
      </w:tr>
      <w:tr>
        <w:trPr>
          <w:cantSplit/>
        </w:trPr>
        <w:tc>
          <w:tcPr>
            <w:tcW w:type="dxa" w:w="782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 النهائي التحريري</w:t>
            </w:r>
          </w:p>
        </w:tc>
        <w:tc>
          <w:tcPr>
            <w:tcW w:type="dxa" w:w="2268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50%</w:t>
            </w:r>
          </w:p>
        </w:tc>
      </w:tr>
    </w:tbl>
    <w:p>
      <w:pPr>
        <w:keepNext w:val="0"/>
        <w:bidi/>
        <w:spacing w:after="100"/>
        <w:jc w:val="right"/>
      </w:pPr>
      <w:r>
        <w:rPr>
          <w:rFonts w:ascii="Sakkal Majalla" w:hAnsi="Sakkal Majalla" w:cs="Sakkal Majalla"/>
          <w:b w:val="0"/>
          <w:sz w:val="28"/>
          <w:szCs w:val="28"/>
        </w:rPr>
        <w:t>تسجل درجة مستقلة لكل مخرج وفق مؤشرات أدائه. سلالم التقدير تفصل أداء المهارة عن القيم، وتستخدم ضمن أنشطة التقويم القائمة دون زيادة مجموع أوزان المقرر عن100%.</w:t>
      </w:r>
    </w:p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5" name="Picture 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53-2-body-6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6" name="Picture 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53-2-body-7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7" name="Picture 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53-2-body-8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footerReference w:type="default" r:id="rId9"/>
      <w:pgSz w:w="11906" w:h="16838"/>
      <w:pgMar w:top="850" w:right="907" w:bottom="850" w:left="907" w:header="72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