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8000" cy="10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4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48"/>
          <w:szCs w:val="48"/>
        </w:rPr>
        <w:t>توصيف المقرر الدراسي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52B4C0"/>
          <w:sz w:val="44"/>
          <w:szCs w:val="44"/>
        </w:rPr>
        <w:t>دراسات في لغة القرآن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2381"/>
        <w:gridCol w:w="7710"/>
      </w:tblGrid>
      <w:tr>
        <w:trPr>
          <w:tblHeader/>
        </w:trPr>
        <w:tc>
          <w:tcPr>
            <w:tcW w:type="dxa" w:w="238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الحقل</w:t>
            </w:r>
          </w:p>
        </w:tc>
        <w:tc>
          <w:tcPr>
            <w:tcW w:type="dxa" w:w="7710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البيان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رمز المقرر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2002874-2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البرنامج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ماجستير الدراسات القرآنية المعاصرة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الساعات المعتمدة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238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المستوى</w:t>
            </w:r>
          </w:p>
        </w:tc>
        <w:tc>
          <w:tcPr>
            <w:tcW w:type="dxa" w:w="7710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</w:t>
            </w:r>
          </w:p>
        </w:tc>
      </w:tr>
      <w:tr>
        <w:trPr>
          <w:cantSplit/>
        </w:trPr>
        <w:tc>
          <w:tcPr>
            <w:tcW w:type="dxa" w:w="238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المراجعة</w:t>
            </w:r>
          </w:p>
        </w:tc>
        <w:tc>
          <w:tcPr>
            <w:tcW w:type="dxa" w:w="7710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15 أكتوبر 2026 — الربط الأحادي داخل المجال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تستبدل هذه المراجعة جدول نواتج تعلم المقرر وربطه السابق. يرتبط كل مخرج بناتج برنامج واحد ضمن مجاله: 1 معرفي، 2 مهاري، 3 قيمي. تبقى موضوعات المقرر ومصادره وساعاته وأوزان أنشطة التقويم وفق المصدر المحفوظ.</w:t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اعتماد التوصيف المحدّث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4989"/>
        <w:gridCol w:w="2551"/>
        <w:gridCol w:w="2551"/>
      </w:tblGrid>
      <w:tr>
        <w:trPr>
          <w:tblHeader/>
        </w:trPr>
        <w:tc>
          <w:tcPr>
            <w:tcW w:type="dxa" w:w="4989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جهة الاعتماد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رقم الجلسة</w:t>
            </w:r>
          </w:p>
        </w:tc>
        <w:tc>
          <w:tcPr>
            <w:tcW w:type="dxa" w:w="255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تاريخ الجلسة</w:t>
            </w:r>
          </w:p>
        </w:tc>
      </w:tr>
      <w:tr>
        <w:trPr>
          <w:cantSplit/>
        </w:trPr>
        <w:tc>
          <w:tcPr>
            <w:tcW w:type="dxa" w:w="4989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مجلس قسم القراءات</w:t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  <w:tc>
          <w:tcPr>
            <w:tcW w:type="dxa" w:w="255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</w:r>
          </w:p>
        </w:tc>
      </w:tr>
    </w:tbl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4-2-body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4-2-body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408000" cy="10127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02874-2-hea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0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6"/>
          <w:szCs w:val="36"/>
        </w:rPr>
        <w:t>نواتج تعلم المقرر واستراتيجيات تدريسها وطرق تقويمها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94"/>
        <w:gridCol w:w="4025"/>
        <w:gridCol w:w="737"/>
        <w:gridCol w:w="1871"/>
        <w:gridCol w:w="2665"/>
      </w:tblGrid>
      <w:tr>
        <w:trPr>
          <w:tblHeader/>
        </w:trPr>
        <w:tc>
          <w:tcPr>
            <w:tcW w:type="dxa" w:w="79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الرمز</w:t>
            </w:r>
          </w:p>
        </w:tc>
        <w:tc>
          <w:tcPr>
            <w:tcW w:type="dxa" w:w="402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ناتج تعلم المقرر</w:t>
            </w:r>
          </w:p>
        </w:tc>
        <w:tc>
          <w:tcPr>
            <w:tcW w:type="dxa" w:w="737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PLO</w:t>
            </w:r>
          </w:p>
        </w:tc>
        <w:tc>
          <w:tcPr>
            <w:tcW w:type="dxa" w:w="1871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التدريس</w:t>
            </w:r>
          </w:p>
        </w:tc>
        <w:tc>
          <w:tcPr>
            <w:tcW w:type="dxa" w:w="2665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التقويم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1.1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الظواهر اللغوية في القرآن الكريم المرتبطة بلهجات العرب ولا سيما اللسان القرشي، ويبين أثرها في الفهم التفسيري.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1.2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يقيم الطالب قضية المعرب والحقيقة والمجاز في القرآن الكريم في ضوء أقوال العلماء وأدلتهم.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1.3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يحلل الطالب الأساليب البلاغية في القرآن الكريم (التشبيه، الاستعارة، الكناية، الحصر، الإيجاز والإطناب، الخبر والإنشاء) ويستنتج دلالاتها.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ع2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المحاضرة والمناقشة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الاختبارات التحريرية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يوظف الطالب أدوات التحليل اللغوي والبلاغي في تفسير نماذج مختارة من الآيات، مع توثيق الشواهد من المصادر المعتمدة.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2.2</w:t>
            </w:r>
          </w:p>
        </w:tc>
        <w:tc>
          <w:tcPr>
            <w:tcW w:type="dxa" w:w="402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يعد الطالب دراسة تطبيقية موجزة في ظاهرة لغوية/بلاغية قرآنية، مع الإفادة من المصادر التراثية والرقمية في جمع المادة وتحليلها.</w:t>
            </w:r>
          </w:p>
        </w:tc>
        <w:tc>
          <w:tcPr>
            <w:tcW w:type="dxa" w:w="737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م2</w:t>
            </w:r>
          </w:p>
        </w:tc>
        <w:tc>
          <w:tcPr>
            <w:tcW w:type="dxa" w:w="1871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التطبيقات والبحث والعروض</w:t>
            </w:r>
          </w:p>
        </w:tc>
        <w:tc>
          <w:tcPr>
            <w:tcW w:type="dxa" w:w="2665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التقارير والعروض والمهام التطبيقية</w:t>
            </w:r>
          </w:p>
        </w:tc>
      </w:tr>
      <w:tr>
        <w:trPr>
          <w:cantSplit/>
        </w:trPr>
        <w:tc>
          <w:tcPr>
            <w:tcW w:type="dxa" w:w="79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3.1</w:t>
            </w:r>
          </w:p>
        </w:tc>
        <w:tc>
          <w:tcPr>
            <w:tcW w:type="dxa" w:w="402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أن يلتزم الطالب بالأمانة العلمية وأخلاقيات البحث والمعايير العلمية في التعامل مع النص القرآني وأقوال العلماء والمصادر.</w:t>
            </w:r>
          </w:p>
        </w:tc>
        <w:tc>
          <w:tcPr>
            <w:tcW w:type="dxa" w:w="737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ق1</w:t>
            </w:r>
          </w:p>
        </w:tc>
        <w:tc>
          <w:tcPr>
            <w:tcW w:type="dxa" w:w="1871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المشروعات والمناقشة والتقويم الذاتي وتقويم الزملاء</w:t>
            </w:r>
          </w:p>
        </w:tc>
        <w:tc>
          <w:tcPr>
            <w:tcW w:type="dxa" w:w="2665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سلم تقدير السلوك البحثي وملف المتابعة والمناقشات</w:t>
            </w:r>
          </w:p>
        </w:tc>
      </w:tr>
    </w:tbl>
    <w:p>
      <w:pPr>
        <w:keepNext/>
        <w:bidi/>
        <w:spacing w:after="100"/>
        <w:jc w:val="right"/>
      </w:pPr>
      <w:r>
        <w:rPr>
          <w:rFonts w:ascii="Sakkal Majalla" w:hAnsi="Sakkal Majalla" w:cs="Sakkal Majalla"/>
          <w:b/>
          <w:color w:val="4E3F8C"/>
          <w:sz w:val="34"/>
          <w:szCs w:val="34"/>
        </w:rPr>
        <w:t>أوزان أنشطة تقويم المقرر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  <w:tblBorders>
          <w:top w:val="single" w:sz="4" w:color="FFFFFF"/>
          <w:left w:val="single" w:sz="4" w:color="FFFFFF"/>
          <w:bottom w:val="single" w:sz="4" w:color="FFFFFF"/>
          <w:right w:val="single" w:sz="4" w:color="FFFFFF"/>
          <w:insideH w:val="single" w:sz="4" w:color="FFFFFF"/>
          <w:insideV w:val="single" w:sz="4" w:color="FFFFFF"/>
        </w:tblBorders>
      </w:tblPr>
      <w:tblGrid>
        <w:gridCol w:w="7824"/>
        <w:gridCol w:w="2268"/>
      </w:tblGrid>
      <w:tr>
        <w:trPr>
          <w:tblHeader/>
        </w:trPr>
        <w:tc>
          <w:tcPr>
            <w:tcW w:type="dxa" w:w="7824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نشاط التقويم</w:t>
            </w:r>
          </w:p>
        </w:tc>
        <w:tc>
          <w:tcPr>
            <w:tcW w:type="dxa" w:w="2268"/>
            <w:shd w:fill="4E3F8C"/>
          </w:tcPr>
          <w:p>
            <w:pPr>
              <w:bidi/>
              <w:spacing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</w:rPr>
              <w:t>النسبة من الدرجة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التقييم الدوري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10%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العروض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النصفي التحريري</w:t>
            </w:r>
          </w:p>
        </w:tc>
        <w:tc>
          <w:tcPr>
            <w:tcW w:type="dxa" w:w="2268"/>
            <w:shd w:fill="F1F1F1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20%</w:t>
            </w:r>
          </w:p>
        </w:tc>
      </w:tr>
      <w:tr>
        <w:trPr>
          <w:cantSplit/>
        </w:trPr>
        <w:tc>
          <w:tcPr>
            <w:tcW w:type="dxa" w:w="7824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الاختبار النهائي التحريري</w:t>
            </w:r>
          </w:p>
        </w:tc>
        <w:tc>
          <w:tcPr>
            <w:tcW w:type="dxa" w:w="2268"/>
            <w:shd w:fill="DDDDDD"/>
          </w:tcPr>
          <w:p>
            <w:pPr>
              <w:bidi/>
              <w:spacing w:after="4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28"/>
                <w:szCs w:val="28"/>
              </w:rPr>
              <w:t>50%</w:t>
            </w:r>
          </w:p>
        </w:tc>
      </w:tr>
    </w:tbl>
    <w:p>
      <w:pPr>
        <w:keepNext w:val="0"/>
        <w:bidi/>
        <w:spacing w:after="100"/>
        <w:jc w:val="right"/>
      </w:pPr>
      <w:r>
        <w:rPr>
          <w:rFonts w:ascii="Sakkal Majalla" w:hAnsi="Sakkal Majalla" w:cs="Sakkal Majalla"/>
          <w:b w:val="0"/>
          <w:sz w:val="28"/>
          <w:szCs w:val="28"/>
        </w:rPr>
        <w:t>تسجل درجة مستقلة لكل مخرج وفق مؤشرات أدائه. سلالم التقدير تفصل أداء المهارة عن القيم، وتستخدم ضمن أنشطة التقويم القائمة دون زيادة مجموع أوزان المقرر عن100%.</w:t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4-2-body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4-2-body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pPr>
        <w:spacing w:after="0" w:before="0" w:line="240" w:lineRule="auto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2002874-2-body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