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right"/>
      </w:pPr>
      <w:r>
        <w:rPr>
          <w:rFonts w:ascii="Arial" w:hAnsi="Arial" w:cs="Arial"/>
          <w:b/>
          <w:color w:val="C1934C"/>
          <w:sz w:val="20"/>
        </w:rPr>
        <w:t>قالب معتمد للعمل المنظم</w:t>
      </w:r>
    </w:p>
    <w:p>
      <w:pPr>
        <w:bidi w:val="1"/>
        <w:spacing w:before="0" w:after="100"/>
        <w:jc w:val="right"/>
      </w:pPr>
      <w:r>
        <w:rPr>
          <w:rFonts w:ascii="Arial" w:hAnsi="Arial" w:cs="Arial"/>
          <w:b/>
          <w:color w:val="0D463F"/>
          <w:sz w:val="48"/>
        </w:rPr>
        <w:t>محضر اجتماع لجنة</w:t>
      </w:r>
    </w:p>
    <w:p>
      <w:pPr>
        <w:bidi w:val="1"/>
        <w:spacing w:after="280"/>
        <w:jc w:val="right"/>
      </w:pPr>
      <w:r>
        <w:rPr>
          <w:rFonts w:ascii="Arial" w:hAnsi="Arial" w:cs="Arial"/>
          <w:b w:val="0"/>
          <w:color w:val="64766F"/>
          <w:sz w:val="22"/>
        </w:rPr>
        <w:t>توثيق منضبط للنقاش والقرار والمسؤول وموعد الإقفال.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FF0E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D463F"/>
                <w:sz w:val="19"/>
              </w:rPr>
              <w:t>طريقة الاستخدام: يُستكمل أثناء الاجتماع، ثم تُراجع مصفوفة القرارات ويُعتمد المحضر قبل رفعه إلى SharePoint.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1. بيانات الاجتماع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66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البيان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القسم / البرنامج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اسم اللجنة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رقم الاجتماع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التاريخ والوقت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المكان / رابط الاجتماع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رئيس الاجتماع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مقرر الاجتماع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2. الحضور والاعتذارات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600"/>
        <w:gridCol w:w="2850"/>
        <w:gridCol w:w="2260"/>
      </w:tblGrid>
      <w:tr>
        <w:trPr>
          <w:tblHeader w:val="true"/>
        </w:trPr>
        <w:tc>
          <w:tcPr>
            <w:tcW w:type="dxa" w:w="6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</w:t>
            </w:r>
          </w:p>
        </w:tc>
        <w:tc>
          <w:tcPr>
            <w:tcW w:type="dxa" w:w="36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الاسم</w:t>
            </w:r>
          </w:p>
        </w:tc>
        <w:tc>
          <w:tcPr>
            <w:tcW w:type="dxa" w:w="28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الصفة</w:t>
            </w:r>
          </w:p>
        </w:tc>
        <w:tc>
          <w:tcPr>
            <w:tcW w:type="dxa" w:w="22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الحالة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  <w:tr>
        <w:tc>
          <w:tcPr>
            <w:tcW w:type="dxa" w:w="6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2</w:t>
            </w:r>
          </w:p>
        </w:tc>
        <w:tc>
          <w:tcPr>
            <w:tcW w:type="dxa" w:w="3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  <w:tr>
        <w:tc>
          <w:tcPr>
            <w:tcW w:type="dxa" w:w="6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4</w:t>
            </w:r>
          </w:p>
        </w:tc>
        <w:tc>
          <w:tcPr>
            <w:tcW w:type="dxa" w:w="3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  <w:tr>
        <w:tc>
          <w:tcPr>
            <w:tcW w:type="dxa" w:w="6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6</w:t>
            </w:r>
          </w:p>
        </w:tc>
        <w:tc>
          <w:tcPr>
            <w:tcW w:type="dxa" w:w="3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8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عضو / مدعو</w:t>
            </w:r>
          </w:p>
        </w:tc>
        <w:tc>
          <w:tcPr>
            <w:tcW w:type="dxa" w:w="22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حاضر / معتذر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3. الموضوعات والقرارات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2400"/>
        <w:gridCol w:w="3110"/>
        <w:gridCol w:w="3300"/>
      </w:tblGrid>
      <w:tr>
        <w:trPr>
          <w:tblHeader w:val="true"/>
        </w:trPr>
        <w:tc>
          <w:tcPr>
            <w:tcW w:type="dxa" w:w="5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</w:t>
            </w:r>
          </w:p>
        </w:tc>
        <w:tc>
          <w:tcPr>
            <w:tcW w:type="dxa" w:w="24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الموضوع</w:t>
            </w:r>
          </w:p>
        </w:tc>
        <w:tc>
          <w:tcPr>
            <w:tcW w:type="dxa" w:w="311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ملخص المناقشة</w:t>
            </w:r>
          </w:p>
        </w:tc>
        <w:tc>
          <w:tcPr>
            <w:tcW w:type="dxa" w:w="33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القرار</w:t>
            </w:r>
          </w:p>
        </w:tc>
      </w:tr>
      <w:tr>
        <w:tc>
          <w:tcPr>
            <w:tcW w:type="dxa" w:w="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1</w:t>
            </w:r>
          </w:p>
        </w:tc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31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ملخص مركز...</w:t>
            </w:r>
          </w:p>
        </w:tc>
        <w:tc>
          <w:tcPr>
            <w:tcW w:type="dxa" w:w="33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القرار بصيغة تنفيذية...</w:t>
            </w:r>
          </w:p>
        </w:tc>
      </w:tr>
      <w:tr>
        <w:tc>
          <w:tcPr>
            <w:tcW w:type="dxa" w:w="5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2</w:t>
            </w:r>
          </w:p>
        </w:tc>
        <w:tc>
          <w:tcPr>
            <w:tcW w:type="dxa" w:w="24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31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ملخص مركز...</w:t>
            </w:r>
          </w:p>
        </w:tc>
        <w:tc>
          <w:tcPr>
            <w:tcW w:type="dxa" w:w="33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القرار بصيغة تنفيذية...</w:t>
            </w:r>
          </w:p>
        </w:tc>
      </w:tr>
      <w:tr>
        <w:tc>
          <w:tcPr>
            <w:tcW w:type="dxa" w:w="5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3</w:t>
            </w:r>
          </w:p>
        </w:tc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31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ملخص مركز...</w:t>
            </w:r>
          </w:p>
        </w:tc>
        <w:tc>
          <w:tcPr>
            <w:tcW w:type="dxa" w:w="33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القرار بصيغة تنفيذية...</w:t>
            </w:r>
          </w:p>
        </w:tc>
      </w:tr>
      <w:tr>
        <w:tc>
          <w:tcPr>
            <w:tcW w:type="dxa" w:w="5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4</w:t>
            </w:r>
          </w:p>
        </w:tc>
        <w:tc>
          <w:tcPr>
            <w:tcW w:type="dxa" w:w="24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31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ملخص مركز...</w:t>
            </w:r>
          </w:p>
        </w:tc>
        <w:tc>
          <w:tcPr>
            <w:tcW w:type="dxa" w:w="33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القرار بصيغة تنفيذية...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4. مصفوفة متابعة القرارات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600"/>
        <w:gridCol w:w="1450"/>
        <w:gridCol w:w="1350"/>
        <w:gridCol w:w="2060"/>
        <w:gridCol w:w="1400"/>
      </w:tblGrid>
      <w:tr>
        <w:trPr>
          <w:tblHeader w:val="true"/>
        </w:trPr>
        <w:tc>
          <w:tcPr>
            <w:tcW w:type="dxa" w:w="5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</w:t>
            </w:r>
          </w:p>
        </w:tc>
        <w:tc>
          <w:tcPr>
            <w:tcW w:type="dxa" w:w="26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القرار / الإجراء</w:t>
            </w:r>
          </w:p>
        </w:tc>
        <w:tc>
          <w:tcPr>
            <w:tcW w:type="dxa" w:w="14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المسؤول</w:t>
            </w:r>
          </w:p>
        </w:tc>
        <w:tc>
          <w:tcPr>
            <w:tcW w:type="dxa" w:w="13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الموعد</w:t>
            </w:r>
          </w:p>
        </w:tc>
        <w:tc>
          <w:tcPr>
            <w:tcW w:type="dxa" w:w="20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دليل الإقفال</w:t>
            </w:r>
          </w:p>
        </w:tc>
        <w:tc>
          <w:tcPr>
            <w:tcW w:type="dxa" w:w="14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الحالة</w:t>
            </w:r>
          </w:p>
        </w:tc>
      </w:tr>
      <w:tr>
        <w:tc>
          <w:tcPr>
            <w:tcW w:type="dxa" w:w="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1</w:t>
            </w:r>
          </w:p>
        </w:tc>
        <w:tc>
          <w:tcPr>
            <w:tcW w:type="dxa" w:w="2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  <w:tr>
        <w:tc>
          <w:tcPr>
            <w:tcW w:type="dxa" w:w="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2</w:t>
            </w:r>
          </w:p>
        </w:tc>
        <w:tc>
          <w:tcPr>
            <w:tcW w:type="dxa" w:w="2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  <w:tr>
        <w:tc>
          <w:tcPr>
            <w:tcW w:type="dxa" w:w="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3</w:t>
            </w:r>
          </w:p>
        </w:tc>
        <w:tc>
          <w:tcPr>
            <w:tcW w:type="dxa" w:w="2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  <w:tr>
        <w:tc>
          <w:tcPr>
            <w:tcW w:type="dxa" w:w="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4</w:t>
            </w:r>
          </w:p>
        </w:tc>
        <w:tc>
          <w:tcPr>
            <w:tcW w:type="dxa" w:w="2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  <w:tr>
        <w:tc>
          <w:tcPr>
            <w:tcW w:type="dxa" w:w="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5</w:t>
            </w:r>
          </w:p>
        </w:tc>
        <w:tc>
          <w:tcPr>
            <w:tcW w:type="dxa" w:w="2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  <w:tr>
        <w:tc>
          <w:tcPr>
            <w:tcW w:type="dxa" w:w="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6</w:t>
            </w:r>
          </w:p>
        </w:tc>
        <w:tc>
          <w:tcPr>
            <w:tcW w:type="dxa" w:w="2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4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</w:t>
            </w:r>
          </w:p>
        </w:tc>
        <w:tc>
          <w:tcPr>
            <w:tcW w:type="dxa" w:w="13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YYYY-MM-DD</w:t>
            </w:r>
          </w:p>
        </w:tc>
        <w:tc>
          <w:tcPr>
            <w:tcW w:type="dxa" w:w="20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رابط / مرفق</w:t>
            </w:r>
          </w:p>
        </w:tc>
        <w:tc>
          <w:tcPr>
            <w:tcW w:type="dxa" w:w="14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لم يبدأ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5. مسار الاعتماد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أعده</w:t>
            </w:r>
          </w:p>
        </w:tc>
        <w:tc>
          <w:tcPr>
            <w:tcW w:type="dxa" w:w="312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راجعه</w:t>
            </w:r>
          </w:p>
        </w:tc>
        <w:tc>
          <w:tcPr>
            <w:tcW w:type="dxa" w:w="312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اعتمده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 والتوقيع والتاريخ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 والتوقيع والتاريخ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 والتوقيع والتاريخ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6. فحص الجودة قبل الرفع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تحقق</w:t>
            </w:r>
          </w:p>
        </w:tc>
        <w:tc>
          <w:tcPr>
            <w:tcW w:type="dxa" w:w="846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معيار القبول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اكتمال التاريخ والحضور والاعتذارات</w:t>
            </w:r>
          </w:p>
        </w:tc>
      </w:tr>
      <w:tr>
        <w:tc>
          <w:tcPr>
            <w:tcW w:type="dxa" w:w="9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كل قرار مكتوب بصيغة واضحة وله مسؤول وموعد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إرفاق الوثائق التي نوقشت أو بني عليها القرار</w:t>
            </w:r>
          </w:p>
        </w:tc>
      </w:tr>
      <w:tr>
        <w:tc>
          <w:tcPr>
            <w:tcW w:type="dxa" w:w="9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تطابق مصفوفة القرارات مع متن المحضر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وجود الاعتماد المطلوب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righ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before="0" w:after="0" w:line="276" w:lineRule="auto"/>
            <w:jc w:val="right"/>
            <w:bidi w:val="1"/>
          </w:pPr>
          <w:r>
            <w:rPr>
              <w:rFonts w:ascii="Arial" w:hAnsi="Arial" w:cs="Arial"/>
              <w:b w:val="0"/>
              <w:color w:val="64766F"/>
              <w:sz w:val="16"/>
            </w:rPr>
            <w:t>قالب تشغيلي - الإصدار 1.0</w:t>
          </w:r>
        </w:p>
      </w:tc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cs="Arial"/>
              <w:b w:val="0"/>
              <w:color w:val="64766F"/>
              <w:sz w:val="16"/>
            </w:rPr>
            <w:t xml:space="preserve">صفحة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spacing w:after="0"/>
      <w:jc w:val="right"/>
    </w:pPr>
    <w:r>
      <w:rPr>
        <w:rFonts w:ascii="Arial" w:hAnsi="Arial" w:cs="Arial"/>
        <w:b/>
        <w:color w:val="64766F"/>
        <w:sz w:val="16"/>
      </w:rPr>
      <w:t>بوابة أعمال اللجان  |  كلية الشريعة والأنظمة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832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D4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D46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