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jc w:val="right"/>
        <w:bidi w:val="1"/>
      </w:pPr>
      <w:r>
        <w:rPr>
          <w:rFonts w:ascii="Arial" w:hAnsi="Arial" w:eastAsia="Arial" w:cs="Arial"/>
          <w:b/>
          <w:color w:val="B58A45"/>
          <w:sz w:val="22"/>
          <w:rtl w:val="1"/>
        </w:rPr>
        <w:t>بوابة أعمال اللجان</w:t>
      </w:r>
    </w:p>
    <w:p>
      <w:pPr>
        <w:pStyle w:val="Title"/>
        <w:spacing w:before="120" w:after="200"/>
        <w:jc w:val="right"/>
        <w:bidi w:val="1"/>
      </w:pPr>
      <w:r>
        <w:rPr>
          <w:rFonts w:ascii="Arial" w:hAnsi="Arial" w:eastAsia="Arial" w:cs="Arial"/>
          <w:b/>
          <w:color w:val="103E38"/>
          <w:sz w:val="50"/>
          <w:rtl w:val="1"/>
        </w:rPr>
        <w:t>قالب خطة تشغيلية للجنة</w:t>
      </w:r>
    </w:p>
    <w:p>
      <w:pPr>
        <w:spacing w:before="0" w:after="360"/>
        <w:jc w:val="right"/>
        <w:bidi w:val="1"/>
      </w:pPr>
      <w:r>
        <w:rPr>
          <w:rFonts w:ascii="Arial" w:hAnsi="Arial" w:eastAsia="Arial" w:cs="Arial"/>
          <w:b w:val="0"/>
          <w:color w:val="64756F"/>
          <w:sz w:val="24"/>
          <w:rtl w:val="1"/>
        </w:rPr>
        <w:t>خطة تربط التكليف بالهدف والمؤشر والمستهدف والموارد والمتابعة.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F6EEDC"/>
            <w:tcBorders>
              <w:top w:val="single" w:sz="8" w:color="B58A45"/>
              <w:left w:val="single" w:sz="8" w:color="B58A45"/>
              <w:bottom w:val="single" w:sz="8" w:color="B58A45"/>
              <w:right w:val="single" w:sz="8" w:color="B58A45"/>
              <w:insideH w:val="single" w:sz="8" w:color="B58A45"/>
              <w:insideV w:val="single" w:sz="8" w:color="B58A4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B58A45"/>
                <w:sz w:val="20"/>
                <w:rtl w:val="1"/>
              </w:rPr>
              <w:t xml:space="preserve">قاعدة الاستخدام: </w:t>
            </w:r>
            <w:r>
              <w:rPr>
                <w:rFonts w:ascii="Arial" w:hAnsi="Arial" w:eastAsia="Arial" w:cs="Arial"/>
                <w:b w:val="0"/>
                <w:color w:val="17312D"/>
                <w:sz w:val="19"/>
                <w:rtl w:val="1"/>
              </w:rPr>
              <w:t>هذا قالب عمل فارغ. جميع العبارات بين [معقوفين] حقول يجب استكمالها، وأي سطر موسوم «مثال توضيحي» لا يمثل بيانات فعلية.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هوية الملف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رمز القالب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operational-plan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رمز المهمة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[مثل: QRA-T003]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القسم / اللجنة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[اسم القسم] / [اسم اللجنة]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الفصل والأسبوع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[1448-F1] / [W01]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إصدار الملف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v01 · [تاريخ التحديث]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حالة الوثيقة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مسودة / تحت المراجعة / معتمدة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قاعدة التسمية الموحدة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EAF3F0"/>
            <w:tcBorders>
              <w:top w:val="single" w:sz="8" w:color="17685D"/>
              <w:left w:val="single" w:sz="8" w:color="17685D"/>
              <w:bottom w:val="single" w:sz="8" w:color="17685D"/>
              <w:right w:val="single" w:sz="8" w:color="17685D"/>
              <w:insideH w:val="single" w:sz="8" w:color="17685D"/>
              <w:insideV w:val="single" w:sz="8" w:color="17685D"/>
            </w:tcBorders>
            <w:tcMar>
              <w:top w:w="85" w:type="dxa"/>
              <w:start w:w="140" w:type="dxa"/>
              <w:bottom w:w="85" w:type="dxa"/>
              <w:end w:w="14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9"/>
                <w:rtl w:val="1"/>
              </w:rPr>
              <w:t>اسم الملف المقترح</w:t>
            </w:r>
          </w:p>
        </w:tc>
      </w:tr>
      <w:tr>
        <w:tc>
          <w:tcPr>
            <w:tcW w:type="dxa" w:w="9978"/>
            <w:shd w:fill="EAF3F0"/>
            <w:tcBorders>
              <w:top w:val="single" w:sz="8" w:color="17685D"/>
              <w:left w:val="single" w:sz="8" w:color="17685D"/>
              <w:bottom w:val="single" w:sz="8" w:color="17685D"/>
              <w:right w:val="single" w:sz="8" w:color="17685D"/>
              <w:insideH w:val="single" w:sz="8" w:color="17685D"/>
              <w:insideV w:val="single" w:sz="8" w:color="17685D"/>
            </w:tcBorders>
            <w:tcMar>
              <w:top w:w="85" w:type="dxa"/>
              <w:start w:w="140" w:type="dxa"/>
              <w:bottom w:w="85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color w:val="17312D"/>
                <w:sz w:val="18"/>
                <w:rtl w:val="1"/>
              </w:rPr>
              <w:t>1448-F1_W01_QRA_[COMMITTEE]_[TASK-ID]_[TEMPLATE]_v01.docx</w:t>
            </w:r>
          </w:p>
        </w:tc>
      </w:tr>
    </w:tbl>
    <w:p>
      <w:pPr>
        <w:spacing w:after="20"/>
      </w:pPr>
    </w:p>
    <w:p>
      <w:pPr>
        <w:spacing w:before="0" w:after="80"/>
        <w:jc w:val="right"/>
        <w:bidi w:val="1"/>
      </w:pPr>
      <w:r>
        <w:rPr>
          <w:rFonts w:ascii="Arial" w:hAnsi="Arial" w:eastAsia="Arial" w:cs="Arial"/>
          <w:b w:val="0"/>
          <w:color w:val="64756F"/>
          <w:sz w:val="19"/>
          <w:rtl w:val="1"/>
        </w:rPr>
        <w:t>يحفظ الملف في المسار التنظيمي المقترح داخل SharePoint بعد اعتماد مسؤول المنصة. لا تعد هذه الصفحة إثباتًا على الرفع أو الاعتماد.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03E38"/>
          <w:sz w:val="34"/>
          <w:rtl w:val="1"/>
        </w:rPr>
        <w:t>السياق ونطاق الخطة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مرجع تشكيل اللجنة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[قرار/تكليف]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مدة الخطة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[من] إلى [إلى]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نطاق المسؤولية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[ما يدخل وما لا يدخل]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الجهة الإشرافية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[رئيس القسم / عميد الكلية حسب الصلاحية]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أصحاب المصلحة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[جهات داخلية ذات صلة]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المصادر المرجعية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[لوائح/تقارير/نتائج سابقة]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تحليل نقطة البداية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56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البعد</w:t>
            </w:r>
          </w:p>
        </w:tc>
        <w:tc>
          <w:tcPr>
            <w:tcW w:type="dxa" w:w="232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الوضع الحالي</w:t>
            </w:r>
          </w:p>
        </w:tc>
        <w:tc>
          <w:tcPr>
            <w:tcW w:type="dxa" w:w="175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الشاهد</w:t>
            </w:r>
          </w:p>
        </w:tc>
        <w:tc>
          <w:tcPr>
            <w:tcW w:type="dxa" w:w="323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الفجوة/الفرصة</w:t>
            </w:r>
          </w:p>
        </w:tc>
        <w:tc>
          <w:tcPr>
            <w:tcW w:type="dxa" w:w="198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الأولوية</w:t>
            </w:r>
          </w:p>
        </w:tc>
      </w:tr>
      <w:tr>
        <w:tc>
          <w:tcPr>
            <w:tcW w:type="dxa" w:w="56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1</w:t>
            </w:r>
          </w:p>
        </w:tc>
        <w:tc>
          <w:tcPr>
            <w:tcW w:type="dxa" w:w="232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[وصف واقعي]</w:t>
            </w:r>
          </w:p>
        </w:tc>
        <w:tc>
          <w:tcPr>
            <w:tcW w:type="dxa" w:w="175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[مصدر]</w:t>
            </w:r>
          </w:p>
        </w:tc>
        <w:tc>
          <w:tcPr>
            <w:tcW w:type="dxa" w:w="32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[فجوة محددة]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عالية/متوسطة/منخفضة</w:t>
            </w:r>
          </w:p>
        </w:tc>
      </w:tr>
      <w:tr>
        <w:tc>
          <w:tcPr>
            <w:tcW w:type="dxa" w:w="56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2</w:t>
            </w:r>
          </w:p>
        </w:tc>
        <w:tc>
          <w:tcPr>
            <w:tcW w:type="dxa" w:w="232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[وصف واقعي]</w:t>
            </w:r>
          </w:p>
        </w:tc>
        <w:tc>
          <w:tcPr>
            <w:tcW w:type="dxa" w:w="175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[مصدر]</w:t>
            </w:r>
          </w:p>
        </w:tc>
        <w:tc>
          <w:tcPr>
            <w:tcW w:type="dxa" w:w="323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[فرصة محددة]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عالية/متوسطة/منخفضة</w:t>
            </w:r>
          </w:p>
        </w:tc>
      </w:tr>
      <w:tr>
        <w:tc>
          <w:tcPr>
            <w:tcW w:type="dxa" w:w="56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3</w:t>
            </w:r>
          </w:p>
        </w:tc>
        <w:tc>
          <w:tcPr>
            <w:tcW w:type="dxa" w:w="232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[وصف واقعي]</w:t>
            </w:r>
          </w:p>
        </w:tc>
        <w:tc>
          <w:tcPr>
            <w:tcW w:type="dxa" w:w="175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[مصدر]</w:t>
            </w:r>
          </w:p>
        </w:tc>
        <w:tc>
          <w:tcPr>
            <w:tcW w:type="dxa" w:w="32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[قيد/مخاطرة]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عالية/متوسطة/منخفضة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الأهداف ومؤشرات النجاح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45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#</w:t>
            </w:r>
          </w:p>
        </w:tc>
        <w:tc>
          <w:tcPr>
            <w:tcW w:type="dxa" w:w="260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الهدف القابل للقياس</w:t>
            </w:r>
          </w:p>
        </w:tc>
        <w:tc>
          <w:tcPr>
            <w:tcW w:type="dxa" w:w="192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المؤشر</w:t>
            </w:r>
          </w:p>
        </w:tc>
        <w:tc>
          <w:tcPr>
            <w:tcW w:type="dxa" w:w="147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خط الأساس</w:t>
            </w:r>
          </w:p>
        </w:tc>
        <w:tc>
          <w:tcPr>
            <w:tcW w:type="dxa" w:w="153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المستهدف</w:t>
            </w:r>
          </w:p>
        </w:tc>
        <w:tc>
          <w:tcPr>
            <w:tcW w:type="dxa" w:w="187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مصدر القياس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1</w:t>
            </w:r>
          </w:p>
        </w:tc>
        <w:tc>
          <w:tcPr>
            <w:tcW w:type="dxa" w:w="260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[فعل + نتيجة + نطاق]</w:t>
            </w:r>
          </w:p>
        </w:tc>
        <w:tc>
          <w:tcPr>
            <w:tcW w:type="dxa" w:w="192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[اسم/معادلة المؤشر]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[قيمة/لا يتوفر]</w:t>
            </w:r>
          </w:p>
        </w:tc>
        <w:tc>
          <w:tcPr>
            <w:tcW w:type="dxa" w:w="15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 + تاريخ]</w:t>
            </w:r>
          </w:p>
        </w:tc>
        <w:tc>
          <w:tcPr>
            <w:tcW w:type="dxa" w:w="187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[مصدر موثوق]</w:t>
            </w:r>
          </w:p>
        </w:tc>
      </w:tr>
      <w:tr>
        <w:tc>
          <w:tcPr>
            <w:tcW w:type="dxa" w:w="45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2</w:t>
            </w:r>
          </w:p>
        </w:tc>
        <w:tc>
          <w:tcPr>
            <w:tcW w:type="dxa" w:w="260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[فعل + نتيجة + نطاق]</w:t>
            </w:r>
          </w:p>
        </w:tc>
        <w:tc>
          <w:tcPr>
            <w:tcW w:type="dxa" w:w="192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[اسم/معادلة المؤشر]</w:t>
            </w:r>
          </w:p>
        </w:tc>
        <w:tc>
          <w:tcPr>
            <w:tcW w:type="dxa" w:w="147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[قيمة/لا يتوفر]</w:t>
            </w:r>
          </w:p>
        </w:tc>
        <w:tc>
          <w:tcPr>
            <w:tcW w:type="dxa" w:w="153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 + تاريخ]</w:t>
            </w:r>
          </w:p>
        </w:tc>
        <w:tc>
          <w:tcPr>
            <w:tcW w:type="dxa" w:w="187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[مصدر موثوق]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3</w:t>
            </w:r>
          </w:p>
        </w:tc>
        <w:tc>
          <w:tcPr>
            <w:tcW w:type="dxa" w:w="260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[فعل + نتيجة + نطاق]</w:t>
            </w:r>
          </w:p>
        </w:tc>
        <w:tc>
          <w:tcPr>
            <w:tcW w:type="dxa" w:w="192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[اسم/معادلة المؤشر]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[قيمة/لا يتوفر]</w:t>
            </w:r>
          </w:p>
        </w:tc>
        <w:tc>
          <w:tcPr>
            <w:tcW w:type="dxa" w:w="15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[قيمة + تاريخ]</w:t>
            </w:r>
          </w:p>
        </w:tc>
        <w:tc>
          <w:tcPr>
            <w:tcW w:type="dxa" w:w="187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[مصدر موثوق]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03E38"/>
          <w:sz w:val="34"/>
          <w:rtl w:val="1"/>
        </w:rPr>
        <w:t>الخطة التنفيذية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39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#</w:t>
            </w:r>
          </w:p>
        </w:tc>
        <w:tc>
          <w:tcPr>
            <w:tcW w:type="dxa" w:w="232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الإجراء/المخرج</w:t>
            </w:r>
          </w:p>
        </w:tc>
        <w:tc>
          <w:tcPr>
            <w:tcW w:type="dxa" w:w="147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المالك</w:t>
            </w:r>
          </w:p>
        </w:tc>
        <w:tc>
          <w:tcPr>
            <w:tcW w:type="dxa" w:w="124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البداية</w:t>
            </w:r>
          </w:p>
        </w:tc>
        <w:tc>
          <w:tcPr>
            <w:tcW w:type="dxa" w:w="124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النهاية</w:t>
            </w:r>
          </w:p>
        </w:tc>
        <w:tc>
          <w:tcPr>
            <w:tcW w:type="dxa" w:w="147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المورد</w:t>
            </w:r>
          </w:p>
        </w:tc>
        <w:tc>
          <w:tcPr>
            <w:tcW w:type="dxa" w:w="170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4"/>
                <w:rtl w:val="1"/>
              </w:rPr>
              <w:t>دليل الإنجاز</w:t>
            </w:r>
          </w:p>
        </w:tc>
      </w:tr>
      <w:tr>
        <w:tc>
          <w:tcPr>
            <w:tcW w:type="dxa" w:w="39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1</w:t>
            </w:r>
          </w:p>
        </w:tc>
        <w:tc>
          <w:tcPr>
            <w:tcW w:type="dxa" w:w="232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[إجراء محدد]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[الدور]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[مورد]</w:t>
            </w:r>
          </w:p>
        </w:tc>
        <w:tc>
          <w:tcPr>
            <w:tcW w:type="dxa" w:w="170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[دليل متوقع]</w:t>
            </w:r>
          </w:p>
        </w:tc>
      </w:tr>
      <w:tr>
        <w:tc>
          <w:tcPr>
            <w:tcW w:type="dxa" w:w="39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2</w:t>
            </w:r>
          </w:p>
        </w:tc>
        <w:tc>
          <w:tcPr>
            <w:tcW w:type="dxa" w:w="232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[إجراء محدد]</w:t>
            </w:r>
          </w:p>
        </w:tc>
        <w:tc>
          <w:tcPr>
            <w:tcW w:type="dxa" w:w="147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[الدور]</w:t>
            </w:r>
          </w:p>
        </w:tc>
        <w:tc>
          <w:tcPr>
            <w:tcW w:type="dxa" w:w="124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24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47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[مورد]</w:t>
            </w:r>
          </w:p>
        </w:tc>
        <w:tc>
          <w:tcPr>
            <w:tcW w:type="dxa" w:w="170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[دليل متوقع]</w:t>
            </w:r>
          </w:p>
        </w:tc>
      </w:tr>
      <w:tr>
        <w:tc>
          <w:tcPr>
            <w:tcW w:type="dxa" w:w="39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3</w:t>
            </w:r>
          </w:p>
        </w:tc>
        <w:tc>
          <w:tcPr>
            <w:tcW w:type="dxa" w:w="232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[إجراء محدد]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[الدور]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[مورد]</w:t>
            </w:r>
          </w:p>
        </w:tc>
        <w:tc>
          <w:tcPr>
            <w:tcW w:type="dxa" w:w="170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[دليل متوقع]</w:t>
            </w:r>
          </w:p>
        </w:tc>
      </w:tr>
      <w:tr>
        <w:tc>
          <w:tcPr>
            <w:tcW w:type="dxa" w:w="39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4</w:t>
            </w:r>
          </w:p>
        </w:tc>
        <w:tc>
          <w:tcPr>
            <w:tcW w:type="dxa" w:w="232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[إجراء محدد]</w:t>
            </w:r>
          </w:p>
        </w:tc>
        <w:tc>
          <w:tcPr>
            <w:tcW w:type="dxa" w:w="147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[الدور]</w:t>
            </w:r>
          </w:p>
        </w:tc>
        <w:tc>
          <w:tcPr>
            <w:tcW w:type="dxa" w:w="124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24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47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[مورد]</w:t>
            </w:r>
          </w:p>
        </w:tc>
        <w:tc>
          <w:tcPr>
            <w:tcW w:type="dxa" w:w="170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[دليل متوقع]</w:t>
            </w:r>
          </w:p>
        </w:tc>
      </w:tr>
      <w:tr>
        <w:tc>
          <w:tcPr>
            <w:tcW w:type="dxa" w:w="39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5</w:t>
            </w:r>
          </w:p>
        </w:tc>
        <w:tc>
          <w:tcPr>
            <w:tcW w:type="dxa" w:w="232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[إجراء محدد]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[الدور]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24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[مورد]</w:t>
            </w:r>
          </w:p>
        </w:tc>
        <w:tc>
          <w:tcPr>
            <w:tcW w:type="dxa" w:w="170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[دليل متوقع]</w:t>
            </w:r>
          </w:p>
        </w:tc>
      </w:tr>
      <w:tr>
        <w:tc>
          <w:tcPr>
            <w:tcW w:type="dxa" w:w="39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6</w:t>
            </w:r>
          </w:p>
        </w:tc>
        <w:tc>
          <w:tcPr>
            <w:tcW w:type="dxa" w:w="232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[إجراء محدد]</w:t>
            </w:r>
          </w:p>
        </w:tc>
        <w:tc>
          <w:tcPr>
            <w:tcW w:type="dxa" w:w="147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[الدور]</w:t>
            </w:r>
          </w:p>
        </w:tc>
        <w:tc>
          <w:tcPr>
            <w:tcW w:type="dxa" w:w="124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24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[تاريخ]</w:t>
            </w:r>
          </w:p>
        </w:tc>
        <w:tc>
          <w:tcPr>
            <w:tcW w:type="dxa" w:w="147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[مورد]</w:t>
            </w:r>
          </w:p>
        </w:tc>
        <w:tc>
          <w:tcPr>
            <w:tcW w:type="dxa" w:w="170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4"/>
                <w:rtl w:val="1"/>
              </w:rPr>
              <w:t>[دليل متوقع]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إدارة المخاطر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243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الخطر</w:t>
            </w:r>
          </w:p>
        </w:tc>
        <w:tc>
          <w:tcPr>
            <w:tcW w:type="dxa" w:w="119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الاحتمال</w:t>
            </w:r>
          </w:p>
        </w:tc>
        <w:tc>
          <w:tcPr>
            <w:tcW w:type="dxa" w:w="113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الأثر</w:t>
            </w:r>
          </w:p>
        </w:tc>
        <w:tc>
          <w:tcPr>
            <w:tcW w:type="dxa" w:w="209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الاستجابة</w:t>
            </w:r>
          </w:p>
        </w:tc>
        <w:tc>
          <w:tcPr>
            <w:tcW w:type="dxa" w:w="141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المالك</w:t>
            </w:r>
          </w:p>
        </w:tc>
        <w:tc>
          <w:tcPr>
            <w:tcW w:type="dxa" w:w="158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إشارة الإنذار</w:t>
            </w:r>
          </w:p>
        </w:tc>
      </w:tr>
      <w:tr>
        <w:tc>
          <w:tcPr>
            <w:tcW w:type="dxa" w:w="243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[خطر محدد]</w:t>
            </w:r>
          </w:p>
        </w:tc>
        <w:tc>
          <w:tcPr>
            <w:tcW w:type="dxa" w:w="119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1–5</w:t>
            </w:r>
          </w:p>
        </w:tc>
        <w:tc>
          <w:tcPr>
            <w:tcW w:type="dxa" w:w="113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1–5</w:t>
            </w:r>
          </w:p>
        </w:tc>
        <w:tc>
          <w:tcPr>
            <w:tcW w:type="dxa" w:w="209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تجنب/خفض/نقل/قبول</w:t>
            </w:r>
          </w:p>
        </w:tc>
        <w:tc>
          <w:tcPr>
            <w:tcW w:type="dxa" w:w="141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8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[شرط]</w:t>
            </w:r>
          </w:p>
        </w:tc>
      </w:tr>
      <w:tr>
        <w:tc>
          <w:tcPr>
            <w:tcW w:type="dxa" w:w="243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[خطر محدد]</w:t>
            </w:r>
          </w:p>
        </w:tc>
        <w:tc>
          <w:tcPr>
            <w:tcW w:type="dxa" w:w="119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1–5</w:t>
            </w:r>
          </w:p>
        </w:tc>
        <w:tc>
          <w:tcPr>
            <w:tcW w:type="dxa" w:w="113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1–5</w:t>
            </w:r>
          </w:p>
        </w:tc>
        <w:tc>
          <w:tcPr>
            <w:tcW w:type="dxa" w:w="209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تجنب/خفض/نقل/قبول</w:t>
            </w:r>
          </w:p>
        </w:tc>
        <w:tc>
          <w:tcPr>
            <w:tcW w:type="dxa" w:w="141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8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[شرط]</w:t>
            </w:r>
          </w:p>
        </w:tc>
      </w:tr>
      <w:tr>
        <w:tc>
          <w:tcPr>
            <w:tcW w:type="dxa" w:w="243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[خطر محدد]</w:t>
            </w:r>
          </w:p>
        </w:tc>
        <w:tc>
          <w:tcPr>
            <w:tcW w:type="dxa" w:w="119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1–5</w:t>
            </w:r>
          </w:p>
        </w:tc>
        <w:tc>
          <w:tcPr>
            <w:tcW w:type="dxa" w:w="113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1–5</w:t>
            </w:r>
          </w:p>
        </w:tc>
        <w:tc>
          <w:tcPr>
            <w:tcW w:type="dxa" w:w="209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تجنب/خفض/نقل/قبول</w:t>
            </w:r>
          </w:p>
        </w:tc>
        <w:tc>
          <w:tcPr>
            <w:tcW w:type="dxa" w:w="141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8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[شرط]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دورية المتابعة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اجتماع المتابعة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[أسبوعي/شهري]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مالك تحديث المؤشرات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[الدور]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EAF3F0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قناة التصعيد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رئيس اللجنة ← رئيس القسم ← عميد الكلية حسب الصلاحية</w:t>
            </w:r>
          </w:p>
        </w:tc>
      </w:tr>
      <w:tr>
        <w:tc>
          <w:tcPr>
            <w:tcW w:type="dxa" w:w="2835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5F8F6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18"/>
                <w:rtl w:val="1"/>
              </w:rPr>
              <w:t>موعد مراجعة الخطة</w:t>
            </w:r>
          </w:p>
        </w:tc>
        <w:tc>
          <w:tcPr>
            <w:tcW w:type="dxa" w:w="7030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shd w:fill="FFFFFF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8"/>
                <w:rtl w:val="1"/>
              </w:rPr>
              <w:t>[تاريخ]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03E38"/>
          <w:sz w:val="34"/>
          <w:rtl w:val="1"/>
        </w:rPr>
        <w:t>المراجعة والاعتماد والإقفال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EAF3F0"/>
            <w:tcBorders>
              <w:top w:val="single" w:sz="8" w:color="17685D"/>
              <w:left w:val="single" w:sz="8" w:color="17685D"/>
              <w:bottom w:val="single" w:sz="8" w:color="17685D"/>
              <w:right w:val="single" w:sz="8" w:color="17685D"/>
              <w:insideH w:val="single" w:sz="8" w:color="17685D"/>
              <w:insideV w:val="single" w:sz="8" w:color="17685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17685D"/>
                <w:sz w:val="20"/>
                <w:rtl w:val="1"/>
              </w:rPr>
              <w:t xml:space="preserve">حلقة الجودة: </w:t>
            </w:r>
            <w:r>
              <w:rPr>
                <w:rFonts w:ascii="Arial" w:hAnsi="Arial" w:eastAsia="Arial" w:cs="Arial"/>
                <w:b w:val="0"/>
                <w:color w:val="17312D"/>
                <w:sz w:val="19"/>
                <w:rtl w:val="1"/>
              </w:rPr>
              <w:t>تخطيط ← تنفيذ ← نتيجة موثقة ← تحليل ← تحسين ← تحقق من الإقفال.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قائمة الفحص النهائي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لا يوجد هدف بلا مؤشر ومستهدف ومصدر قياس.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لا يوجد إجراء بلا مسؤول وموعد ودليل متوقع.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اكتملت الحقول الإلزامية ولم تبقَ قيم افتراضية أو أمثلة توضيحية.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كل نتيجة أو حكم مرتبط بمصدر أو شاهد يمكن التحقق منه.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تمت مراجعة الاتساق والأرقام والتواريخ والمعادلات قبل الاعتماد.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لكل توصية مسؤول وموعد وحالة متابعة ودليل إقفال متوقع.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رُوجعت الخصوصية، ولم تُدرج بيانات شخصية غير لازمة أو روابط مفتوحة للعامة.</w:t>
      </w:r>
    </w:p>
    <w:p>
      <w:pPr>
        <w:spacing w:after="60"/>
        <w:ind w:left="113"/>
        <w:jc w:val="right"/>
        <w:bidi w:val="1"/>
      </w:pPr>
      <w:r>
        <w:rPr>
          <w:rFonts w:ascii="Arial" w:hAnsi="Arial" w:eastAsia="Arial" w:cs="Arial"/>
          <w:b/>
          <w:color w:val="17685D"/>
          <w:sz w:val="22"/>
          <w:rtl w:val="1"/>
        </w:rPr>
        <w:t xml:space="preserve">☐  </w:t>
      </w:r>
      <w:r>
        <w:rPr>
          <w:rFonts w:ascii="Arial" w:hAnsi="Arial" w:eastAsia="Arial" w:cs="Arial"/>
          <w:b w:val="0"/>
          <w:color w:val="17312D"/>
          <w:sz w:val="19"/>
          <w:rtl w:val="1"/>
        </w:rPr>
        <w:t>طابق اسم الملف قاعدة التسمية، وحُفظت نسخة PDF عند الحاجة.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سجل الاعتماد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56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الدور</w:t>
            </w:r>
          </w:p>
        </w:tc>
        <w:tc>
          <w:tcPr>
            <w:tcW w:type="dxa" w:w="255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الاسم/الصفة</w:t>
            </w:r>
          </w:p>
        </w:tc>
        <w:tc>
          <w:tcPr>
            <w:tcW w:type="dxa" w:w="198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القرار</w:t>
            </w:r>
          </w:p>
        </w:tc>
        <w:tc>
          <w:tcPr>
            <w:tcW w:type="dxa" w:w="1757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التاريخ</w:t>
            </w:r>
          </w:p>
        </w:tc>
        <w:tc>
          <w:tcPr>
            <w:tcW w:type="dxa" w:w="3005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6"/>
                <w:rtl w:val="1"/>
              </w:rPr>
              <w:t>التوقيع/المرجع</w:t>
            </w:r>
          </w:p>
        </w:tc>
      </w:tr>
      <w:tr>
        <w:tc>
          <w:tcPr>
            <w:tcW w:type="dxa" w:w="56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1</w:t>
            </w:r>
          </w:p>
        </w:tc>
        <w:tc>
          <w:tcPr>
            <w:tcW w:type="dxa" w:w="255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[معد الوثيقة]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أعدّ</w:t>
            </w:r>
          </w:p>
        </w:tc>
        <w:tc>
          <w:tcPr>
            <w:tcW w:type="dxa" w:w="175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  <w:tr>
        <w:tc>
          <w:tcPr>
            <w:tcW w:type="dxa" w:w="56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2</w:t>
            </w:r>
          </w:p>
        </w:tc>
        <w:tc>
          <w:tcPr>
            <w:tcW w:type="dxa" w:w="255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[مراجع اللجنة]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راجع / أعاد</w:t>
            </w:r>
          </w:p>
        </w:tc>
        <w:tc>
          <w:tcPr>
            <w:tcW w:type="dxa" w:w="175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  <w:tr>
        <w:tc>
          <w:tcPr>
            <w:tcW w:type="dxa" w:w="56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3</w:t>
            </w:r>
          </w:p>
        </w:tc>
        <w:tc>
          <w:tcPr>
            <w:tcW w:type="dxa" w:w="255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[رئيس اللجنة]</w:t>
            </w:r>
          </w:p>
        </w:tc>
        <w:tc>
          <w:tcPr>
            <w:tcW w:type="dxa" w:w="198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اعتمد / رفض</w:t>
            </w:r>
          </w:p>
        </w:tc>
        <w:tc>
          <w:tcPr>
            <w:tcW w:type="dxa" w:w="1757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  <w:tr>
        <w:tc>
          <w:tcPr>
            <w:tcW w:type="dxa" w:w="56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4</w:t>
            </w:r>
          </w:p>
        </w:tc>
        <w:tc>
          <w:tcPr>
            <w:tcW w:type="dxa" w:w="255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[الجهة الإشرافية عند اللزوم]</w:t>
            </w:r>
          </w:p>
        </w:tc>
        <w:tc>
          <w:tcPr>
            <w:tcW w:type="dxa" w:w="198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اطلع / وجّه</w:t>
            </w:r>
          </w:p>
        </w:tc>
        <w:tc>
          <w:tcPr>
            <w:tcW w:type="dxa" w:w="1757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[تاريخ]</w:t>
            </w:r>
          </w:p>
        </w:tc>
        <w:tc>
          <w:tcPr>
            <w:tcW w:type="dxa" w:w="3005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6"/>
                <w:rtl w:val="1"/>
              </w:rPr>
              <w:t>[مرجع]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17685D"/>
          <w:sz w:val="26"/>
          <w:rtl w:val="1"/>
        </w:rPr>
        <w:t>سجل التحسين والإقفال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45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#</w:t>
            </w:r>
          </w:p>
        </w:tc>
        <w:tc>
          <w:tcPr>
            <w:tcW w:type="dxa" w:w="226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الفجوة/الفرصة</w:t>
            </w:r>
          </w:p>
        </w:tc>
        <w:tc>
          <w:tcPr>
            <w:tcW w:type="dxa" w:w="2438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الإجراء</w:t>
            </w:r>
          </w:p>
        </w:tc>
        <w:tc>
          <w:tcPr>
            <w:tcW w:type="dxa" w:w="170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المسؤول</w:t>
            </w:r>
          </w:p>
        </w:tc>
        <w:tc>
          <w:tcPr>
            <w:tcW w:type="dxa" w:w="1531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الموعد</w:t>
            </w:r>
          </w:p>
        </w:tc>
        <w:tc>
          <w:tcPr>
            <w:tcW w:type="dxa" w:w="1474"/>
            <w:shd w:fill="103E38"/>
            <w:tcBorders>
              <w:top w:val="single" w:sz="6" w:color="103E38"/>
              <w:left w:val="single" w:sz="6" w:color="103E38"/>
              <w:bottom w:val="single" w:sz="6" w:color="103E38"/>
              <w:right w:val="single" w:sz="6" w:color="103E38"/>
              <w:insideH w:val="single" w:sz="6" w:color="103E38"/>
              <w:insideV w:val="single" w:sz="6" w:color="103E38"/>
            </w:tcBorders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/>
                <w:color w:val="FFFFFF"/>
                <w:sz w:val="15"/>
                <w:rtl w:val="1"/>
              </w:rPr>
              <w:t>حالة التحقق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1</w:t>
            </w:r>
          </w:p>
        </w:tc>
        <w:tc>
          <w:tcPr>
            <w:tcW w:type="dxa" w:w="226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محدد]</w:t>
            </w:r>
          </w:p>
        </w:tc>
        <w:tc>
          <w:tcPr>
            <w:tcW w:type="dxa" w:w="243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[إجراء قابل للقياس]</w:t>
            </w:r>
          </w:p>
        </w:tc>
        <w:tc>
          <w:tcPr>
            <w:tcW w:type="dxa" w:w="170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مفتوح / متحقق</w:t>
            </w:r>
          </w:p>
        </w:tc>
      </w:tr>
      <w:tr>
        <w:tc>
          <w:tcPr>
            <w:tcW w:type="dxa" w:w="45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2</w:t>
            </w:r>
          </w:p>
        </w:tc>
        <w:tc>
          <w:tcPr>
            <w:tcW w:type="dxa" w:w="226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محدد]</w:t>
            </w:r>
          </w:p>
        </w:tc>
        <w:tc>
          <w:tcPr>
            <w:tcW w:type="dxa" w:w="2438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[إجراء قابل للقياس]</w:t>
            </w:r>
          </w:p>
        </w:tc>
        <w:tc>
          <w:tcPr>
            <w:tcW w:type="dxa" w:w="170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31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474"/>
            <w:shd w:fill="F5F8F6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مفتوح / متحقق</w:t>
            </w:r>
          </w:p>
        </w:tc>
      </w:tr>
      <w:tr>
        <w:tc>
          <w:tcPr>
            <w:tcW w:type="dxa" w:w="45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3</w:t>
            </w:r>
          </w:p>
        </w:tc>
        <w:tc>
          <w:tcPr>
            <w:tcW w:type="dxa" w:w="226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[وصف محدد]</w:t>
            </w:r>
          </w:p>
        </w:tc>
        <w:tc>
          <w:tcPr>
            <w:tcW w:type="dxa" w:w="2438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[إجراء قابل للقياس]</w:t>
            </w:r>
          </w:p>
        </w:tc>
        <w:tc>
          <w:tcPr>
            <w:tcW w:type="dxa" w:w="170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[الدور]</w:t>
            </w:r>
          </w:p>
        </w:tc>
        <w:tc>
          <w:tcPr>
            <w:tcW w:type="dxa" w:w="1531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[تاريخ]</w:t>
            </w:r>
          </w:p>
        </w:tc>
        <w:tc>
          <w:tcPr>
            <w:tcW w:type="dxa" w:w="1474"/>
            <w:shd w:fill="FFFFFF"/>
            <w:tcBorders>
              <w:top w:val="single" w:sz="6" w:color="D9E3DF"/>
              <w:left w:val="single" w:sz="6" w:color="D9E3DF"/>
              <w:bottom w:val="single" w:sz="6" w:color="D9E3DF"/>
              <w:right w:val="single" w:sz="6" w:color="D9E3DF"/>
              <w:insideH w:val="single" w:sz="6" w:color="D9E3DF"/>
              <w:insideV w:val="single" w:sz="6" w:color="D9E3DF"/>
            </w:tcBorders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 w:val="0"/>
                <w:color w:val="64756F"/>
                <w:sz w:val="15"/>
                <w:rtl w:val="1"/>
              </w:rPr>
              <w:t>مفتوح / متحقق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978"/>
            <w:shd w:fill="F6EEDC"/>
            <w:tcBorders>
              <w:top w:val="single" w:sz="8" w:color="B58A45"/>
              <w:left w:val="single" w:sz="8" w:color="B58A45"/>
              <w:bottom w:val="single" w:sz="8" w:color="B58A45"/>
              <w:right w:val="single" w:sz="8" w:color="B58A45"/>
              <w:insideH w:val="single" w:sz="8" w:color="B58A45"/>
              <w:insideV w:val="single" w:sz="8" w:color="B58A4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eastAsia="Arial" w:cs="Arial"/>
                <w:b/>
                <w:color w:val="B58A45"/>
                <w:sz w:val="20"/>
                <w:rtl w:val="1"/>
              </w:rPr>
              <w:t xml:space="preserve">صلة الدراسة الذاتية: </w:t>
            </w:r>
            <w:r>
              <w:rPr>
                <w:rFonts w:ascii="Arial" w:hAnsi="Arial" w:eastAsia="Arial" w:cs="Arial"/>
                <w:b w:val="0"/>
                <w:color w:val="17312D"/>
                <w:sz w:val="19"/>
                <w:rtl w:val="1"/>
              </w:rPr>
              <w:t>[المعيار/المحك] · [رقم الدليل] · [وصف سبب صلاحية هذا الملف للاستشهاد]</w:t>
            </w:r>
          </w:p>
        </w:tc>
      </w:tr>
    </w:tbl>
    <w:p>
      <w:pPr>
        <w:spacing w:after="20"/>
      </w:pPr>
    </w:p>
    <w:sectPr>
      <w:headerReference w:type="default" r:id="rId9"/>
      <w:headerReference w:type="even" r:id="rId10"/>
      <w:footerReference w:type="default" r:id="rId11"/>
      <w:footerReference w:type="even" r:id="rId12"/>
      <w:pgSz w:w="11906" w:h="16838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803"/>
      <w:gridCol w:w="3175"/>
    </w:tblGrid>
    <w:tr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 xml:space="preserve">صفحة </w:t>
          </w:r>
          <w:r>
            <w:fldChar w:fldCharType="begin"/>
            <w:instrText xml:space="preserve"> PAGE </w:instrText>
            <w:fldChar w:fldCharType="end"/>
          </w:r>
        </w:p>
      </w:tc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>إصدار 2.0 · قالب غير مكتمل حتى الاعتماد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803"/>
      <w:gridCol w:w="3175"/>
    </w:tblGrid>
    <w:tr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 xml:space="preserve">صفحة </w:t>
          </w:r>
          <w:r>
            <w:fldChar w:fldCharType="begin"/>
            <w:instrText xml:space="preserve"> PAGE </w:instrText>
            <w:fldChar w:fldCharType="end"/>
          </w:r>
        </w:p>
      </w:tc>
      <w:tc>
        <w:tcPr>
          <w:tcW w:type="dxa" w:w="4989"/>
          <w:shd w:fill="F5F8F6"/>
          <w:tcBorders>
            <w:top w:val="single" w:sz="6" w:color="D9E3DF"/>
            <w:left w:val="single" w:sz="6" w:color="D9E3DF"/>
            <w:bottom w:val="single" w:sz="6" w:color="D9E3DF"/>
            <w:right w:val="single" w:sz="6" w:color="D9E3DF"/>
            <w:insideH w:val="single" w:sz="6" w:color="D9E3DF"/>
            <w:insideV w:val="single" w:sz="6" w:color="D9E3DF"/>
          </w:tcBorders>
          <w:tcMar>
            <w:top w:w="60" w:type="dxa"/>
            <w:start w:w="110" w:type="dxa"/>
            <w:bottom w:w="60" w:type="dxa"/>
            <w:end w:w="110" w:type="dxa"/>
          </w:tcMar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 w:val="0"/>
              <w:color w:val="64756F"/>
              <w:sz w:val="16"/>
              <w:rtl w:val="1"/>
            </w:rPr>
            <w:t>إصدار 2.0 · قالب غير مكتمل حتى الاعتماد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690"/>
      <w:gridCol w:w="3288"/>
    </w:tblGrid>
    <w:tr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/>
              <w:color w:val="FFFFFF"/>
              <w:sz w:val="17"/>
              <w:rtl w:val="1"/>
            </w:rPr>
            <w:t>قالب خطة تشغيلية للجنة</w:t>
          </w:r>
        </w:p>
      </w:tc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/>
              <w:color w:val="FFFFFF"/>
              <w:sz w:val="19"/>
              <w:rtl w:val="1"/>
            </w:rPr>
            <w:t>كلية الشريعة والأنظمة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690"/>
      <w:gridCol w:w="3288"/>
    </w:tblGrid>
    <w:tr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left"/>
            <w:bidi w:val="1"/>
          </w:pPr>
          <w:r>
            <w:rPr>
              <w:rFonts w:ascii="Arial" w:hAnsi="Arial" w:eastAsia="Arial" w:cs="Arial"/>
              <w:b/>
              <w:color w:val="FFFFFF"/>
              <w:sz w:val="17"/>
              <w:rtl w:val="1"/>
            </w:rPr>
            <w:t>قالب خطة تشغيلية للجنة</w:t>
          </w:r>
        </w:p>
      </w:tc>
      <w:tc>
        <w:tcPr>
          <w:tcW w:type="dxa" w:w="4989"/>
          <w:shd w:fill="103E38"/>
          <w:tcBorders>
            <w:top w:val="single" w:sz="6" w:color="103E38"/>
            <w:left w:val="single" w:sz="6" w:color="103E38"/>
            <w:bottom w:val="single" w:sz="6" w:color="103E38"/>
            <w:right w:val="single" w:sz="6" w:color="103E38"/>
            <w:insideH w:val="single" w:sz="6" w:color="103E38"/>
            <w:insideV w:val="single" w:sz="6" w:color="103E38"/>
          </w:tcBorders>
          <w:tcMar>
            <w:top w:w="70" w:type="dxa"/>
            <w:start w:w="130" w:type="dxa"/>
            <w:bottom w:w="70" w:type="dxa"/>
            <w:end w:w="130" w:type="dxa"/>
          </w:tcMar>
          <w:vAlign w:val="center"/>
        </w:tcPr>
        <w:p>
          <w:pPr>
            <w:jc w:val="right"/>
            <w:bidi w:val="1"/>
          </w:pPr>
          <w:r>
            <w:rPr>
              <w:rFonts w:ascii="Arial" w:hAnsi="Arial" w:eastAsia="Arial" w:cs="Arial"/>
              <w:b/>
              <w:color w:val="FFFFFF"/>
              <w:sz w:val="19"/>
              <w:rtl w:val="1"/>
            </w:rPr>
            <w:t>كلية الشريعة والأنظمة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1731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03E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68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1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03E3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خطة تشغيلية للجنة</dc:title>
  <dc:subject>قالب تشغيلي لأعمال اللجان</dc:subject>
  <dc:creator/>
  <cp:keywords>لجان، جودة، دليل، اعتماد</cp:keywords>
  <dc:description>قالب فارغ؛ الحقول بين معقوفين تُستكمل قبل الاعتماد.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