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18FCF" w14:textId="77777777" w:rsidR="00ED02C8" w:rsidRDefault="00ED02C8" w:rsidP="00ED02C8">
      <w:r>
        <w:t xml:space="preserve">In our case, an MLP-based architecture is a better fit than a transformer because of the nature of </w:t>
      </w:r>
      <w:proofErr w:type="spellStart"/>
      <w:r>
        <w:t>lipidomics</w:t>
      </w:r>
      <w:proofErr w:type="spellEnd"/>
      <w:r>
        <w:t xml:space="preserve"> data itself. We are dealing with a very large set of continuous features (around 1,800 lipid species) where the main signal comes from global correlation patterns across lipids, not from any meaningful order or sequence among them. Transformer architectures shine when there is an inherent structure in the data—such as word order in text, temporal structure in time series, or spatial relationships in images—where attention can model interactions along a sequence. Lipid features, however, do not have a natural ordering: a lipid appearing “next to” another in a table has no biological meaning, and treating each lipid as a token in a long sequence leads to unnecessary computational cost without adding interpretability or predictive power.</w:t>
      </w:r>
    </w:p>
    <w:p w14:paraId="4DE6B052" w14:textId="77777777" w:rsidR="00ED02C8" w:rsidRDefault="00ED02C8" w:rsidP="00ED02C8"/>
    <w:p w14:paraId="7F7B97A5" w14:textId="26071581" w:rsidR="00FD6123" w:rsidRDefault="00ED02C8" w:rsidP="00ED02C8">
      <w:r>
        <w:t>By contrast, an MLP is well suited to this setting because it directly models dense, high-dimensional interactions between features. For example, reconstructing a masked VLCFA-containing LPC lipid depends on smooth, distributed information from many correlated lipid species across multiple classes; this type of dependency is captured efficiently by shared weights and nonlinear mixing in an MLP. A transformer, on the other hand, would have to learn attention patterns over thousands of largely redundant tokens, which is computationally expensive and prone to overfitting, especially given the limited amount of real ALD data available for downstream evaluation. For these reasons, MLPs provide a more stable, sample-efficient, and biologically appropriate foundation for this problem, while transformer-based models only become attractive if they are explicitly redesigned to operate on structured lipid groups rather than individual lipid features.</w:t>
      </w:r>
    </w:p>
    <w:p w14:paraId="27CD3AF7" w14:textId="77777777" w:rsidR="00ED02C8" w:rsidRDefault="00ED02C8" w:rsidP="00ED02C8"/>
    <w:p w14:paraId="5C5E8C4E" w14:textId="77777777" w:rsidR="003234C6" w:rsidRDefault="003234C6" w:rsidP="003234C6">
      <w:r>
        <w:t>Overall implementation philosophy</w:t>
      </w:r>
    </w:p>
    <w:p w14:paraId="32396880" w14:textId="77777777" w:rsidR="003234C6" w:rsidRDefault="003234C6" w:rsidP="003234C6"/>
    <w:p w14:paraId="5F6ABA02" w14:textId="77777777" w:rsidR="003234C6" w:rsidRDefault="003234C6" w:rsidP="003234C6">
      <w:r>
        <w:t>The first implementation is intentionally designed to be conservative, stable, and biologically aligned, rather than maximally complex. The goal at this stage is not to exhaust all architectural possibilities, but to establish a strong and trustworthy foundation model that learns meaningful lipidomic structure from large synthetic cohorts and transfers reliably to a very small real ALD dataset. Every implementation decision therefore prioritizes sample efficiency, robustness, interpretability, and ease of diagnosis over architectural novelty.</w:t>
      </w:r>
    </w:p>
    <w:p w14:paraId="1C6ED1D2" w14:textId="77777777" w:rsidR="003234C6" w:rsidRDefault="003234C6" w:rsidP="003234C6"/>
    <w:p w14:paraId="627418C3" w14:textId="77777777" w:rsidR="003234C6" w:rsidRDefault="003234C6" w:rsidP="003234C6">
      <w:r>
        <w:t>Choice of architecture: MLP as the primary encoder</w:t>
      </w:r>
    </w:p>
    <w:p w14:paraId="1AE6E8E1" w14:textId="77777777" w:rsidR="003234C6" w:rsidRDefault="003234C6" w:rsidP="003234C6"/>
    <w:p w14:paraId="2780B2C4" w14:textId="77777777" w:rsidR="003234C6" w:rsidRDefault="003234C6" w:rsidP="003234C6">
      <w:r>
        <w:t xml:space="preserve">An MLP-based encoder is selected as the primary architecture because </w:t>
      </w:r>
      <w:proofErr w:type="spellStart"/>
      <w:r>
        <w:t>lipidomics</w:t>
      </w:r>
      <w:proofErr w:type="spellEnd"/>
      <w:r>
        <w:t xml:space="preserve"> data consist of a large number of continuous features whose information lies in dense, global </w:t>
      </w:r>
      <w:r>
        <w:lastRenderedPageBreak/>
        <w:t>correlation patterns, not in sequential or positional relationships. Unlike text, audio, or time-series data, lipid features have no natural order; rearranging columns does not change the meaning of a sample. Transformer architectures are most effective when there is an underlying sequence or structured relational graph that attention can exploit, whereas in this case attention over thousands of unordered lipid tokens introduces substantial computational cost without a corresponding inductive benefit.</w:t>
      </w:r>
    </w:p>
    <w:p w14:paraId="0F56D76E" w14:textId="77777777" w:rsidR="003234C6" w:rsidRDefault="003234C6" w:rsidP="003234C6"/>
    <w:p w14:paraId="119362B7" w14:textId="77777777" w:rsidR="003234C6" w:rsidRDefault="003234C6" w:rsidP="003234C6">
      <w:r>
        <w:t>By contrast, an MLP directly mixes information across all features at every layer, which is well suited for reconstructive objectives such as masked value prediction and denoising. For example, predicting a masked sphingolipid depends on distributed signals from many correlated lipid classes rather than on pairwise interactions between specific tokens. Given the limited size of the real ALD dataset used for downstream evaluation, the lower variance, higher stability, and better sample efficiency of MLPs make them the most reliable first choice. Transformer-based variants are therefore deferred to a second phase, where they can be evaluated as controlled extensions rather than as a replacement for the baseline.</w:t>
      </w:r>
    </w:p>
    <w:p w14:paraId="5E3ED275" w14:textId="77777777" w:rsidR="003234C6" w:rsidRDefault="003234C6" w:rsidP="003234C6"/>
    <w:p w14:paraId="2B1CB363" w14:textId="77777777" w:rsidR="003234C6" w:rsidRDefault="003234C6" w:rsidP="003234C6">
      <w:r>
        <w:t>Treatment of synthetic data and “worlds”</w:t>
      </w:r>
    </w:p>
    <w:p w14:paraId="071AB17D" w14:textId="77777777" w:rsidR="003234C6" w:rsidRDefault="003234C6" w:rsidP="003234C6"/>
    <w:p w14:paraId="2617B7B1" w14:textId="77777777" w:rsidR="003234C6" w:rsidRDefault="003234C6" w:rsidP="003234C6">
      <w:r>
        <w:t>All synthetic datasets are treated as samples from a single, pooled data-generating process. Individual CSV files (“worlds”) do not carry semantic meaning and are not assumed to represent distinct biological domains or batches. As a result, rows are sampled independently and shuffled across files during training. This design prevents the model from learning spurious file-specific patterns and ensures that it focuses on global lipidomic structure rather than artifacts of how the synthetic data were generated. Generator type and world identity are deliberately excluded from the model input to avoid encoding assumptions that may not generalize to real data.</w:t>
      </w:r>
    </w:p>
    <w:p w14:paraId="76EECC60" w14:textId="77777777" w:rsidR="003234C6" w:rsidRDefault="003234C6" w:rsidP="003234C6"/>
    <w:p w14:paraId="42237F3A" w14:textId="77777777" w:rsidR="003234C6" w:rsidRDefault="003234C6" w:rsidP="003234C6">
      <w:r>
        <w:t>Feature selection and label handling during pretraining</w:t>
      </w:r>
    </w:p>
    <w:p w14:paraId="66D4B3C0" w14:textId="77777777" w:rsidR="003234C6" w:rsidRDefault="003234C6" w:rsidP="003234C6"/>
    <w:p w14:paraId="0900CB3C" w14:textId="77777777" w:rsidR="003234C6" w:rsidRDefault="003234C6" w:rsidP="003234C6">
      <w:r>
        <w:t xml:space="preserve">During self-supervised pretraining, only lipid features and sex are used as model inputs. The severity label is explicitly excluded from both the input and the reconstruction target. This decision is critical for two reasons. First, pretraining is meant to learn general structure in lipidomic data, not to optimize for a specific downstream task; including severity would bias the learned representation toward one label and reduce its usefulness for other tasks such as clustering, imputation, or anomaly detection. Second, severity values in the synthetic data are generated by a causal model and may encode assumptions that do not perfectly reflect </w:t>
      </w:r>
      <w:r>
        <w:lastRenderedPageBreak/>
        <w:t>real-world clinical relationships. Excluding severity during pretraining avoids propagating these assumptions into the representation space. The label is retained only for downstream fine-tuning and evaluation on real data.</w:t>
      </w:r>
    </w:p>
    <w:p w14:paraId="7E816149" w14:textId="77777777" w:rsidR="003234C6" w:rsidRDefault="003234C6" w:rsidP="003234C6"/>
    <w:p w14:paraId="447E18F7" w14:textId="77777777" w:rsidR="003234C6" w:rsidRDefault="003234C6" w:rsidP="003234C6">
      <w:r>
        <w:t>Sex, on the other hand, is included because sex-specific lipidomic differences are well documented and biologically meaningful in ALD. Including sex as an input allows the model to learn sex-conditioned lipid structure without forcing severity-related shortcuts.</w:t>
      </w:r>
    </w:p>
    <w:p w14:paraId="3490A7DA" w14:textId="77777777" w:rsidR="003234C6" w:rsidRDefault="003234C6" w:rsidP="003234C6"/>
    <w:p w14:paraId="2C843428" w14:textId="77777777" w:rsidR="003234C6" w:rsidRDefault="003234C6" w:rsidP="003234C6">
      <w:r>
        <w:t>Global normalization strategy</w:t>
      </w:r>
    </w:p>
    <w:p w14:paraId="66D1B3D4" w14:textId="77777777" w:rsidR="003234C6" w:rsidRDefault="003234C6" w:rsidP="003234C6"/>
    <w:p w14:paraId="15ECA8EE" w14:textId="77777777" w:rsidR="003234C6" w:rsidRDefault="003234C6" w:rsidP="003234C6">
      <w:r>
        <w:t>Global normalization is used instead of per-file or per-world normalization. A single mean and standard deviation are computed for each feature across the synthetic pretraining corpus and applied consistently to all samples. This choice reflects the assumption that all samples inhabit the same underlying lipidomic space and that between-table variability is meaningful signal rather than nuisance noise. Per-world normalization would artificially erase differences between synthetic datasets and make the model insensitive to shifts that may resemble real-world variation. Global normalization therefore supports better synthetic-to-real transfer and ensures that reconstruction losses operate in a consistent feature space.</w:t>
      </w:r>
    </w:p>
    <w:p w14:paraId="33196EEE" w14:textId="77777777" w:rsidR="003234C6" w:rsidRDefault="003234C6" w:rsidP="003234C6"/>
    <w:p w14:paraId="71C16A56" w14:textId="77777777" w:rsidR="003234C6" w:rsidRDefault="003234C6" w:rsidP="003234C6">
      <w:r>
        <w:t>Pretraining objectives and their roles</w:t>
      </w:r>
    </w:p>
    <w:p w14:paraId="24196931" w14:textId="77777777" w:rsidR="003234C6" w:rsidRDefault="003234C6" w:rsidP="003234C6"/>
    <w:p w14:paraId="7DE551B1" w14:textId="77777777" w:rsidR="003234C6" w:rsidRDefault="003234C6" w:rsidP="003234C6">
      <w:r>
        <w:t xml:space="preserve">The pretraining framework combines three self-supervised objectives: masked value prediction, denoising reconstruction, and (optionally) contrastive learning. Masked value prediction is the primary objective because it directly trains the model to learn dependencies among lipid features and supports downstream tasks such as imputation and prediction. Denoising reconstruction complements this by encouraging robustness to noise and missingness, which are common in </w:t>
      </w:r>
      <w:proofErr w:type="spellStart"/>
      <w:r>
        <w:t>lipidomics</w:t>
      </w:r>
      <w:proofErr w:type="spellEnd"/>
      <w:r>
        <w:t xml:space="preserve"> data. Contrastive learning is included as an optional refinement mechanism to improve embedding geometry and clustering behavior, but it is deliberately down-weighted or introduced later in training to avoid distorting the representation before basic lipid structure has been learned.</w:t>
      </w:r>
    </w:p>
    <w:p w14:paraId="617BEBC9" w14:textId="77777777" w:rsidR="003234C6" w:rsidRDefault="003234C6" w:rsidP="003234C6"/>
    <w:p w14:paraId="6A115ADA" w14:textId="77777777" w:rsidR="003234C6" w:rsidRDefault="003234C6" w:rsidP="003234C6">
      <w:r>
        <w:t xml:space="preserve">The loss is defined as a weighted sum of these objectives, with masked reconstruction dominating early training. This ensures that the representation is first shaped by biologically </w:t>
      </w:r>
      <w:r>
        <w:lastRenderedPageBreak/>
        <w:t>meaningful feature relationships before being refined by robustness or invariance constraints.</w:t>
      </w:r>
    </w:p>
    <w:p w14:paraId="36D75F6C" w14:textId="77777777" w:rsidR="003234C6" w:rsidRDefault="003234C6" w:rsidP="003234C6"/>
    <w:p w14:paraId="7F74803B" w14:textId="77777777" w:rsidR="003234C6" w:rsidRDefault="003234C6" w:rsidP="003234C6">
      <w:r>
        <w:t>Training and evaluation strategy</w:t>
      </w:r>
    </w:p>
    <w:p w14:paraId="33685B02" w14:textId="77777777" w:rsidR="003234C6" w:rsidRDefault="003234C6" w:rsidP="003234C6"/>
    <w:p w14:paraId="45783411" w14:textId="77777777" w:rsidR="003234C6" w:rsidRDefault="003234C6" w:rsidP="003234C6">
      <w:r>
        <w:t xml:space="preserve">Pretraining is performed exclusively on synthetic data, which provides sufficient scale and diversity for stable self-supervised learning. Real data are intentionally excluded from pretraining to avoid overfitting and leakage, given the very small sample size. Model quality is not judged during pretraining itself, but rather through downstream performance on real data using cross-validation. This separation ensures that the foundation model is evaluated on its ability to transfer to real ALD </w:t>
      </w:r>
      <w:proofErr w:type="spellStart"/>
      <w:r>
        <w:t>lipidomics</w:t>
      </w:r>
      <w:proofErr w:type="spellEnd"/>
      <w:r>
        <w:t xml:space="preserve"> rather than on how well it fits the synthetic generators.</w:t>
      </w:r>
    </w:p>
    <w:p w14:paraId="2F724FEF" w14:textId="77777777" w:rsidR="003234C6" w:rsidRDefault="003234C6" w:rsidP="003234C6"/>
    <w:p w14:paraId="4F7162E8" w14:textId="77777777" w:rsidR="003234C6" w:rsidRDefault="003234C6" w:rsidP="003234C6">
      <w:r>
        <w:t>Summary</w:t>
      </w:r>
    </w:p>
    <w:p w14:paraId="4BEC4B60" w14:textId="77777777" w:rsidR="003234C6" w:rsidRDefault="003234C6" w:rsidP="003234C6"/>
    <w:p w14:paraId="6B4D995E" w14:textId="43148DB2" w:rsidR="00ED02C8" w:rsidRDefault="003234C6" w:rsidP="003234C6">
      <w:r>
        <w:t>Taken together, these implementation choices reflect a principled first attempt: start with the simplest architecture that matches the data geometry, apply objectives that are well aligned with omics structure, avoid injecting task-specific bias during pretraining, and reserve scarce real data strictly for downstream evaluation. This approach maximizes reliability and interpretability and provides a solid baseline against which more complex architectures—such as grouped transformers—can later be meaningfully compared.</w:t>
      </w:r>
    </w:p>
    <w:sectPr w:rsidR="00ED02C8" w:rsidSect="00D80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E94"/>
    <w:rsid w:val="0010028C"/>
    <w:rsid w:val="003234C6"/>
    <w:rsid w:val="004305A0"/>
    <w:rsid w:val="00740E94"/>
    <w:rsid w:val="007D7C10"/>
    <w:rsid w:val="00D80F6F"/>
    <w:rsid w:val="00ED02C8"/>
    <w:rsid w:val="00FD6123"/>
    <w:rsid w:val="00FF6C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B5ED"/>
  <w15:chartTrackingRefBased/>
  <w15:docId w15:val="{22642AC5-986B-403A-AC0D-216E4FFC0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E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0E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0E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0E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0E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0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E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0E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0E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0E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0E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0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E94"/>
    <w:rPr>
      <w:rFonts w:eastAsiaTheme="majorEastAsia" w:cstheme="majorBidi"/>
      <w:color w:val="272727" w:themeColor="text1" w:themeTint="D8"/>
    </w:rPr>
  </w:style>
  <w:style w:type="paragraph" w:styleId="Title">
    <w:name w:val="Title"/>
    <w:basedOn w:val="Normal"/>
    <w:next w:val="Normal"/>
    <w:link w:val="TitleChar"/>
    <w:uiPriority w:val="10"/>
    <w:qFormat/>
    <w:rsid w:val="00740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E94"/>
    <w:pPr>
      <w:spacing w:before="160"/>
      <w:jc w:val="center"/>
    </w:pPr>
    <w:rPr>
      <w:i/>
      <w:iCs/>
      <w:color w:val="404040" w:themeColor="text1" w:themeTint="BF"/>
    </w:rPr>
  </w:style>
  <w:style w:type="character" w:customStyle="1" w:styleId="QuoteChar">
    <w:name w:val="Quote Char"/>
    <w:basedOn w:val="DefaultParagraphFont"/>
    <w:link w:val="Quote"/>
    <w:uiPriority w:val="29"/>
    <w:rsid w:val="00740E94"/>
    <w:rPr>
      <w:i/>
      <w:iCs/>
      <w:color w:val="404040" w:themeColor="text1" w:themeTint="BF"/>
    </w:rPr>
  </w:style>
  <w:style w:type="paragraph" w:styleId="ListParagraph">
    <w:name w:val="List Paragraph"/>
    <w:basedOn w:val="Normal"/>
    <w:uiPriority w:val="34"/>
    <w:qFormat/>
    <w:rsid w:val="00740E94"/>
    <w:pPr>
      <w:ind w:left="720"/>
      <w:contextualSpacing/>
    </w:pPr>
  </w:style>
  <w:style w:type="character" w:styleId="IntenseEmphasis">
    <w:name w:val="Intense Emphasis"/>
    <w:basedOn w:val="DefaultParagraphFont"/>
    <w:uiPriority w:val="21"/>
    <w:qFormat/>
    <w:rsid w:val="00740E94"/>
    <w:rPr>
      <w:i/>
      <w:iCs/>
      <w:color w:val="2F5496" w:themeColor="accent1" w:themeShade="BF"/>
    </w:rPr>
  </w:style>
  <w:style w:type="paragraph" w:styleId="IntenseQuote">
    <w:name w:val="Intense Quote"/>
    <w:basedOn w:val="Normal"/>
    <w:next w:val="Normal"/>
    <w:link w:val="IntenseQuoteChar"/>
    <w:uiPriority w:val="30"/>
    <w:qFormat/>
    <w:rsid w:val="00740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E94"/>
    <w:rPr>
      <w:i/>
      <w:iCs/>
      <w:color w:val="2F5496" w:themeColor="accent1" w:themeShade="BF"/>
    </w:rPr>
  </w:style>
  <w:style w:type="character" w:styleId="IntenseReference">
    <w:name w:val="Intense Reference"/>
    <w:basedOn w:val="DefaultParagraphFont"/>
    <w:uiPriority w:val="32"/>
    <w:qFormat/>
    <w:rsid w:val="00740E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1303</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Lotfian</dc:creator>
  <cp:keywords/>
  <dc:description/>
  <cp:lastModifiedBy>Majid Lotfian</cp:lastModifiedBy>
  <cp:revision>2</cp:revision>
  <dcterms:created xsi:type="dcterms:W3CDTF">2025-12-15T15:34:00Z</dcterms:created>
  <dcterms:modified xsi:type="dcterms:W3CDTF">2025-12-15T15:44:00Z</dcterms:modified>
</cp:coreProperties>
</file>