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Proposed Causal Model for X-Linked Adrenoleukodystrophy (ALD)</w:t>
      </w:r>
    </w:p>
    <w:p>
      <w:r>
        <w:t>This document summarizes a proposed causal model for X-linked adrenoleukodystrophy (ALD), intended for review by clinicians and researchers with domain expertise. The goal is to provide a mechanistically grounded but simplified structural causal model (SCM) that can be used to generate synthetic lipidomics datasets for method development and foundation-model pretraining.</w:t>
        <w:br/>
        <w:br/>
        <w:t>The model is not meant to capture every known detail of ALD biology; instead, it encodes key cause–effect relationships that are well supported by the literature and directly relevant to plasma very-long-chain fatty acids (VLCFA), lipidomics patterns, inflammation, and clinical severity.</w:t>
        <w:br/>
      </w:r>
    </w:p>
    <w:p>
      <w:pPr>
        <w:pStyle w:val="Heading2"/>
      </w:pPr>
      <w:r>
        <w:t>1. Node List</w:t>
      </w:r>
    </w:p>
    <w:p>
      <w:r>
        <w:t>Nodes are grouped into conceptual layers. Nodes marked as OBS are intended to appear as columns in synthetic datasets (e.g. age, sex, severity, lipid features). Nodes marked as LAT are latent variables used internally by the generator but not necessarily exposed as explicit features.</w:t>
      </w:r>
    </w:p>
    <w:p>
      <w:pPr>
        <w:pStyle w:val="Heading3"/>
      </w:pPr>
      <w:r>
        <w:t>1.1 Demographics / Background (Observed)</w:t>
      </w:r>
    </w:p>
    <w:p>
      <w:r>
        <w:rPr>
          <w:b/>
        </w:rPr>
        <w:t xml:space="preserve">sex (OBS): </w:t>
      </w:r>
      <w:r>
        <w:t>Biological sex (male, female). ALD is X-linked; males are hemizygous for ABCD1 and typically have full loss of function when carrying a pathogenic variant, whereas females are heterozygous and show mosaic expression due to X-chromosome inactivation. This has strong consequences for penetrance and severity patterns in ALD.</w:t>
        <w:br/>
      </w:r>
    </w:p>
    <w:p>
      <w:r>
        <w:rPr>
          <w:b/>
        </w:rPr>
        <w:t xml:space="preserve">age (OBS): </w:t>
      </w:r>
      <w:r>
        <w:t>Age at sampling (years). VLCFA accumulation and clinical manifestations depend on age; e.g. rapidly progressive childhood cerebral ALD (CALD) versus adult-onset adrenomyeloneuropathy (AMN).</w:t>
      </w:r>
    </w:p>
    <w:p>
      <w:pPr>
        <w:pStyle w:val="Heading3"/>
      </w:pPr>
      <w:r>
        <w:t>1.2 Genetics / ABCD1 Biology (Latent)</w:t>
      </w:r>
    </w:p>
    <w:p>
      <w:r>
        <w:rPr>
          <w:b/>
        </w:rPr>
        <w:t xml:space="preserve">ABCD1_mutation_severity (LAT): </w:t>
      </w:r>
      <w:r>
        <w:t>Latent variable representing the functional impact of the underlying ABCD1 variant(s), summarizing effect of mutation type and position on ALDP function, without modeling individual variants explicitly.</w:t>
      </w:r>
    </w:p>
    <w:p>
      <w:r>
        <w:rPr>
          <w:b/>
        </w:rPr>
        <w:t xml:space="preserve">ABCD1_effective_activity (LAT): </w:t>
      </w:r>
      <w:r>
        <w:t>Net residual ABCD1/ALDP activity at the cellular level, after combining genetic severity and sex-dependent effects (e.g. skewed X-inactivation in females). Lower values correspond to poorer peroxisomal VLCFA transport and β-oxidation capacity.</w:t>
      </w:r>
    </w:p>
    <w:p>
      <w:pPr>
        <w:pStyle w:val="Heading3"/>
      </w:pPr>
      <w:r>
        <w:t>1.3 VLCFA Metabolism (Latent)</w:t>
      </w:r>
    </w:p>
    <w:p>
      <w:r>
        <w:rPr>
          <w:b/>
        </w:rPr>
        <w:t xml:space="preserve">VLCFA_burden (LAT): </w:t>
      </w:r>
      <w:r>
        <w:t>Aggregate latent measure of very-long-chain fatty acid burden (e.g. C26:0, C24:0 and VLCFA/C22:0 ratios). It represents cumulative VLCFA accumulation in plasma and tissues rather than a single measured analyte.</w:t>
      </w:r>
    </w:p>
    <w:p>
      <w:pPr>
        <w:pStyle w:val="Heading3"/>
      </w:pPr>
      <w:r>
        <w:t>1.4 Metabolic &amp; Lipid Latent Factors</w:t>
      </w:r>
    </w:p>
    <w:p>
      <w:r>
        <w:rPr>
          <w:b/>
        </w:rPr>
        <w:t xml:space="preserve">metabolic_background (LAT): </w:t>
      </w:r>
      <w:r>
        <w:t>Captures general metabolic context such as BMI, insulin resistance, diet, and co-existing dyslipidemia. This node provides non–ALD-specific variation in lipid profiles.</w:t>
      </w:r>
    </w:p>
    <w:p>
      <w:r>
        <w:rPr>
          <w:b/>
        </w:rPr>
        <w:t xml:space="preserve">L_factor_VLCFA_LPC (LAT): </w:t>
      </w:r>
      <w:r>
        <w:t>Lipid factor driving VLCFA-related lysophosphatidylcholines, in particular LPC(26:0) and related species that incorporate VLCFA into LPC. Intended to explain coordinated movement of VLCFA-LPC species.</w:t>
      </w:r>
    </w:p>
    <w:p>
      <w:r>
        <w:rPr>
          <w:b/>
        </w:rPr>
        <w:t xml:space="preserve">L_factor_membrane_PC_PE (LAT): </w:t>
      </w:r>
      <w:r>
        <w:t>Membrane phospholipid factor affecting phosphatidylcholines (PC) and phosphatidylethanolamines (PE), which reflect changes in membrane composition and turnover.</w:t>
      </w:r>
    </w:p>
    <w:p>
      <w:r>
        <w:rPr>
          <w:b/>
        </w:rPr>
        <w:t xml:space="preserve">L_factor_ceramide_SM (LAT): </w:t>
      </w:r>
      <w:r>
        <w:t>Sphingomyelin/ceramide factor, capturing lipid alterations linked to myelin composition, axonal integrity, and cell-stress signaling.</w:t>
      </w:r>
    </w:p>
    <w:p>
      <w:r>
        <w:rPr>
          <w:b/>
        </w:rPr>
        <w:t xml:space="preserve">L_factor_storage_TG_CE (LAT): </w:t>
      </w:r>
      <w:r>
        <w:t>Neutral lipid storage factor, affecting triacylglycerols (TG) and cholesteryl esters (CE), which are influenced by both metabolic background and stress-related remodeling.</w:t>
      </w:r>
    </w:p>
    <w:p>
      <w:pPr>
        <w:pStyle w:val="Heading3"/>
      </w:pPr>
      <w:r>
        <w:t>1.5 Inflammation &amp; Damage (Latent)</w:t>
      </w:r>
    </w:p>
    <w:p>
      <w:r>
        <w:rPr>
          <w:b/>
        </w:rPr>
        <w:t xml:space="preserve">inflammation_factor (LAT): </w:t>
      </w:r>
      <w:r>
        <w:t>Latent neuroinflammatory activation, reflecting microglial and astrocytic activation, cytokine production, and innate immune responses within CNS white matter.</w:t>
      </w:r>
    </w:p>
    <w:p>
      <w:r>
        <w:rPr>
          <w:b/>
        </w:rPr>
        <w:t xml:space="preserve">demyelination_factor (LAT): </w:t>
      </w:r>
      <w:r>
        <w:t>Latent degree of white-matter myelin damage, driven by both VLCFA-related toxicity and inflammatory processes. Higher values correspond to more extensive cerebral demyelination.</w:t>
      </w:r>
    </w:p>
    <w:p>
      <w:pPr>
        <w:pStyle w:val="Heading3"/>
      </w:pPr>
      <w:r>
        <w:t>1.6 Clinical Outcome (Observed)</w:t>
      </w:r>
    </w:p>
    <w:p>
      <w:r>
        <w:rPr>
          <w:b/>
        </w:rPr>
        <w:t xml:space="preserve">severity (OBS): </w:t>
      </w:r>
      <w:r>
        <w:t>Clinical phenotype / severity class. In an initial implementation this can reflect categories such as control, mild, severe, or cerebral ALD (CALD), understood as a downstream result of demyelination, inflammation, age, and sex.</w:t>
      </w:r>
    </w:p>
    <w:p>
      <w:pPr>
        <w:pStyle w:val="Heading3"/>
      </w:pPr>
      <w:r>
        <w:t>1.7 Observed Lipidomics Features (Observed)</w:t>
      </w:r>
    </w:p>
    <w:p>
      <w:r>
        <w:rPr>
          <w:b/>
        </w:rPr>
        <w:t xml:space="preserve">lipid_1 … lipid_N (OBS): </w:t>
      </w:r>
      <w:r>
        <w:t>All lipidomics variables from the Jaspers et al. 2024 plasma dataset (after log transform and scaling). Each feature is modeled as a noisy function of one or more latent lipid factors, preserving class-level co-regulation while allowing feature-specific variation.</w:t>
      </w:r>
    </w:p>
    <w:p>
      <w:pPr>
        <w:pStyle w:val="Heading2"/>
      </w:pPr>
      <w:r>
        <w:t>2. Causal Edges and Biological Rationale</w:t>
      </w:r>
    </w:p>
    <w:p>
      <w:r>
        <w:t>Below each directed edge A → B is accompanied by a short rationale and representative references. The list is not exhaustive but aims to show that each relationship is consistent with current ALD pathophysiology and lipidomics evidence.</w:t>
      </w:r>
    </w:p>
    <w:p>
      <w:r>
        <w:rPr>
          <w:b/>
        </w:rPr>
        <w:t xml:space="preserve">sex → ABCD1_effective_activity: </w:t>
      </w:r>
      <w:r>
        <w:t>ALD is caused by ABCD1 mutations on the X-chromosome. Males (hemizygous) typically have full loss of ABCD1 function when carrying a pathogenic variant. Heterozygous females may have substantial residual function due to random or skewed X-inactivation, leading to mosaic expression of ABCD1 and variable clinical involvement. This motivates a direct influence of sex on effective ABCD1 activity.</w:t>
        <w:br/>
        <w:t>Representative references: Moser et al., Nat Clin Pract Neurol 2007; Kemp et al., Biochim Biophys Acta 2012; Maier et al., Ann Neurol 2002 (skewed X-inactivation in carriers).</w:t>
      </w:r>
    </w:p>
    <w:p>
      <w:r>
        <w:rPr>
          <w:b/>
        </w:rPr>
        <w:t xml:space="preserve">ABCD1_mutation_severity → ABCD1_effective_activity: </w:t>
      </w:r>
      <w:r>
        <w:t>Different ABCD1 mutations (nonsense, frameshift, missense at critical residues) have different impacts on protein stability and function. While genotype–phenotype correlation is imperfect at the clinical level, it is reasonable mechanistically that more disruptive variants reduce ABCD1 activity more strongly.</w:t>
        <w:br/>
        <w:t>Representative references: Moser et al., Nat Clin Pract Neurol 2007; Kemp et al., Biochim Biophys Acta 2012.</w:t>
      </w:r>
    </w:p>
    <w:p>
      <w:r>
        <w:rPr>
          <w:b/>
        </w:rPr>
        <w:t xml:space="preserve">ABCD1_effective_activity → VLCFA_burden: </w:t>
      </w:r>
      <w:r>
        <w:t>ABCD1 encodes a peroxisomal ATP-binding cassette transporter required for import of saturated VLCFA-CoA for peroxisomal β-oxidation. Reduced ABCD1 activity impairs peroxisomal VLCFA degradation and leads to accumulation of saturated VLCFA (particularly C26:0 and C24:0) in plasma and tissues.</w:t>
        <w:br/>
        <w:t>Representative references: Kemp et al., Biochim Biophys Acta 2012; Berger et al., J Inherit Metab Dis 2014; Honey et al., Molecular Biomarkers for ALD, 2021.</w:t>
      </w:r>
    </w:p>
    <w:p>
      <w:r>
        <w:rPr>
          <w:b/>
        </w:rPr>
        <w:t xml:space="preserve">age → VLCFA_burden: </w:t>
      </w:r>
      <w:r>
        <w:t>VLCFA accumulation is a chronic process. Cross-sectional and longitudinal studies show that VLCFA levels remain elevated over life and, in the absence of treatment, older individuals have had more time to accumulate VLCFA-related damage. This edge allows VLCFA_burden to increase with age for a given residual ABCD1 activity.</w:t>
        <w:br/>
        <w:t>Representative references: Engelen et al., Orphanet J Rare Dis 2012; Berger et al., 2014 review.</w:t>
      </w:r>
    </w:p>
    <w:p>
      <w:r>
        <w:rPr>
          <w:b/>
        </w:rPr>
        <w:t xml:space="preserve">metabolic_background → L_factor_membrane_PC_PE: </w:t>
      </w:r>
      <w:r>
        <w:t>General metabolic status (obesity, insulin resistance, dietary fat intake) influences membrane phospholipid composition and remodeling. This node allows PC/PE patterns to vary independently of ALD-specific VLCFA effects, introducing realistic non–ALD-related variation in phospholipids.</w:t>
        <w:br/>
        <w:t>Representative references: General lipidomics/metabolic syndrome literature; Honey et al., 2021 (discussion of lipid confounders in ALD biomarker work).</w:t>
      </w:r>
    </w:p>
    <w:p>
      <w:r>
        <w:rPr>
          <w:b/>
        </w:rPr>
        <w:t xml:space="preserve">metabolic_background → L_factor_storage_TG_CE: </w:t>
      </w:r>
      <w:r>
        <w:t>Neutral lipid storage in triacylglycerols and cholesteryl esters is strongly affected by metabolic background, including BMI and diet. This edge allows variation in TG/CE that is not purely driven by VLCFA burden.</w:t>
        <w:br/>
        <w:t>Representative references: General metabolic/lipidomics data; Kemp et al., 2012 (discussion of metabolic context).</w:t>
      </w:r>
    </w:p>
    <w:p>
      <w:r>
        <w:rPr>
          <w:b/>
        </w:rPr>
        <w:t xml:space="preserve">ABCD1_effective_activity → VLCFA_burden → L_factor_VLCFA_LPC: </w:t>
      </w:r>
      <w:r>
        <w:t>LPC(26:0) and related VLCFA-containing LPC species are robust biochemical markers of ALD and other peroxisomal β-oxidation disorders. Elevated VLCFA burden is reflected by increased VLCFA-LPC species in plasma and dried blood spots. The model captures this via VLCFA_burden driving a latent LPC factor.</w:t>
        <w:br/>
        <w:t>Representative references: Huffnagel et al., Mol Genet Metab 2017; Jaspers et al., Front Cell Dev Biol 2020; Morales-Romero et al., J Lipid Res 2024; Jaspers et al., Commun Med 2024.</w:t>
      </w:r>
    </w:p>
    <w:p>
      <w:r>
        <w:rPr>
          <w:b/>
        </w:rPr>
        <w:t xml:space="preserve">VLCFA_burden → L_factor_membrane_PC_PE: </w:t>
      </w:r>
      <w:r>
        <w:t>VLCFA are incorporated into complex lipids including phosphatidylcholines and phosphatidylethanolamines. ALD lipidomics studies show enrichment of VLCFA-containing PC species and broader shifts in phospholipid composition in patients with severe disease.</w:t>
        <w:br/>
        <w:t>Representative references: Jaspers et al., Commun Med 2024 (plasma lipidomic biomarkers); Honey et al., 2021.</w:t>
      </w:r>
    </w:p>
    <w:p>
      <w:r>
        <w:rPr>
          <w:b/>
        </w:rPr>
        <w:t xml:space="preserve">VLCFA_burden → L_factor_ceramide_SM: </w:t>
      </w:r>
      <w:r>
        <w:t>Myelin membranes are rich in sphingomyelin and ceramides. VLCFA accumulation and associated oxidative stress are linked to myelin damage and altered sphingolipid composition in ALD models and patient tissues. This edge allows VLCFA burden to modulate a latent ceramide/SM factor.</w:t>
        <w:br/>
        <w:t>Representative references: Berger et al., 2014; Yska et al., The Pathology of X-ALD 2024; Gong et al., Ann Neurol 2017.</w:t>
      </w:r>
    </w:p>
    <w:p>
      <w:r>
        <w:rPr>
          <w:b/>
        </w:rPr>
        <w:t xml:space="preserve">VLCFA_burden → L_factor_storage_TG_CE: </w:t>
      </w:r>
      <w:r>
        <w:t>Under cellular stress and altered fatty acid flux, neutral lipid droplets and CE/TG pools can remodel. This edge supports VLCFA-driven shifts in TG and CE species, in line with observations of broader lipid remodeling in ALD plasma and model systems.</w:t>
        <w:br/>
        <w:t>Representative references: Jaspers et al., Commun Med 2024; Montoro et al., J Inherit Metab Dis 2021.</w:t>
      </w:r>
    </w:p>
    <w:p>
      <w:r>
        <w:rPr>
          <w:b/>
        </w:rPr>
        <w:t xml:space="preserve">Each L_factor_* → individual lipid features: </w:t>
      </w:r>
      <w:r>
        <w:t>Each observed lipid species is modeled as a noisy function of one or more latent lipid factors. This enforces class-level co-regulation (e.g., LPC species moving together) while allowing feature-specific variability. It reflects the fact that many lipids are regulated together via shared pathways but are measured as separate analytes.</w:t>
      </w:r>
    </w:p>
    <w:p>
      <w:r>
        <w:rPr>
          <w:b/>
        </w:rPr>
        <w:t xml:space="preserve">VLCFA_burden → inflammation_factor: </w:t>
      </w:r>
      <w:r>
        <w:t>Excess VLCFA and their derivatives (including oxysterols such as 25-hydroxycholesterol) contribute to innate immune activation and inflammasome signaling in ALD models. While not all inflammatory activity is directly caused by VLCFA, there is strong evidence that lipid toxicity predisposes to microglial activation and inflammatory responses.</w:t>
        <w:br/>
        <w:t>Representative references: Jang et al., Nat Commun 2016; Gong et al., Ann Neurol 2017; Weinhofer et al., EBioMedicine 2023.</w:t>
      </w:r>
    </w:p>
    <w:p>
      <w:r>
        <w:rPr>
          <w:b/>
        </w:rPr>
        <w:t xml:space="preserve">L_factor_ceramide_SM → inflammation_factor: </w:t>
      </w:r>
      <w:r>
        <w:t>Ceramides and related sphingolipids are bioactive lipids that participate in inflammatory and apoptotic signaling pathways. Altered sphingolipid profiles in ALD may modulate inflammatory tone, justifying an edge from the ceramide/SM factor to inflammation.</w:t>
        <w:br/>
        <w:t>Representative references: General sphingolipid signaling literature; Yska et al., 2024 pathology review.</w:t>
      </w:r>
    </w:p>
    <w:p>
      <w:r>
        <w:rPr>
          <w:b/>
        </w:rPr>
        <w:t xml:space="preserve">L_factor_VLCFA_LPC → inflammation_factor: </w:t>
      </w:r>
      <w:r>
        <w:t>LPC species can act as signaling molecules that activate immune cells and endothelial cells. VLCFA-LPC increases in ALD may therefore contribute to local inflammatory activation, particularly at the blood–brain barrier.</w:t>
        <w:br/>
        <w:t>Representative references: Huffnagel et al., 2017; Morales-Romero et al., J Lipid Res 2024; Jaspers et al., 2020.</w:t>
      </w:r>
    </w:p>
    <w:p>
      <w:r>
        <w:rPr>
          <w:b/>
        </w:rPr>
        <w:t xml:space="preserve">VLCFA_burden → demyelination_factor: </w:t>
      </w:r>
      <w:r>
        <w:t>Accumulated saturated VLCFA are toxic to oligodendrocytes and myelin. Experimental models and pathology studies show that VLCFA accumulation predisposes to white-matter damage, with lesions in cerebral ALD showing profound VLCFA enrichment.</w:t>
        <w:br/>
        <w:t>Representative references: Berger et al., 2014; Yska et al., 2024; Montoro et al., 2021.</w:t>
      </w:r>
    </w:p>
    <w:p>
      <w:r>
        <w:rPr>
          <w:b/>
        </w:rPr>
        <w:t xml:space="preserve">inflammation_factor → demyelination_factor: </w:t>
      </w:r>
      <w:r>
        <w:t>Lesional pathology in cerebral ALD is characterized by intense microglial activation, macrophage infiltration, and inflammatory demyelination. Microglial dysfunction and apoptosis appear early in lesion evolution and are thought to drive myelin loss.</w:t>
        <w:br/>
        <w:t>Representative references: Eichler et al., Brain 2008; Gong et al., Ann Neurol 2017; Yska et al., 2024; Weinhofer et al., 2018.</w:t>
      </w:r>
    </w:p>
    <w:p>
      <w:r>
        <w:rPr>
          <w:b/>
        </w:rPr>
        <w:t xml:space="preserve">demyelination_factor → severity: </w:t>
      </w:r>
      <w:r>
        <w:t>The extent and location of cerebral demyelination are central determinants of clinical severity in cerebral ALD. Patients with large, actively enhancing lesions typically have rapidly progressive severe phenotypes.</w:t>
        <w:br/>
        <w:t>Representative references: Engelen et al., 2012; Imaging-focused reviews (e.g. Yska et al., 2024; Honey et al., 2021).</w:t>
      </w:r>
    </w:p>
    <w:p>
      <w:r>
        <w:rPr>
          <w:b/>
        </w:rPr>
        <w:t xml:space="preserve">inflammation_factor → severity: </w:t>
      </w:r>
      <w:r>
        <w:t>Inflammatory activity in cerebral ALD lesions correlates with lesion expansion and clinical decline. Biomarker studies suggest that innate immune activation and microglial damage precede or accompany lesion progression.</w:t>
        <w:br/>
        <w:t>Representative references: Weinhofer et al., EBioMedicine 2023; Gong et al., 2017; Eichler et al., 2008.</w:t>
      </w:r>
    </w:p>
    <w:p>
      <w:r>
        <w:rPr>
          <w:b/>
        </w:rPr>
        <w:t xml:space="preserve">age → severity: </w:t>
      </w:r>
      <w:r>
        <w:t>Phenotypic expression in ALD is strongly age-dependent: childhood cerebral ALD (CALD) is characterized by rapid inflammatory demyelination, whereas adult-onset AMN presents with slowly progressive myelopathy and may or may not develop cerebral involvement. Including an age → severity edge allows different age-related phenotype risks.</w:t>
        <w:br/>
        <w:t>Representative references: Engelen et al., Orphanet J Rare Dis 2012; Kemp et al., Biochim Biophys Acta 2012.</w:t>
      </w:r>
    </w:p>
    <w:p>
      <w:r>
        <w:rPr>
          <w:b/>
        </w:rPr>
        <w:t xml:space="preserve">sex → severity: </w:t>
      </w:r>
      <w:r>
        <w:t>Males with ABCD1 mutations have a high lifetime risk of developing severe phenotypes (CALD or AMN). Heterozygous females often show later-onset and milder myelopathy, with lower risk of childhood CALD. This justifies an edge from sex directly to severity, encoding sex-specific baseline risks.</w:t>
        <w:br/>
        <w:t>Representative references: Moser et al., 2007; Kemp et al., 2012; Engelen et al., 2012.</w:t>
      </w:r>
    </w:p>
    <w:p>
      <w:pPr>
        <w:pStyle w:val="Heading2"/>
      </w:pPr>
      <w:r>
        <w:t>3. Summary and Limitations</w:t>
      </w:r>
    </w:p>
    <w:p>
      <w:r>
        <w:t>This proposed causal model for ALD encodes the following high-level structure:</w:t>
        <w:br/>
        <w:t>• ABCD1 mutation and sex determine residual ABCD1 activity.</w:t>
        <w:br/>
        <w:t>• Residual ABCD1 activity and age determine a VLCFA burden latent variable.</w:t>
        <w:br/>
        <w:t>• VLCFA burden, together with metabolic background, shapes several latent lipid factors that drive the high-dimensional plasma lipidomics profile (including VLCFA-LPC, PC/PE, ceramides/SM, and TG/CE).</w:t>
        <w:br/>
        <w:t>• VLCFA burden and lipid factors contribute to a latent inflammation factor and, together with inflammatory activity, to a demyelination factor.</w:t>
        <w:br/>
        <w:t>• Age and sex, together with demyelination and inflammation, determine clinical severity.</w:t>
        <w:br/>
        <w:br/>
        <w:t>The model is intentionally simplified and uses latent variables (e.g., VLCFA_burden, inflammation_factor, lipid factors) to summarize complex underlying biology. It does not explicitly represent every known modifier (e.g., ABCD2 expression, environmental triggers, detailed cytokine networks), nor does it attempt to encode known uncertainties (e.g., incomplete genotype–phenotype correlation). Nevertheless, each proposed edge is consistent with current ALD reviews, pathological studies, and lipidomics data, and the structure is suitable for generating biologically plausible synthetic datasets.</w:t>
        <w:br/>
        <w:br/>
        <w:t>Feedback is particularly welcome on:</w:t>
        <w:br/>
        <w:t>• Missing nodes or edges that are crucial for representing ALD pathophysiology.</w:t>
        <w:br/>
        <w:t>• Edges that might be better modeled as indirect rather than direct.</w:t>
        <w:br/>
        <w:t>• The level of abstraction used for latent factors (too coarse or too detailed).</w:t>
        <w:br/>
      </w:r>
    </w:p>
    <w:p>
      <w:pPr>
        <w:pStyle w:val="Heading2"/>
      </w:pPr>
      <w:r>
        <w:t>4. Selected References</w:t>
      </w:r>
    </w:p>
    <w:p>
      <w:pPr>
        <w:pStyle w:val="ListNumber"/>
      </w:pPr>
      <w:r>
        <w:t>Moser HW, Mahmood A, Raymond GV. X-linked adrenoleukodystrophy. Nat Clin Pract Neurol. 2007;3(3):140–151.</w:t>
      </w:r>
    </w:p>
    <w:p>
      <w:pPr>
        <w:pStyle w:val="ListNumber"/>
      </w:pPr>
      <w:r>
        <w:t>Kemp S, Berger J, Aubourg P. X-linked adrenoleukodystrophy: clinical, metabolic, genetic and pathophysiological aspects. Biochim Biophys Acta. 2012;1822(9):1465–1474.</w:t>
      </w:r>
    </w:p>
    <w:p>
      <w:pPr>
        <w:pStyle w:val="ListNumber"/>
      </w:pPr>
      <w:r>
        <w:t>Berger J, Forss-Petter S, Eichler FS. Pathophysiology of X-linked adrenoleukodystrophy. J Inherit Metab Dis. 2014;37(3):447–463.</w:t>
      </w:r>
    </w:p>
    <w:p>
      <w:pPr>
        <w:pStyle w:val="ListNumber"/>
      </w:pPr>
      <w:r>
        <w:t>Engelen M et al. X-linked adrenoleukodystrophy (X-ALD): clinical presentation and guidelines for diagnosis, follow-up and management. Orphanet J Rare Dis. 2012;7:51.</w:t>
      </w:r>
    </w:p>
    <w:p>
      <w:pPr>
        <w:pStyle w:val="ListNumber"/>
      </w:pPr>
      <w:r>
        <w:t>Honey MIJ. Molecular biomarkers for adrenoleukodystrophy. PhD thesis, Amsterdam UMC, 2021.</w:t>
      </w:r>
    </w:p>
    <w:p>
      <w:pPr>
        <w:pStyle w:val="ListNumber"/>
      </w:pPr>
      <w:r>
        <w:t>Jaspers YRJ et al. Lipidomic biomarkers in plasma correlate with disease severity in adrenoleukodystrophy. Commun Med. 2024.</w:t>
      </w:r>
    </w:p>
    <w:p>
      <w:pPr>
        <w:pStyle w:val="ListNumber"/>
      </w:pPr>
      <w:r>
        <w:t>Jaspers YRJ et al. Comparison of C26:0-carnitine and C26:0-lysophosphatidylcholine as biomarkers for peroxisomal disorders. Front Cell Dev Biol. 2020;8:690.</w:t>
      </w:r>
    </w:p>
    <w:p>
      <w:pPr>
        <w:pStyle w:val="ListNumber"/>
      </w:pPr>
      <w:r>
        <w:t>Huffnagel IC et al. C26:0-lysophosphatidylcholine is a sensitive biomarker for X-linked adrenoleukodystrophy in women. Mol Genet Metab. 2017;120(3):266–274.</w:t>
      </w:r>
    </w:p>
    <w:p>
      <w:pPr>
        <w:pStyle w:val="ListNumber"/>
      </w:pPr>
      <w:r>
        <w:t>Morales-Romero B et al. Plasma C24:0- and C26:0-lysophosphatidylcholines are reliable biomarkers for the diagnosis of peroxisomal β-oxidation disorders. J Lipid Res. 2024.</w:t>
      </w:r>
    </w:p>
    <w:p>
      <w:pPr>
        <w:pStyle w:val="ListNumber"/>
      </w:pPr>
      <w:r>
        <w:t>Jang J et al. 25-hydroxycholesterol contributes to cerebral inflammation of X-linked adrenoleukodystrophy through activation of the NLRP3 inflammasome. Nat Commun. 2016;7:13129.</w:t>
      </w:r>
    </w:p>
    <w:p>
      <w:pPr>
        <w:pStyle w:val="ListNumber"/>
      </w:pPr>
      <w:r>
        <w:t>Gong Y et al. Microglial dysfunction as a key pathological change in adrenomyeloneuropathy. Ann Neurol. 2017;82(5):813–827.</w:t>
      </w:r>
    </w:p>
    <w:p>
      <w:pPr>
        <w:pStyle w:val="ListNumber"/>
      </w:pPr>
      <w:r>
        <w:t>Eichler F et al. Is microglial apoptosis an early pathogenic change in cerebral X-linked adrenoleukodystrophy? Ann Neurol. 2008;63(6):729–742.</w:t>
      </w:r>
    </w:p>
    <w:p>
      <w:pPr>
        <w:pStyle w:val="ListNumber"/>
      </w:pPr>
      <w:r>
        <w:t>Weinhofer I et al. Biomarker-based risk prediction for the onset of cerebral disease in X-linked adrenoleukodystrophy. EBioMedicine. 2023.</w:t>
      </w:r>
    </w:p>
    <w:p>
      <w:pPr>
        <w:pStyle w:val="ListNumber"/>
      </w:pPr>
      <w:r>
        <w:t>Yska HAF et al. The pathology of X-linked adrenoleukodystrophy: tissue studies and imaging. 2024.</w:t>
      </w:r>
    </w:p>
    <w:p>
      <w:pPr>
        <w:pStyle w:val="ListNumber"/>
      </w:pPr>
      <w:r>
        <w:t>Montoro RJ et al. Evolution of adrenoleukodystrophy model systems. J Inherit Metab Dis. 2021;44(3):550–566.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