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38C4" w14:textId="77777777" w:rsidR="00C621DB" w:rsidRPr="00C621DB" w:rsidRDefault="00C621DB" w:rsidP="00C621DB">
      <w:r w:rsidRPr="00C621DB">
        <w:t xml:space="preserve">The intrinsic evaluation of embedding quality in this study is based on carefully selected metrics that assess both the </w:t>
      </w:r>
      <w:r w:rsidRPr="00C621DB">
        <w:rPr>
          <w:b/>
          <w:bCs/>
        </w:rPr>
        <w:t>structural fidelity</w:t>
      </w:r>
      <w:r w:rsidRPr="00C621DB">
        <w:t xml:space="preserve"> and </w:t>
      </w:r>
      <w:r w:rsidRPr="00C621DB">
        <w:rPr>
          <w:b/>
          <w:bCs/>
        </w:rPr>
        <w:t>representational integrity</w:t>
      </w:r>
      <w:r w:rsidRPr="00C621DB">
        <w:t xml:space="preserve"> of reduced and expanded embeddings. For the dimensionality </w:t>
      </w:r>
      <w:r w:rsidRPr="00C621DB">
        <w:rPr>
          <w:b/>
          <w:bCs/>
        </w:rPr>
        <w:t>reduction</w:t>
      </w:r>
      <w:r w:rsidRPr="00C621DB">
        <w:t xml:space="preserve"> scenario, we use four well-established metrics: </w:t>
      </w:r>
      <w:r w:rsidRPr="00C621DB">
        <w:rPr>
          <w:b/>
          <w:bCs/>
        </w:rPr>
        <w:t>trustworthiness</w:t>
      </w:r>
      <w:r w:rsidRPr="00C621DB">
        <w:t xml:space="preserve">, </w:t>
      </w:r>
      <w:r w:rsidRPr="00C621DB">
        <w:rPr>
          <w:b/>
          <w:bCs/>
        </w:rPr>
        <w:t>k-nearest neighbor (KNN) preservation</w:t>
      </w:r>
      <w:r w:rsidRPr="00C621DB">
        <w:t xml:space="preserve">, </w:t>
      </w:r>
      <w:r w:rsidRPr="00C621DB">
        <w:rPr>
          <w:b/>
          <w:bCs/>
        </w:rPr>
        <w:t>pairwise distance MSE</w:t>
      </w:r>
      <w:r w:rsidRPr="00C621DB">
        <w:t xml:space="preserve">, and </w:t>
      </w:r>
      <w:r w:rsidRPr="00C621DB">
        <w:rPr>
          <w:b/>
          <w:bCs/>
        </w:rPr>
        <w:t>Shepard correlation</w:t>
      </w:r>
      <w:r w:rsidRPr="00C621DB">
        <w:t xml:space="preserve">. These metrics collectively capture how well the low-dimensional representation maintains local and global structure from the original feature space. Trustworthiness and KNN preservation focus on local neighborhood preservation, Shepard correlation assesses monotonicity in distances, while pairwise MSE penalizes distortion in the geometric layout of the data. For </w:t>
      </w:r>
      <w:r w:rsidRPr="00C621DB">
        <w:rPr>
          <w:b/>
          <w:bCs/>
        </w:rPr>
        <w:t>dimensionality expansion</w:t>
      </w:r>
      <w:r w:rsidRPr="00C621DB">
        <w:t xml:space="preserve">, the focus shifts to evaluating the structure introduced by additional dimensions. We use </w:t>
      </w:r>
      <w:r w:rsidRPr="00C621DB">
        <w:rPr>
          <w:b/>
          <w:bCs/>
        </w:rPr>
        <w:t>continuity</w:t>
      </w:r>
      <w:r w:rsidRPr="00C621DB">
        <w:t xml:space="preserve">, </w:t>
      </w:r>
      <w:r w:rsidRPr="00C621DB">
        <w:rPr>
          <w:b/>
          <w:bCs/>
        </w:rPr>
        <w:t>local intrinsic dimensionality (LID)</w:t>
      </w:r>
      <w:r w:rsidRPr="00C621DB">
        <w:t xml:space="preserve">, </w:t>
      </w:r>
      <w:r w:rsidRPr="00C621DB">
        <w:rPr>
          <w:b/>
          <w:bCs/>
        </w:rPr>
        <w:t>neighborhood hit rate (NHR)</w:t>
      </w:r>
      <w:r w:rsidRPr="00C621DB">
        <w:t xml:space="preserve">, and </w:t>
      </w:r>
      <w:r w:rsidRPr="00C621DB">
        <w:rPr>
          <w:b/>
          <w:bCs/>
        </w:rPr>
        <w:t>redundancy ratio</w:t>
      </w:r>
      <w:r w:rsidRPr="00C621DB">
        <w:t>. Continuity is the expansion analog of trustworthiness; LID estimates the complexity of the manifold at local scales; NHR reflects topological consistency; and redundancy ratio quantifies whether added dimensions provide new information or merely inflate the embedding.</w:t>
      </w:r>
    </w:p>
    <w:p w14:paraId="7A9F6847" w14:textId="77777777" w:rsidR="00C621DB" w:rsidRPr="00C621DB" w:rsidRDefault="00C621DB" w:rsidP="00C621DB">
      <w:r w:rsidRPr="00C621DB">
        <w:t xml:space="preserve">To ensure fair comparison, all metric values are normalized before analysis. Metrics that naturally lie within a [0, 1] range (e.g., trustworthiness, continuity) are retained as-is, while unbounded metrics such as pairwise MSE and LID are first inverted (since lower is better) and then scaled using </w:t>
      </w:r>
      <w:r w:rsidRPr="00C621DB">
        <w:rPr>
          <w:b/>
          <w:bCs/>
        </w:rPr>
        <w:t>Min-Max normalization</w:t>
      </w:r>
      <w:r w:rsidRPr="00C621DB">
        <w:t xml:space="preserve"> within each task (reduction or expansion) and per metric. This ensures that all metrics are aligned to a consistent interpretation — </w:t>
      </w:r>
      <w:r w:rsidRPr="00C621DB">
        <w:rPr>
          <w:b/>
          <w:bCs/>
        </w:rPr>
        <w:t>higher is always better</w:t>
      </w:r>
      <w:r w:rsidRPr="00C621DB">
        <w:t xml:space="preserve"> — and contributes equally to final scoring.</w:t>
      </w:r>
    </w:p>
    <w:p w14:paraId="50706B06" w14:textId="77777777" w:rsidR="00C621DB" w:rsidRPr="00C621DB" w:rsidRDefault="00C621DB" w:rsidP="00C621DB">
      <w:r w:rsidRPr="00C621DB">
        <w:t xml:space="preserve">The analysis itself is structured around several key comparative axes. First, we investigate how </w:t>
      </w:r>
      <w:r w:rsidRPr="00C621DB">
        <w:rPr>
          <w:b/>
          <w:bCs/>
        </w:rPr>
        <w:t>foundation models (FMs)</w:t>
      </w:r>
      <w:r w:rsidRPr="00C621DB">
        <w:t xml:space="preserve"> like TabNet, SAINT, and TransTab perform compared to </w:t>
      </w:r>
      <w:r w:rsidRPr="00C621DB">
        <w:rPr>
          <w:b/>
          <w:bCs/>
        </w:rPr>
        <w:t>traditional methods</w:t>
      </w:r>
      <w:r w:rsidRPr="00C621DB">
        <w:t xml:space="preserve"> like PCA, UMAP, and VAE. This is done by fixing a set of embedding dimensions (e.g., 8, 12, 16, 20) and averaging normalized scores per metric and dataset, allowing a direct comparison of methods under the same representational budget. The rationale here is to evaluate whether FMs — with their increased capacity and inductive bias — actually lead to structurally richer embeddings than simpler, classical techniques. We also analyze performance trends across </w:t>
      </w:r>
      <w:r w:rsidRPr="00C621DB">
        <w:rPr>
          <w:b/>
          <w:bCs/>
        </w:rPr>
        <w:t>embedding sizes</w:t>
      </w:r>
      <w:r w:rsidRPr="00C621DB">
        <w:t xml:space="preserve">, examining whether certain models plateau, improve, or degrade with higher dimensions. This is visualized through line plots and 3D surface or heatmap representations, helping to identify models that are robust or sensitive to dimensionality. Finally, by comparing results across datasets (CBC, Covid19, Iraq, Liverpool), we explore the </w:t>
      </w:r>
      <w:r w:rsidRPr="00C621DB">
        <w:rPr>
          <w:b/>
          <w:bCs/>
        </w:rPr>
        <w:t>dataset dependency</w:t>
      </w:r>
      <w:r w:rsidRPr="00C621DB">
        <w:t xml:space="preserve"> of embedding quality. This tells us whether a method is generally strong or only performs well under certain data regimes, such as tabular medical records or demographic data.</w:t>
      </w:r>
    </w:p>
    <w:p w14:paraId="5024E21B" w14:textId="66B9170E" w:rsidR="00FD6123" w:rsidRDefault="00C621DB" w:rsidP="00C621DB">
      <w:r w:rsidRPr="00C621DB">
        <w:t>These analytical points not only help identify the best-performing embedding methods but also uncover important characteristics like scalability, generalizability, and stability — all of which are critical for selecting embedding techniques for downstream machine learning tasks.</w:t>
      </w:r>
    </w:p>
    <w:sectPr w:rsidR="00FD6123" w:rsidSect="00D80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A2"/>
    <w:rsid w:val="000237A2"/>
    <w:rsid w:val="0010028C"/>
    <w:rsid w:val="004305A0"/>
    <w:rsid w:val="007D7C10"/>
    <w:rsid w:val="00C621DB"/>
    <w:rsid w:val="00C71172"/>
    <w:rsid w:val="00D80F6F"/>
    <w:rsid w:val="00FD6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8542"/>
  <w15:chartTrackingRefBased/>
  <w15:docId w15:val="{B8219AEE-C86D-43AB-9C04-6794F4B82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7A2"/>
    <w:rPr>
      <w:rFonts w:eastAsiaTheme="majorEastAsia" w:cstheme="majorBidi"/>
      <w:color w:val="272727" w:themeColor="text1" w:themeTint="D8"/>
    </w:rPr>
  </w:style>
  <w:style w:type="paragraph" w:styleId="Title">
    <w:name w:val="Title"/>
    <w:basedOn w:val="Normal"/>
    <w:next w:val="Normal"/>
    <w:link w:val="TitleChar"/>
    <w:uiPriority w:val="10"/>
    <w:qFormat/>
    <w:rsid w:val="0002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7A2"/>
    <w:pPr>
      <w:spacing w:before="160"/>
      <w:jc w:val="center"/>
    </w:pPr>
    <w:rPr>
      <w:i/>
      <w:iCs/>
      <w:color w:val="404040" w:themeColor="text1" w:themeTint="BF"/>
    </w:rPr>
  </w:style>
  <w:style w:type="character" w:customStyle="1" w:styleId="QuoteChar">
    <w:name w:val="Quote Char"/>
    <w:basedOn w:val="DefaultParagraphFont"/>
    <w:link w:val="Quote"/>
    <w:uiPriority w:val="29"/>
    <w:rsid w:val="000237A2"/>
    <w:rPr>
      <w:i/>
      <w:iCs/>
      <w:color w:val="404040" w:themeColor="text1" w:themeTint="BF"/>
    </w:rPr>
  </w:style>
  <w:style w:type="paragraph" w:styleId="ListParagraph">
    <w:name w:val="List Paragraph"/>
    <w:basedOn w:val="Normal"/>
    <w:uiPriority w:val="34"/>
    <w:qFormat/>
    <w:rsid w:val="000237A2"/>
    <w:pPr>
      <w:ind w:left="720"/>
      <w:contextualSpacing/>
    </w:pPr>
  </w:style>
  <w:style w:type="character" w:styleId="IntenseEmphasis">
    <w:name w:val="Intense Emphasis"/>
    <w:basedOn w:val="DefaultParagraphFont"/>
    <w:uiPriority w:val="21"/>
    <w:qFormat/>
    <w:rsid w:val="000237A2"/>
    <w:rPr>
      <w:i/>
      <w:iCs/>
      <w:color w:val="2F5496" w:themeColor="accent1" w:themeShade="BF"/>
    </w:rPr>
  </w:style>
  <w:style w:type="paragraph" w:styleId="IntenseQuote">
    <w:name w:val="Intense Quote"/>
    <w:basedOn w:val="Normal"/>
    <w:next w:val="Normal"/>
    <w:link w:val="IntenseQuoteChar"/>
    <w:uiPriority w:val="30"/>
    <w:qFormat/>
    <w:rsid w:val="0002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7A2"/>
    <w:rPr>
      <w:i/>
      <w:iCs/>
      <w:color w:val="2F5496" w:themeColor="accent1" w:themeShade="BF"/>
    </w:rPr>
  </w:style>
  <w:style w:type="character" w:styleId="IntenseReference">
    <w:name w:val="Intense Reference"/>
    <w:basedOn w:val="DefaultParagraphFont"/>
    <w:uiPriority w:val="32"/>
    <w:qFormat/>
    <w:rsid w:val="00023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48233">
      <w:bodyDiv w:val="1"/>
      <w:marLeft w:val="0"/>
      <w:marRight w:val="0"/>
      <w:marTop w:val="0"/>
      <w:marBottom w:val="0"/>
      <w:divBdr>
        <w:top w:val="none" w:sz="0" w:space="0" w:color="auto"/>
        <w:left w:val="none" w:sz="0" w:space="0" w:color="auto"/>
        <w:bottom w:val="none" w:sz="0" w:space="0" w:color="auto"/>
        <w:right w:val="none" w:sz="0" w:space="0" w:color="auto"/>
      </w:divBdr>
    </w:div>
    <w:div w:id="91994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Lotfian Delouee</dc:creator>
  <cp:keywords/>
  <dc:description/>
  <cp:lastModifiedBy>Majid Lotfian Delouee</cp:lastModifiedBy>
  <cp:revision>2</cp:revision>
  <dcterms:created xsi:type="dcterms:W3CDTF">2025-05-19T10:29:00Z</dcterms:created>
  <dcterms:modified xsi:type="dcterms:W3CDTF">2025-05-19T10:30:00Z</dcterms:modified>
</cp:coreProperties>
</file>