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600" w:lineRule="exact"/>
      </w:pPr>
    </w:p>
    <w:p>
      <w:pPr>
        <w:spacing w:after="0" w:before="0" w:line="600" w:lineRule="exact"/>
      </w:pPr>
    </w:p>
    <w:p>
      <w:pPr>
        <w:spacing w:after="0" w:before="0" w:line="600" w:lineRule="exact"/>
      </w:pPr>
    </w:p>
    <w:p>
      <w:pPr>
        <w:spacing w:after="0" w:before="0" w:line="600" w:lineRule="exact"/>
      </w:pPr>
    </w:p>
    <w:p>
      <w:pPr>
        <w:spacing w:after="0" w:before="0" w:line="600" w:lineRule="exact"/>
      </w:pPr>
    </w:p>
    <w:p>
      <w:pPr>
        <w:spacing w:after="80"/>
      </w:pPr>
      <w:r>
        <w:rPr>
          <w:b/>
          <w:i w:val="0"/>
          <w:color w:val="8497B0"/>
          <w:sz w:val="24"/>
        </w:rPr>
        <w:t>TRADE ERP</w:t>
      </w:r>
    </w:p>
    <w:p>
      <w:pPr>
        <w:pStyle w:val="Title"/>
        <w:pBdr>
          <w:bottom w:val="single" w:sz="12" w:space="8" w:color="1F3864"/>
        </w:pBdr>
        <w:spacing w:after="320"/>
      </w:pPr>
      <w:r>
        <w:rPr>
          <w:sz w:val="52"/>
        </w:rPr>
        <w:t>Trade ERP - Features and Upcoming</w:t>
      </w:r>
    </w:p>
    <w:p>
      <w:pPr>
        <w:spacing w:after="720"/>
      </w:pPr>
      <w:r>
        <w:rPr>
          <w:b w:val="0"/>
          <w:i w:val="0"/>
          <w:color w:val="44546A"/>
          <w:sz w:val="24"/>
        </w:rPr>
        <w:t>What the system does today, the reports it produces, and the features that are coming. Written for the business owner, the project team and the people who will use the system.</w:t>
      </w:r>
    </w:p>
    <w:tbl>
      <w:tblPr>
        <w:tblW w:type="dxa" w:w="737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2834"/>
        <w:gridCol w:w="4535"/>
      </w:tblGrid>
      <w:tr>
        <w:trPr>
          <w:cantSplit w:val="true"/>
        </w:trPr>
        <w:tc>
          <w:tcPr>
            <w:tcW w:type="dxa" w:w="2835"/>
            <w:shd w:val="clear" w:color="auto" w:fill="DCE6F2"/>
          </w:tcPr>
          <w:p>
            <w:pPr>
              <w:spacing w:after="20" w:line="240" w:lineRule="auto"/>
            </w:pPr>
            <w:r>
              <w:rPr>
                <w:b/>
                <w:i w:val="0"/>
                <w:color w:val="1F3864"/>
                <w:sz w:val="20"/>
              </w:rPr>
              <w:t>Client (first installation)</w:t>
            </w:r>
          </w:p>
        </w:tc>
        <w:tc>
          <w:tcPr>
            <w:tcW w:type="dxa" w:w="4535"/>
          </w:tcPr>
          <w:p>
            <w:pPr>
              <w:spacing w:after="20" w:line="240" w:lineRule="auto"/>
            </w:pPr>
            <w:r>
              <w:rPr>
                <w:b w:val="0"/>
                <w:i w:val="0"/>
                <w:sz w:val="20"/>
              </w:rPr>
              <w:t>NH FOODS, food trading, United Arab Emirates</w:t>
            </w:r>
          </w:p>
        </w:tc>
      </w:tr>
      <w:tr>
        <w:trPr>
          <w:cantSplit w:val="true"/>
        </w:trPr>
        <w:tc>
          <w:tcPr>
            <w:tcW w:type="dxa" w:w="2835"/>
            <w:shd w:val="clear" w:color="auto" w:fill="DCE6F2"/>
          </w:tcPr>
          <w:p>
            <w:pPr>
              <w:spacing w:after="20" w:line="240" w:lineRule="auto"/>
            </w:pPr>
            <w:r>
              <w:rPr>
                <w:b/>
                <w:i w:val="0"/>
                <w:color w:val="1F3864"/>
                <w:sz w:val="20"/>
              </w:rPr>
              <w:t>Status</w:t>
            </w:r>
          </w:p>
        </w:tc>
        <w:tc>
          <w:tcPr>
            <w:tcW w:type="dxa" w:w="4535"/>
          </w:tcPr>
          <w:p>
            <w:pPr>
              <w:spacing w:after="20" w:line="240" w:lineRule="auto"/>
            </w:pPr>
            <w:r>
              <w:rPr>
                <w:b w:val="0"/>
                <w:i w:val="0"/>
                <w:sz w:val="20"/>
              </w:rPr>
              <w:t>Draft for review</w:t>
            </w:r>
          </w:p>
        </w:tc>
      </w:tr>
      <w:tr>
        <w:trPr>
          <w:cantSplit w:val="true"/>
        </w:trPr>
        <w:tc>
          <w:tcPr>
            <w:tcW w:type="dxa" w:w="2835"/>
            <w:shd w:val="clear" w:color="auto" w:fill="DCE6F2"/>
          </w:tcPr>
          <w:p>
            <w:pPr>
              <w:spacing w:after="20" w:line="240" w:lineRule="auto"/>
            </w:pPr>
            <w:r>
              <w:rPr>
                <w:b/>
                <w:i w:val="0"/>
                <w:color w:val="1F3864"/>
                <w:sz w:val="20"/>
              </w:rPr>
              <w:t>Date</w:t>
            </w:r>
          </w:p>
        </w:tc>
        <w:tc>
          <w:tcPr>
            <w:tcW w:type="dxa" w:w="4535"/>
          </w:tcPr>
          <w:p>
            <w:pPr>
              <w:spacing w:after="20" w:line="240" w:lineRule="auto"/>
            </w:pPr>
            <w:r>
              <w:rPr>
                <w:b w:val="0"/>
                <w:i w:val="0"/>
                <w:sz w:val="20"/>
              </w:rPr>
              <w:t>5 October 2026</w:t>
            </w:r>
          </w:p>
        </w:tc>
      </w:tr>
      <w:tr>
        <w:trPr>
          <w:cantSplit w:val="true"/>
        </w:trPr>
        <w:tc>
          <w:tcPr>
            <w:tcW w:type="dxa" w:w="2835"/>
            <w:shd w:val="clear" w:color="auto" w:fill="DCE6F2"/>
          </w:tcPr>
          <w:p>
            <w:pPr>
              <w:spacing w:after="20" w:line="240" w:lineRule="auto"/>
            </w:pPr>
            <w:r>
              <w:rPr>
                <w:b/>
                <w:i w:val="0"/>
                <w:color w:val="1F3864"/>
                <w:sz w:val="20"/>
              </w:rPr>
              <w:t>Version</w:t>
            </w:r>
          </w:p>
        </w:tc>
        <w:tc>
          <w:tcPr>
            <w:tcW w:type="dxa" w:w="4535"/>
          </w:tcPr>
          <w:p>
            <w:pPr>
              <w:spacing w:after="20" w:line="240" w:lineRule="auto"/>
            </w:pPr>
            <w:r>
              <w:rPr>
                <w:b w:val="0"/>
                <w:i w:val="0"/>
                <w:sz w:val="20"/>
              </w:rPr>
              <w:t>0.1</w:t>
            </w:r>
          </w:p>
        </w:tc>
      </w:tr>
    </w:tbl>
    <w:p>
      <w:pPr>
        <w:spacing w:after="0" w:before="0" w:line="80" w:lineRule="exact"/>
      </w:pPr>
    </w:p>
    <w:p>
      <w:pPr>
        <w:pStyle w:val="Heading1"/>
        <w:pageBreakBefore/>
      </w:pPr>
      <w:r>
        <w:t>About this document</w:t>
      </w:r>
    </w:p>
    <w:p>
      <w:pPr>
        <w:spacing w:after="160"/>
      </w:pPr>
      <w:r>
        <w:rPr>
          <w:b w:val="0"/>
          <w:i w:val="0"/>
          <w:color w:val="44546A"/>
          <w:sz w:val="22"/>
        </w:rPr>
        <w:t>This document lists the features of Trade ERP, the reports it produces, and the features that are planned. It is short on purpose: the detail of each flow and each posting is in the two companion documents.</w:t>
      </w: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2040"/>
        <w:gridCol w:w="7596"/>
      </w:tblGrid>
      <w:tr>
        <w:trPr>
          <w:cantSplit w:val="true"/>
        </w:trPr>
        <w:tc>
          <w:tcPr>
            <w:tcW w:type="dxa" w:w="2041"/>
            <w:shd w:val="clear" w:color="auto" w:fill="DCE6F2"/>
          </w:tcPr>
          <w:p>
            <w:pPr>
              <w:spacing w:after="20" w:line="240" w:lineRule="auto"/>
            </w:pPr>
            <w:r>
              <w:rPr>
                <w:b/>
                <w:i w:val="0"/>
                <w:color w:val="1F3864"/>
                <w:sz w:val="18"/>
              </w:rPr>
              <w:t>Purpose</w:t>
            </w:r>
          </w:p>
        </w:tc>
        <w:tc>
          <w:tcPr>
            <w:tcW w:type="dxa" w:w="7597"/>
          </w:tcPr>
          <w:p>
            <w:pPr>
              <w:spacing w:after="20" w:line="240" w:lineRule="auto"/>
            </w:pPr>
            <w:r>
              <w:rPr>
                <w:b w:val="0"/>
                <w:i w:val="0"/>
                <w:sz w:val="18"/>
              </w:rPr>
              <w:t>To show what the system can do today and what is coming, so the owner can check it against the business and agree the order of the next work.</w:t>
            </w:r>
          </w:p>
        </w:tc>
      </w:tr>
      <w:tr>
        <w:trPr>
          <w:cantSplit w:val="true"/>
        </w:trPr>
        <w:tc>
          <w:tcPr>
            <w:tcW w:type="dxa" w:w="2041"/>
            <w:shd w:val="clear" w:color="auto" w:fill="DCE6F2"/>
          </w:tcPr>
          <w:p>
            <w:pPr>
              <w:spacing w:after="20" w:line="240" w:lineRule="auto"/>
            </w:pPr>
            <w:r>
              <w:rPr>
                <w:b/>
                <w:i w:val="0"/>
                <w:color w:val="1F3864"/>
                <w:sz w:val="18"/>
              </w:rPr>
              <w:t>Audience</w:t>
            </w:r>
          </w:p>
        </w:tc>
        <w:tc>
          <w:tcPr>
            <w:tcW w:type="dxa" w:w="7597"/>
          </w:tcPr>
          <w:p>
            <w:pPr>
              <w:spacing w:after="20" w:line="240" w:lineRule="auto"/>
            </w:pPr>
            <w:r>
              <w:rPr>
                <w:b w:val="0"/>
                <w:i w:val="0"/>
                <w:sz w:val="18"/>
              </w:rPr>
              <w:t>The business owner, the accountant, the operations lead and prospective users. It is written for people who are not programmers.</w:t>
            </w:r>
          </w:p>
        </w:tc>
      </w:tr>
      <w:tr>
        <w:trPr>
          <w:cantSplit w:val="true"/>
        </w:trPr>
        <w:tc>
          <w:tcPr>
            <w:tcW w:type="dxa" w:w="2041"/>
            <w:shd w:val="clear" w:color="auto" w:fill="DCE6F2"/>
          </w:tcPr>
          <w:p>
            <w:pPr>
              <w:spacing w:after="20" w:line="240" w:lineRule="auto"/>
            </w:pPr>
            <w:r>
              <w:rPr>
                <w:b/>
                <w:i w:val="0"/>
                <w:color w:val="1F3864"/>
                <w:sz w:val="18"/>
              </w:rPr>
              <w:t>Status and date</w:t>
            </w:r>
          </w:p>
        </w:tc>
        <w:tc>
          <w:tcPr>
            <w:tcW w:type="dxa" w:w="7597"/>
          </w:tcPr>
          <w:p>
            <w:pPr>
              <w:spacing w:after="20" w:line="240" w:lineRule="auto"/>
            </w:pPr>
            <w:r>
              <w:rPr>
                <w:b w:val="0"/>
                <w:i w:val="0"/>
                <w:sz w:val="18"/>
              </w:rPr>
              <w:t>Draft for review, 5 October 2026, version 0.1.</w:t>
            </w:r>
          </w:p>
        </w:tc>
      </w:tr>
      <w:tr>
        <w:trPr>
          <w:cantSplit w:val="true"/>
        </w:trPr>
        <w:tc>
          <w:tcPr>
            <w:tcW w:type="dxa" w:w="2041"/>
            <w:shd w:val="clear" w:color="auto" w:fill="DCE6F2"/>
          </w:tcPr>
          <w:p>
            <w:pPr>
              <w:spacing w:after="20" w:line="240" w:lineRule="auto"/>
            </w:pPr>
            <w:r>
              <w:rPr>
                <w:b/>
                <w:i w:val="0"/>
                <w:color w:val="1F3864"/>
                <w:sz w:val="18"/>
              </w:rPr>
              <w:t>Companion documents</w:t>
            </w:r>
          </w:p>
        </w:tc>
        <w:tc>
          <w:tcPr>
            <w:tcW w:type="dxa" w:w="7597"/>
          </w:tcPr>
          <w:p>
            <w:pPr>
              <w:spacing w:after="20" w:line="240" w:lineRule="auto"/>
            </w:pPr>
            <w:r>
              <w:rPr>
                <w:b w:val="0"/>
                <w:i w:val="0"/>
                <w:sz w:val="18"/>
              </w:rPr>
              <w:t>Trade ERP - Product Guide: Features, Flows, Reports and Roadmap (how each business flow works, screen by screen, with the limits). Trade ERP - Reports Logic and Account Mapping (the debit and credit entries of every posting and the logic of every report).</w:t>
            </w:r>
          </w:p>
        </w:tc>
      </w:tr>
      <w:tr>
        <w:trPr>
          <w:cantSplit w:val="true"/>
        </w:trPr>
        <w:tc>
          <w:tcPr>
            <w:tcW w:type="dxa" w:w="2041"/>
            <w:shd w:val="clear" w:color="auto" w:fill="DCE6F2"/>
          </w:tcPr>
          <w:p>
            <w:pPr>
              <w:spacing w:after="20" w:line="240" w:lineRule="auto"/>
            </w:pPr>
            <w:r>
              <w:rPr>
                <w:b/>
                <w:i w:val="0"/>
                <w:color w:val="1F3864"/>
                <w:sz w:val="18"/>
              </w:rPr>
              <w:t>Product name</w:t>
            </w:r>
          </w:p>
        </w:tc>
        <w:tc>
          <w:tcPr>
            <w:tcW w:type="dxa" w:w="7597"/>
          </w:tcPr>
          <w:p>
            <w:pPr>
              <w:spacing w:after="20" w:line="240" w:lineRule="auto"/>
            </w:pPr>
            <w:r>
              <w:rPr>
                <w:b w:val="0"/>
                <w:i w:val="0"/>
                <w:sz w:val="18"/>
              </w:rPr>
              <w:t>The product is named Zarvia. NH FOODS is the first client's brand and shows on the screens of that installation. A trademark search and the domain registrations are still to be done.</w:t>
            </w:r>
          </w:p>
        </w:tc>
      </w:tr>
      <w:tr>
        <w:trPr>
          <w:cantSplit w:val="true"/>
        </w:trPr>
        <w:tc>
          <w:tcPr>
            <w:tcW w:type="dxa" w:w="2041"/>
            <w:shd w:val="clear" w:color="auto" w:fill="DCE6F2"/>
          </w:tcPr>
          <w:p>
            <w:pPr>
              <w:spacing w:after="20" w:line="240" w:lineRule="auto"/>
            </w:pPr>
            <w:r>
              <w:rPr>
                <w:b/>
                <w:i w:val="0"/>
                <w:color w:val="1F3864"/>
                <w:sz w:val="18"/>
              </w:rPr>
              <w:t>How this was checked</w:t>
            </w:r>
          </w:p>
        </w:tc>
        <w:tc>
          <w:tcPr>
            <w:tcW w:type="dxa" w:w="7597"/>
          </w:tcPr>
          <w:p>
            <w:pPr>
              <w:spacing w:after="20" w:line="240" w:lineRule="auto"/>
            </w:pPr>
            <w:r>
              <w:rPr>
                <w:b w:val="0"/>
                <w:i w:val="0"/>
                <w:sz w:val="18"/>
              </w:rPr>
              <w:t>Against the program code on 5 October 2026. At that date the server tests (312) and the screen tests (1,053) passed, and the main flows were driven through a real browser: setting up the books, buying, selling, returns, receipts and cheques, opening balances, customers and vendors with KYC documents, currencies, the VAT return, Settings and the dashboard.</w:t>
            </w:r>
          </w:p>
        </w:tc>
      </w:tr>
    </w:tbl>
    <w:p>
      <w:pPr>
        <w:spacing w:after="0" w:before="0" w:line="80" w:lineRule="exact"/>
      </w:pPr>
    </w:p>
    <w:p>
      <w:pPr>
        <w:pStyle w:val="Heading3"/>
      </w:pPr>
      <w:r>
        <w:t>Status words</w:t>
      </w:r>
    </w:p>
    <w:p>
      <w:pPr>
        <w:keepNext/>
        <w:spacing w:after="60"/>
      </w:pPr>
      <w:r>
        <w:rPr>
          <w:b w:val="0"/>
          <w:i w:val="0"/>
        </w:rPr>
        <w:t>Every capability carries one of these words.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7256"/>
      </w:tblGrid>
      <w:tr>
        <w:trPr>
          <w:cantSplit w:val="true"/>
          <w:tblHeader w:val="true"/>
        </w:trPr>
        <w:tc>
          <w:tcPr>
            <w:tcW w:type="dxa" w:w="2381"/>
            <w:shd w:val="clear" w:color="auto" w:fill="1F3864"/>
            <w:vAlign w:val="center"/>
          </w:tcPr>
          <w:p>
            <w:pPr>
              <w:keepNext/>
              <w:spacing w:after="0" w:line="240" w:lineRule="auto"/>
            </w:pPr>
            <w:r>
              <w:rPr>
                <w:b/>
                <w:color w:val="FFFFFF"/>
                <w:sz w:val="17"/>
              </w:rPr>
              <w:t>Status</w:t>
            </w:r>
          </w:p>
        </w:tc>
        <w:tc>
          <w:tcPr>
            <w:tcW w:type="dxa" w:w="7257"/>
            <w:shd w:val="clear" w:color="auto" w:fill="1F3864"/>
            <w:vAlign w:val="center"/>
          </w:tcPr>
          <w:p>
            <w:pPr>
              <w:keepNext/>
              <w:spacing w:after="0" w:line="240" w:lineRule="auto"/>
            </w:pPr>
            <w:r>
              <w:rPr>
                <w:b/>
                <w:color w:val="FFFFFF"/>
                <w:sz w:val="17"/>
              </w:rPr>
              <w:t>Meaning</w:t>
            </w:r>
          </w:p>
        </w:tc>
      </w:tr>
      <w:tr>
        <w:trPr>
          <w:cantSplit w:val="true"/>
        </w:trPr>
        <w:tc>
          <w:tcPr>
            <w:tcW w:type="dxa" w:w="2381"/>
            <w:shd w:val="clear" w:color="auto" w:fill="C9D6E8"/>
            <w:vAlign w:val="top"/>
          </w:tcPr>
          <w:p>
            <w:pPr>
              <w:spacing w:after="20" w:line="240" w:lineRule="auto"/>
            </w:pPr>
            <w:r>
              <w:rPr>
                <w:b/>
                <w:i w:val="0"/>
                <w:sz w:val="17"/>
              </w:rPr>
              <w:t>Available</w:t>
            </w:r>
          </w:p>
        </w:tc>
        <w:tc>
          <w:tcPr>
            <w:tcW w:type="dxa" w:w="7257"/>
            <w:vAlign w:val="top"/>
          </w:tcPr>
          <w:p>
            <w:pPr>
              <w:spacing w:after="20" w:line="240" w:lineRule="auto"/>
            </w:pPr>
            <w:r>
              <w:rPr>
                <w:b w:val="0"/>
                <w:i w:val="0"/>
                <w:sz w:val="17"/>
              </w:rPr>
              <w:t>Built, reachable from the menu and working on the company's own data.</w:t>
            </w:r>
          </w:p>
        </w:tc>
      </w:tr>
      <w:tr>
        <w:trPr>
          <w:cantSplit w:val="true"/>
        </w:trPr>
        <w:tc>
          <w:tcPr>
            <w:tcW w:type="dxa" w:w="2381"/>
            <w:shd w:val="clear" w:color="auto" w:fill="DEE6F1"/>
            <w:vAlign w:val="top"/>
          </w:tcPr>
          <w:p>
            <w:pPr>
              <w:spacing w:after="20" w:line="240" w:lineRule="auto"/>
            </w:pPr>
            <w:r>
              <w:rPr>
                <w:b/>
                <w:i w:val="0"/>
                <w:sz w:val="17"/>
              </w:rPr>
              <w:t>Available (sandbox)</w:t>
            </w:r>
          </w:p>
        </w:tc>
        <w:tc>
          <w:tcPr>
            <w:tcW w:type="dxa" w:w="7257"/>
            <w:vAlign w:val="top"/>
          </w:tcPr>
          <w:p>
            <w:pPr>
              <w:spacing w:after="20" w:line="240" w:lineRule="auto"/>
            </w:pPr>
            <w:r>
              <w:rPr>
                <w:b w:val="0"/>
                <w:i w:val="0"/>
                <w:sz w:val="17"/>
              </w:rPr>
              <w:t>Built and working against a built-in test provider. The connection to the outside service is not made.</w:t>
            </w:r>
          </w:p>
        </w:tc>
      </w:tr>
      <w:tr>
        <w:trPr>
          <w:cantSplit w:val="true"/>
        </w:trPr>
        <w:tc>
          <w:tcPr>
            <w:tcW w:type="dxa" w:w="2381"/>
            <w:shd w:val="clear" w:color="auto" w:fill="F4F4F4"/>
            <w:vAlign w:val="top"/>
          </w:tcPr>
          <w:p>
            <w:pPr>
              <w:spacing w:after="20" w:line="240" w:lineRule="auto"/>
            </w:pPr>
            <w:r>
              <w:rPr>
                <w:b/>
                <w:i w:val="0"/>
                <w:sz w:val="17"/>
              </w:rPr>
              <w:t>Planned</w:t>
            </w:r>
          </w:p>
        </w:tc>
        <w:tc>
          <w:tcPr>
            <w:tcW w:type="dxa" w:w="7257"/>
            <w:vAlign w:val="top"/>
          </w:tcPr>
          <w:p>
            <w:pPr>
              <w:spacing w:after="20" w:line="240" w:lineRule="auto"/>
            </w:pPr>
            <w:r>
              <w:rPr>
                <w:b w:val="0"/>
                <w:i w:val="0"/>
                <w:sz w:val="17"/>
              </w:rPr>
              <w:t>Not built. Listed so the team can agree the order of work.</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Planned does not mean promised for a date. This document gives an order for approval, not a schedule.</w:t>
            </w:r>
          </w:p>
        </w:tc>
      </w:tr>
    </w:tbl>
    <w:p>
      <w:pPr>
        <w:spacing w:after="0" w:before="0" w:line="80" w:lineRule="exact"/>
      </w:pPr>
    </w:p>
    <w:p>
      <w:pPr>
        <w:pageBreakBefore/>
        <w:pBdr>
          <w:bottom w:val="single" w:sz="8" w:space="3" w:color="1F3864"/>
        </w:pBdr>
        <w:spacing w:after="200"/>
      </w:pPr>
      <w:r>
        <w:rPr>
          <w:b/>
          <w:i w:val="0"/>
          <w:color w:val="1F3864"/>
          <w:sz w:val="34"/>
        </w:rPr>
        <w:t>Contents</w:t>
      </w:r>
    </w:p>
    <w:p>
      <w:r>
        <w:rPr>
          <w:color w:val="44546A"/>
          <w:sz w:val="20"/>
        </w:rPr>
        <w:fldChar w:fldCharType="begin"/>
      </w:r>
      <w:r>
        <w:rPr>
          <w:color w:val="44546A"/>
          <w:sz w:val="20"/>
        </w:rPr>
        <w:instrText xml:space="preserve"> TOC \o "1-2" \h \z \u </w:instrText>
      </w:r>
      <w:r>
        <w:rPr>
          <w:color w:val="44546A"/>
          <w:sz w:val="20"/>
        </w:rPr>
        <w:fldChar w:fldCharType="separate"/>
      </w:r>
      <w:r>
        <w:rPr>
          <w:color w:val="44546A"/>
          <w:sz w:val="20"/>
        </w:rPr>
        <w:t>The full table of contents appears here when the document is opened in Word and the fields are updated (press F9 if it does not).</w:t>
      </w:r>
      <w:r>
        <w:rPr>
          <w:color w:val="44546A"/>
          <w:sz w:val="20"/>
        </w:rPr>
        <w:fldChar w:fldCharType="end"/>
      </w:r>
    </w:p>
    <w:p>
      <w:pPr>
        <w:spacing w:after="0" w:before="0" w:line="200" w:lineRule="exact"/>
      </w:pPr>
    </w:p>
    <w:p>
      <w:pPr>
        <w:keepNext/>
      </w:pPr>
      <w:r>
        <w:rPr>
          <w:b/>
          <w:i w:val="0"/>
          <w:color w:val="1F3864"/>
          <w:sz w:val="24"/>
        </w:rPr>
        <w:t>Main sections</w:t>
      </w:r>
    </w:p>
    <w:p>
      <w:pPr>
        <w:spacing w:after="40"/>
        <w:ind w:left="227"/>
      </w:pPr>
      <w:r>
        <w:rPr>
          <w:b w:val="0"/>
          <w:i w:val="0"/>
          <w:sz w:val="21"/>
        </w:rPr>
        <w:t>1. The system at a glance</w:t>
      </w:r>
    </w:p>
    <w:p>
      <w:pPr>
        <w:spacing w:after="40"/>
        <w:ind w:left="227"/>
      </w:pPr>
      <w:r>
        <w:rPr>
          <w:b w:val="0"/>
          <w:i w:val="0"/>
          <w:sz w:val="21"/>
        </w:rPr>
        <w:t>2. Features by module</w:t>
      </w:r>
    </w:p>
    <w:p>
      <w:pPr>
        <w:spacing w:after="40"/>
        <w:ind w:left="227"/>
      </w:pPr>
      <w:r>
        <w:rPr>
          <w:b w:val="0"/>
          <w:i w:val="0"/>
          <w:sz w:val="21"/>
        </w:rPr>
        <w:t>3. Reports</w:t>
      </w:r>
    </w:p>
    <w:p>
      <w:pPr>
        <w:spacing w:after="40"/>
        <w:ind w:left="227"/>
      </w:pPr>
      <w:r>
        <w:rPr>
          <w:b w:val="0"/>
          <w:i w:val="0"/>
          <w:sz w:val="21"/>
        </w:rPr>
        <w:t>4. Controls built into the system</w:t>
      </w:r>
    </w:p>
    <w:p>
      <w:pPr>
        <w:spacing w:after="40"/>
        <w:ind w:left="227"/>
      </w:pPr>
      <w:r>
        <w:rPr>
          <w:b w:val="0"/>
          <w:i w:val="0"/>
          <w:sz w:val="21"/>
        </w:rPr>
        <w:t>5. Upcoming features</w:t>
      </w:r>
    </w:p>
    <w:p>
      <w:pPr>
        <w:spacing w:after="40"/>
        <w:ind w:left="227"/>
      </w:pPr>
      <w:r>
        <w:rPr>
          <w:b w:val="0"/>
          <w:i w:val="0"/>
          <w:sz w:val="21"/>
        </w:rPr>
        <w:t>6. Decisions needed</w:t>
      </w:r>
    </w:p>
    <w:p>
      <w:pPr>
        <w:spacing w:after="40"/>
        <w:ind w:left="227"/>
      </w:pPr>
      <w:r>
        <w:rPr>
          <w:b w:val="0"/>
          <w:i w:val="0"/>
          <w:sz w:val="21"/>
        </w:rPr>
        <w:t>7. Limits to know today</w:t>
      </w:r>
    </w:p>
    <w:p>
      <w:pPr>
        <w:pStyle w:val="Heading1"/>
        <w:pageBreakBefore/>
      </w:pPr>
      <w:r>
        <w:t>1. The system at a glance</w:t>
      </w:r>
    </w:p>
    <w:p>
      <w:pPr>
        <w:spacing w:after="160"/>
      </w:pPr>
      <w:r>
        <w:rPr>
          <w:b w:val="0"/>
          <w:i w:val="0"/>
          <w:color w:val="44546A"/>
          <w:sz w:val="22"/>
        </w:rPr>
        <w:t>Trade ERP runs a trading company from the purchase order to the balance sheet: buying, stock with expiry, selling, money in and out, UAE VAT and the books. Every approved document and every voucher posts to one set of books, so each report is read from the same place and agrees with the others.</w:t>
      </w:r>
    </w:p>
    <w:p>
      <w:pPr>
        <w:pStyle w:val="Heading2"/>
      </w:pPr>
      <w:r>
        <w:t>1.1 Headline features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7256"/>
      </w:tblGrid>
      <w:tr>
        <w:trPr>
          <w:cantSplit w:val="true"/>
          <w:tblHeader w:val="true"/>
        </w:trPr>
        <w:tc>
          <w:tcPr>
            <w:tcW w:type="dxa" w:w="2381"/>
            <w:shd w:val="clear" w:color="auto" w:fill="1F3864"/>
            <w:vAlign w:val="center"/>
          </w:tcPr>
          <w:p>
            <w:pPr>
              <w:keepNext/>
              <w:spacing w:after="0" w:line="240" w:lineRule="auto"/>
            </w:pPr>
            <w:r>
              <w:rPr>
                <w:b/>
                <w:color w:val="FFFFFF"/>
                <w:sz w:val="17"/>
              </w:rPr>
              <w:t>Feature</w:t>
            </w:r>
          </w:p>
        </w:tc>
        <w:tc>
          <w:tcPr>
            <w:tcW w:type="dxa" w:w="7257"/>
            <w:shd w:val="clear" w:color="auto" w:fill="1F3864"/>
            <w:vAlign w:val="center"/>
          </w:tcPr>
          <w:p>
            <w:pPr>
              <w:keepNext/>
              <w:spacing w:after="0" w:line="240" w:lineRule="auto"/>
            </w:pPr>
            <w:r>
              <w:rPr>
                <w:b/>
                <w:color w:val="FFFFFF"/>
                <w:sz w:val="17"/>
              </w:rPr>
              <w:t>What it means for the business</w:t>
            </w:r>
          </w:p>
        </w:tc>
      </w:tr>
      <w:tr>
        <w:trPr>
          <w:cantSplit w:val="true"/>
        </w:trPr>
        <w:tc>
          <w:tcPr>
            <w:tcW w:type="dxa" w:w="2381"/>
            <w:vAlign w:val="top"/>
          </w:tcPr>
          <w:p>
            <w:pPr>
              <w:spacing w:after="20" w:line="240" w:lineRule="auto"/>
            </w:pPr>
            <w:r>
              <w:rPr>
                <w:b/>
                <w:i w:val="0"/>
                <w:sz w:val="17"/>
              </w:rPr>
              <w:t>One set of books</w:t>
            </w:r>
          </w:p>
        </w:tc>
        <w:tc>
          <w:tcPr>
            <w:tcW w:type="dxa" w:w="7257"/>
            <w:vAlign w:val="top"/>
          </w:tcPr>
          <w:p>
            <w:pPr>
              <w:spacing w:after="20" w:line="240" w:lineRule="auto"/>
            </w:pPr>
            <w:r>
              <w:rPr>
                <w:b w:val="0"/>
                <w:i w:val="0"/>
                <w:sz w:val="17"/>
              </w:rPr>
              <w:t>Orders, receipts, payments, journals and stock events all post to one chart of accounts. Nothing is kept in a side ledger, so the reports always agree.</w:t>
            </w:r>
          </w:p>
        </w:tc>
      </w:tr>
      <w:tr>
        <w:trPr>
          <w:cantSplit w:val="true"/>
        </w:trPr>
        <w:tc>
          <w:tcPr>
            <w:tcW w:type="dxa" w:w="2381"/>
            <w:shd w:val="clear" w:color="auto" w:fill="F3F6FA"/>
            <w:vAlign w:val="top"/>
          </w:tcPr>
          <w:p>
            <w:pPr>
              <w:spacing w:after="20" w:line="240" w:lineRule="auto"/>
            </w:pPr>
            <w:r>
              <w:rPr>
                <w:b/>
                <w:i w:val="0"/>
                <w:sz w:val="17"/>
              </w:rPr>
              <w:t>No guessed accounts</w:t>
            </w:r>
          </w:p>
        </w:tc>
        <w:tc>
          <w:tcPr>
            <w:tcW w:type="dxa" w:w="7257"/>
            <w:shd w:val="clear" w:color="auto" w:fill="F3F6FA"/>
            <w:vAlign w:val="top"/>
          </w:tcPr>
          <w:p>
            <w:pPr>
              <w:spacing w:after="20" w:line="240" w:lineRule="auto"/>
            </w:pPr>
            <w:r>
              <w:rPr>
                <w:b w:val="0"/>
                <w:i w:val="0"/>
                <w:sz w:val="17"/>
              </w:rPr>
              <w:t>Every posting uses an account that has been mapped on purpose. If one is missing, the system stops and says which.</w:t>
            </w:r>
          </w:p>
        </w:tc>
      </w:tr>
      <w:tr>
        <w:trPr>
          <w:cantSplit w:val="true"/>
        </w:trPr>
        <w:tc>
          <w:tcPr>
            <w:tcW w:type="dxa" w:w="2381"/>
            <w:vAlign w:val="top"/>
          </w:tcPr>
          <w:p>
            <w:pPr>
              <w:spacing w:after="20" w:line="240" w:lineRule="auto"/>
            </w:pPr>
            <w:r>
              <w:rPr>
                <w:b/>
                <w:i w:val="0"/>
                <w:sz w:val="17"/>
              </w:rPr>
              <w:t>Stock with cost and expiry</w:t>
            </w:r>
          </w:p>
        </w:tc>
        <w:tc>
          <w:tcPr>
            <w:tcW w:type="dxa" w:w="7257"/>
            <w:vAlign w:val="top"/>
          </w:tcPr>
          <w:p>
            <w:pPr>
              <w:spacing w:after="20" w:line="240" w:lineRule="auto"/>
            </w:pPr>
            <w:r>
              <w:rPr>
                <w:b w:val="0"/>
                <w:i w:val="0"/>
                <w:sz w:val="17"/>
              </w:rPr>
              <w:t>Weighted average cost, batches, first-expiry-first-out issue, write-off of expired stock, and a stock valuation that reconciles to the Inventory account.</w:t>
            </w:r>
          </w:p>
        </w:tc>
      </w:tr>
      <w:tr>
        <w:trPr>
          <w:cantSplit w:val="true"/>
        </w:trPr>
        <w:tc>
          <w:tcPr>
            <w:tcW w:type="dxa" w:w="2381"/>
            <w:shd w:val="clear" w:color="auto" w:fill="F3F6FA"/>
            <w:vAlign w:val="top"/>
          </w:tcPr>
          <w:p>
            <w:pPr>
              <w:spacing w:after="20" w:line="240" w:lineRule="auto"/>
            </w:pPr>
            <w:r>
              <w:rPr>
                <w:b/>
                <w:i w:val="0"/>
                <w:sz w:val="17"/>
              </w:rPr>
              <w:t>UAE VAT built in</w:t>
            </w:r>
          </w:p>
        </w:tc>
        <w:tc>
          <w:tcPr>
            <w:tcW w:type="dxa" w:w="7257"/>
            <w:shd w:val="clear" w:color="auto" w:fill="F3F6FA"/>
            <w:vAlign w:val="top"/>
          </w:tcPr>
          <w:p>
            <w:pPr>
              <w:spacing w:after="20" w:line="240" w:lineRule="auto"/>
            </w:pPr>
            <w:r>
              <w:rPr>
                <w:b w:val="0"/>
                <w:i w:val="0"/>
                <w:sz w:val="17"/>
              </w:rPr>
              <w:t>Tax codes with rate history and a live VAT 201 return built from the approved documents, saved, finalised and filed.</w:t>
            </w:r>
          </w:p>
        </w:tc>
      </w:tr>
      <w:tr>
        <w:trPr>
          <w:cantSplit w:val="true"/>
        </w:trPr>
        <w:tc>
          <w:tcPr>
            <w:tcW w:type="dxa" w:w="2381"/>
            <w:vAlign w:val="top"/>
          </w:tcPr>
          <w:p>
            <w:pPr>
              <w:spacing w:after="20" w:line="240" w:lineRule="auto"/>
            </w:pPr>
            <w:r>
              <w:rPr>
                <w:b/>
                <w:i w:val="0"/>
                <w:sz w:val="17"/>
              </w:rPr>
              <w:t>Credit control</w:t>
            </w:r>
          </w:p>
        </w:tc>
        <w:tc>
          <w:tcPr>
            <w:tcW w:type="dxa" w:w="7257"/>
            <w:vAlign w:val="top"/>
          </w:tcPr>
          <w:p>
            <w:pPr>
              <w:spacing w:after="20" w:line="240" w:lineRule="auto"/>
            </w:pPr>
            <w:r>
              <w:rPr>
                <w:b w:val="0"/>
                <w:i w:val="0"/>
                <w:sz w:val="17"/>
              </w:rPr>
              <w:t>A credit limit per customer that can warn or block when a sale would exceed it.</w:t>
            </w:r>
          </w:p>
        </w:tc>
      </w:tr>
      <w:tr>
        <w:trPr>
          <w:cantSplit w:val="true"/>
        </w:trPr>
        <w:tc>
          <w:tcPr>
            <w:tcW w:type="dxa" w:w="2381"/>
            <w:shd w:val="clear" w:color="auto" w:fill="F3F6FA"/>
            <w:vAlign w:val="top"/>
          </w:tcPr>
          <w:p>
            <w:pPr>
              <w:spacing w:after="20" w:line="240" w:lineRule="auto"/>
            </w:pPr>
            <w:r>
              <w:rPr>
                <w:b/>
                <w:i w:val="0"/>
                <w:sz w:val="17"/>
              </w:rPr>
              <w:t>Five payment modes</w:t>
            </w:r>
          </w:p>
        </w:tc>
        <w:tc>
          <w:tcPr>
            <w:tcW w:type="dxa" w:w="7257"/>
            <w:shd w:val="clear" w:color="auto" w:fill="F3F6FA"/>
            <w:vAlign w:val="top"/>
          </w:tcPr>
          <w:p>
            <w:pPr>
              <w:spacing w:after="20" w:line="240" w:lineRule="auto"/>
            </w:pPr>
            <w:r>
              <w:rPr>
                <w:b w:val="0"/>
                <w:i w:val="0"/>
                <w:sz w:val="17"/>
              </w:rPr>
              <w:t>Cash, bank, transfer, cheque and card, with a cheque register and card fees. Foreign-currency receipts and payments are converted to dirhams at the voucher rate.</w:t>
            </w:r>
          </w:p>
        </w:tc>
      </w:tr>
      <w:tr>
        <w:trPr>
          <w:cantSplit w:val="true"/>
        </w:trPr>
        <w:tc>
          <w:tcPr>
            <w:tcW w:type="dxa" w:w="2381"/>
            <w:vAlign w:val="top"/>
          </w:tcPr>
          <w:p>
            <w:pPr>
              <w:spacing w:after="20" w:line="240" w:lineRule="auto"/>
            </w:pPr>
            <w:r>
              <w:rPr>
                <w:b/>
                <w:i w:val="0"/>
                <w:sz w:val="17"/>
              </w:rPr>
              <w:t>Parties with KYC</w:t>
            </w:r>
          </w:p>
        </w:tc>
        <w:tc>
          <w:tcPr>
            <w:tcW w:type="dxa" w:w="7257"/>
            <w:vAlign w:val="top"/>
          </w:tcPr>
          <w:p>
            <w:pPr>
              <w:spacing w:after="20" w:line="240" w:lineRule="auto"/>
            </w:pPr>
            <w:r>
              <w:rPr>
                <w:b w:val="0"/>
                <w:i w:val="0"/>
                <w:sz w:val="17"/>
              </w:rPr>
              <w:t>Customers and vendors carry VAT details, credit, contacts, banks and KYC documents with expiry flags; their ledger accounts are created with them.</w:t>
            </w:r>
          </w:p>
        </w:tc>
      </w:tr>
      <w:tr>
        <w:trPr>
          <w:cantSplit w:val="true"/>
        </w:trPr>
        <w:tc>
          <w:tcPr>
            <w:tcW w:type="dxa" w:w="2381"/>
            <w:shd w:val="clear" w:color="auto" w:fill="F3F6FA"/>
            <w:vAlign w:val="top"/>
          </w:tcPr>
          <w:p>
            <w:pPr>
              <w:spacing w:after="20" w:line="240" w:lineRule="auto"/>
            </w:pPr>
            <w:r>
              <w:rPr>
                <w:b/>
                <w:i w:val="0"/>
                <w:sz w:val="17"/>
              </w:rPr>
              <w:t>Go-live in one place</w:t>
            </w:r>
          </w:p>
        </w:tc>
        <w:tc>
          <w:tcPr>
            <w:tcW w:type="dxa" w:w="7257"/>
            <w:shd w:val="clear" w:color="auto" w:fill="F3F6FA"/>
            <w:vAlign w:val="top"/>
          </w:tcPr>
          <w:p>
            <w:pPr>
              <w:spacing w:after="20" w:line="240" w:lineRule="auto"/>
            </w:pPr>
            <w:r>
              <w:rPr>
                <w:b w:val="0"/>
                <w:i w:val="0"/>
                <w:sz w:val="17"/>
              </w:rPr>
              <w:t>Opening balances for accounts, customer and vendor invoices and stock, entered and reviewed in six steps.</w:t>
            </w:r>
          </w:p>
        </w:tc>
      </w:tr>
      <w:tr>
        <w:trPr>
          <w:cantSplit w:val="true"/>
        </w:trPr>
        <w:tc>
          <w:tcPr>
            <w:tcW w:type="dxa" w:w="2381"/>
            <w:vAlign w:val="top"/>
          </w:tcPr>
          <w:p>
            <w:pPr>
              <w:spacing w:after="20" w:line="240" w:lineRule="auto"/>
            </w:pPr>
            <w:r>
              <w:rPr>
                <w:b/>
                <w:i w:val="0"/>
                <w:sz w:val="17"/>
              </w:rPr>
              <w:t>Control and audit</w:t>
            </w:r>
          </w:p>
        </w:tc>
        <w:tc>
          <w:tcPr>
            <w:tcW w:type="dxa" w:w="7257"/>
            <w:vAlign w:val="top"/>
          </w:tcPr>
          <w:p>
            <w:pPr>
              <w:spacing w:after="20" w:line="240" w:lineRule="auto"/>
            </w:pPr>
            <w:r>
              <w:rPr>
                <w:b w:val="0"/>
                <w:i w:val="0"/>
                <w:sz w:val="17"/>
              </w:rPr>
              <w:t>A fiscal-year lock, document numbers that are never reused, and an audit log of setup and exception events.</w:t>
            </w:r>
          </w:p>
        </w:tc>
      </w:tr>
      <w:tr>
        <w:trPr>
          <w:cantSplit w:val="true"/>
        </w:trPr>
        <w:tc>
          <w:tcPr>
            <w:tcW w:type="dxa" w:w="2381"/>
            <w:shd w:val="clear" w:color="auto" w:fill="F3F6FA"/>
            <w:vAlign w:val="top"/>
          </w:tcPr>
          <w:p>
            <w:pPr>
              <w:spacing w:after="20" w:line="240" w:lineRule="auto"/>
            </w:pPr>
            <w:r>
              <w:rPr>
                <w:b/>
                <w:i w:val="0"/>
                <w:sz w:val="17"/>
              </w:rPr>
              <w:t>Reports and dashboard</w:t>
            </w:r>
          </w:p>
        </w:tc>
        <w:tc>
          <w:tcPr>
            <w:tcW w:type="dxa" w:w="7257"/>
            <w:shd w:val="clear" w:color="auto" w:fill="F3F6FA"/>
            <w:vAlign w:val="top"/>
          </w:tcPr>
          <w:p>
            <w:pPr>
              <w:spacing w:after="20" w:line="240" w:lineRule="auto"/>
            </w:pPr>
            <w:r>
              <w:rPr>
                <w:b w:val="0"/>
                <w:i w:val="0"/>
                <w:sz w:val="17"/>
              </w:rPr>
              <w:t>Financial statements, IFRS statements, ledgers, ageing, stock reports, VAT and a dashboard, all from real data.</w:t>
            </w:r>
          </w:p>
        </w:tc>
      </w:tr>
      <w:tr>
        <w:trPr>
          <w:cantSplit w:val="true"/>
        </w:trPr>
        <w:tc>
          <w:tcPr>
            <w:tcW w:type="dxa" w:w="2381"/>
            <w:vAlign w:val="top"/>
          </w:tcPr>
          <w:p>
            <w:pPr>
              <w:spacing w:after="20" w:line="240" w:lineRule="auto"/>
            </w:pPr>
            <w:r>
              <w:rPr>
                <w:b/>
                <w:i w:val="0"/>
                <w:sz w:val="17"/>
              </w:rPr>
              <w:t>Ready for e-invoicing</w:t>
            </w:r>
          </w:p>
        </w:tc>
        <w:tc>
          <w:tcPr>
            <w:tcW w:type="dxa" w:w="7257"/>
            <w:vAlign w:val="top"/>
          </w:tcPr>
          <w:p>
            <w:pPr>
              <w:spacing w:after="20" w:line="240" w:lineRule="auto"/>
            </w:pPr>
            <w:r>
              <w:rPr>
                <w:b w:val="0"/>
                <w:i w:val="0"/>
                <w:sz w:val="17"/>
              </w:rPr>
              <w:t>Readiness check, preview, send and follow-up against a built-in test provider; the live connection is planned.</w:t>
            </w:r>
          </w:p>
        </w:tc>
      </w:tr>
    </w:tbl>
    <w:p>
      <w:pPr>
        <w:spacing w:after="0" w:before="0" w:line="80" w:lineRule="exact"/>
      </w:pPr>
    </w:p>
    <w:p>
      <w:pPr>
        <w:pStyle w:val="Heading2"/>
      </w:pPr>
      <w:r>
        <w:t>1.2 Features by module</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1814"/>
        <w:gridCol w:w="2381"/>
        <w:gridCol w:w="1927"/>
      </w:tblGrid>
      <w:tr>
        <w:trPr>
          <w:cantSplit w:val="true"/>
          <w:tblHeader w:val="true"/>
        </w:trPr>
        <w:tc>
          <w:tcPr>
            <w:tcW w:type="dxa" w:w="3515"/>
            <w:shd w:val="clear" w:color="auto" w:fill="1F3864"/>
            <w:vAlign w:val="center"/>
          </w:tcPr>
          <w:p>
            <w:pPr>
              <w:keepNext/>
              <w:spacing w:after="0" w:line="240" w:lineRule="auto"/>
            </w:pPr>
            <w:r>
              <w:rPr>
                <w:b/>
                <w:color w:val="FFFFFF"/>
                <w:sz w:val="17"/>
              </w:rPr>
              <w:t>Module</w:t>
            </w:r>
          </w:p>
        </w:tc>
        <w:tc>
          <w:tcPr>
            <w:tcW w:type="dxa" w:w="1814"/>
            <w:shd w:val="clear" w:color="auto" w:fill="1F3864"/>
            <w:vAlign w:val="center"/>
          </w:tcPr>
          <w:p>
            <w:pPr>
              <w:keepNext/>
              <w:spacing w:after="0" w:line="240" w:lineRule="auto"/>
            </w:pPr>
            <w:r>
              <w:rPr>
                <w:b/>
                <w:color w:val="FFFFFF"/>
                <w:sz w:val="17"/>
              </w:rPr>
              <w:t>Available</w:t>
            </w:r>
          </w:p>
        </w:tc>
        <w:tc>
          <w:tcPr>
            <w:tcW w:type="dxa" w:w="2381"/>
            <w:shd w:val="clear" w:color="auto" w:fill="1F3864"/>
            <w:vAlign w:val="center"/>
          </w:tcPr>
          <w:p>
            <w:pPr>
              <w:keepNext/>
              <w:spacing w:after="0" w:line="240" w:lineRule="auto"/>
            </w:pPr>
            <w:r>
              <w:rPr>
                <w:b/>
                <w:color w:val="FFFFFF"/>
                <w:sz w:val="17"/>
              </w:rPr>
              <w:t>Available (sandbox)</w:t>
            </w:r>
          </w:p>
        </w:tc>
        <w:tc>
          <w:tcPr>
            <w:tcW w:type="dxa" w:w="1928"/>
            <w:shd w:val="clear" w:color="auto" w:fill="1F3864"/>
            <w:vAlign w:val="center"/>
          </w:tcPr>
          <w:p>
            <w:pPr>
              <w:keepNext/>
              <w:spacing w:after="0" w:line="240" w:lineRule="auto"/>
            </w:pPr>
            <w:r>
              <w:rPr>
                <w:b/>
                <w:color w:val="FFFFFF"/>
                <w:sz w:val="17"/>
              </w:rPr>
              <w:t>Features listed</w:t>
            </w:r>
          </w:p>
        </w:tc>
      </w:tr>
      <w:tr>
        <w:trPr>
          <w:cantSplit w:val="true"/>
        </w:trPr>
        <w:tc>
          <w:tcPr>
            <w:tcW w:type="dxa" w:w="3515"/>
            <w:vAlign w:val="top"/>
          </w:tcPr>
          <w:p>
            <w:pPr>
              <w:spacing w:after="20" w:line="240" w:lineRule="auto"/>
            </w:pPr>
            <w:r>
              <w:rPr>
                <w:b/>
                <w:i w:val="0"/>
                <w:sz w:val="17"/>
              </w:rPr>
              <w:t>Home</w:t>
            </w:r>
          </w:p>
        </w:tc>
        <w:tc>
          <w:tcPr>
            <w:tcW w:type="dxa" w:w="1814"/>
            <w:vAlign w:val="top"/>
          </w:tcPr>
          <w:p>
            <w:pPr>
              <w:spacing w:after="20" w:line="240" w:lineRule="auto"/>
              <w:jc w:val="center"/>
            </w:pPr>
            <w:r>
              <w:rPr>
                <w:b w:val="0"/>
                <w:i w:val="0"/>
                <w:sz w:val="17"/>
              </w:rPr>
              <w:t>4</w:t>
            </w:r>
          </w:p>
        </w:tc>
        <w:tc>
          <w:tcPr>
            <w:tcW w:type="dxa" w:w="2381"/>
            <w:vAlign w:val="top"/>
          </w:tcPr>
          <w:p>
            <w:pPr>
              <w:spacing w:after="20" w:line="240" w:lineRule="auto"/>
              <w:jc w:val="center"/>
            </w:pPr>
            <w:r>
              <w:rPr>
                <w:b w:val="0"/>
                <w:i w:val="0"/>
                <w:sz w:val="17"/>
              </w:rPr>
              <w:t>-</w:t>
            </w:r>
          </w:p>
        </w:tc>
        <w:tc>
          <w:tcPr>
            <w:tcW w:type="dxa" w:w="1928"/>
            <w:vAlign w:val="top"/>
          </w:tcPr>
          <w:p>
            <w:pPr>
              <w:spacing w:after="20" w:line="240" w:lineRule="auto"/>
              <w:jc w:val="center"/>
            </w:pPr>
            <w:r>
              <w:rPr>
                <w:b w:val="0"/>
                <w:i w:val="0"/>
                <w:sz w:val="17"/>
              </w:rPr>
              <w:t>4</w:t>
            </w:r>
          </w:p>
        </w:tc>
      </w:tr>
      <w:tr>
        <w:trPr>
          <w:cantSplit w:val="true"/>
        </w:trPr>
        <w:tc>
          <w:tcPr>
            <w:tcW w:type="dxa" w:w="3515"/>
            <w:shd w:val="clear" w:color="auto" w:fill="F3F6FA"/>
            <w:vAlign w:val="top"/>
          </w:tcPr>
          <w:p>
            <w:pPr>
              <w:spacing w:after="20" w:line="240" w:lineRule="auto"/>
            </w:pPr>
            <w:r>
              <w:rPr>
                <w:b/>
                <w:i w:val="0"/>
                <w:sz w:val="17"/>
              </w:rPr>
              <w:t>Sales</w:t>
            </w:r>
          </w:p>
        </w:tc>
        <w:tc>
          <w:tcPr>
            <w:tcW w:type="dxa" w:w="1814"/>
            <w:shd w:val="clear" w:color="auto" w:fill="F3F6FA"/>
            <w:vAlign w:val="top"/>
          </w:tcPr>
          <w:p>
            <w:pPr>
              <w:spacing w:after="20" w:line="240" w:lineRule="auto"/>
              <w:jc w:val="center"/>
            </w:pPr>
            <w:r>
              <w:rPr>
                <w:b w:val="0"/>
                <w:i w:val="0"/>
                <w:sz w:val="17"/>
              </w:rPr>
              <w:t>7</w:t>
            </w:r>
          </w:p>
        </w:tc>
        <w:tc>
          <w:tcPr>
            <w:tcW w:type="dxa" w:w="2381"/>
            <w:shd w:val="clear" w:color="auto" w:fill="F3F6FA"/>
            <w:vAlign w:val="top"/>
          </w:tcPr>
          <w:p>
            <w:pPr>
              <w:spacing w:after="20" w:line="240" w:lineRule="auto"/>
              <w:jc w:val="center"/>
            </w:pPr>
            <w:r>
              <w:rPr>
                <w:b w:val="0"/>
                <w:i w:val="0"/>
                <w:sz w:val="17"/>
              </w:rPr>
              <w:t>-</w:t>
            </w:r>
          </w:p>
        </w:tc>
        <w:tc>
          <w:tcPr>
            <w:tcW w:type="dxa" w:w="1928"/>
            <w:shd w:val="clear" w:color="auto" w:fill="F3F6FA"/>
            <w:vAlign w:val="top"/>
          </w:tcPr>
          <w:p>
            <w:pPr>
              <w:spacing w:after="20" w:line="240" w:lineRule="auto"/>
              <w:jc w:val="center"/>
            </w:pPr>
            <w:r>
              <w:rPr>
                <w:b w:val="0"/>
                <w:i w:val="0"/>
                <w:sz w:val="17"/>
              </w:rPr>
              <w:t>7</w:t>
            </w:r>
          </w:p>
        </w:tc>
      </w:tr>
      <w:tr>
        <w:trPr>
          <w:cantSplit w:val="true"/>
        </w:trPr>
        <w:tc>
          <w:tcPr>
            <w:tcW w:type="dxa" w:w="3515"/>
            <w:vAlign w:val="top"/>
          </w:tcPr>
          <w:p>
            <w:pPr>
              <w:spacing w:after="20" w:line="240" w:lineRule="auto"/>
            </w:pPr>
            <w:r>
              <w:rPr>
                <w:b/>
                <w:i w:val="0"/>
                <w:sz w:val="17"/>
              </w:rPr>
              <w:t>Purchase</w:t>
            </w:r>
          </w:p>
        </w:tc>
        <w:tc>
          <w:tcPr>
            <w:tcW w:type="dxa" w:w="1814"/>
            <w:vAlign w:val="top"/>
          </w:tcPr>
          <w:p>
            <w:pPr>
              <w:spacing w:after="20" w:line="240" w:lineRule="auto"/>
              <w:jc w:val="center"/>
            </w:pPr>
            <w:r>
              <w:rPr>
                <w:b w:val="0"/>
                <w:i w:val="0"/>
                <w:sz w:val="17"/>
              </w:rPr>
              <w:t>4</w:t>
            </w:r>
          </w:p>
        </w:tc>
        <w:tc>
          <w:tcPr>
            <w:tcW w:type="dxa" w:w="2381"/>
            <w:vAlign w:val="top"/>
          </w:tcPr>
          <w:p>
            <w:pPr>
              <w:spacing w:after="20" w:line="240" w:lineRule="auto"/>
              <w:jc w:val="center"/>
            </w:pPr>
            <w:r>
              <w:rPr>
                <w:b w:val="0"/>
                <w:i w:val="0"/>
                <w:sz w:val="17"/>
              </w:rPr>
              <w:t>-</w:t>
            </w:r>
          </w:p>
        </w:tc>
        <w:tc>
          <w:tcPr>
            <w:tcW w:type="dxa" w:w="1928"/>
            <w:vAlign w:val="top"/>
          </w:tcPr>
          <w:p>
            <w:pPr>
              <w:spacing w:after="20" w:line="240" w:lineRule="auto"/>
              <w:jc w:val="center"/>
            </w:pPr>
            <w:r>
              <w:rPr>
                <w:b w:val="0"/>
                <w:i w:val="0"/>
                <w:sz w:val="17"/>
              </w:rPr>
              <w:t>4</w:t>
            </w:r>
          </w:p>
        </w:tc>
      </w:tr>
      <w:tr>
        <w:trPr>
          <w:cantSplit w:val="true"/>
        </w:trPr>
        <w:tc>
          <w:tcPr>
            <w:tcW w:type="dxa" w:w="3515"/>
            <w:shd w:val="clear" w:color="auto" w:fill="F3F6FA"/>
            <w:vAlign w:val="top"/>
          </w:tcPr>
          <w:p>
            <w:pPr>
              <w:spacing w:after="20" w:line="240" w:lineRule="auto"/>
            </w:pPr>
            <w:r>
              <w:rPr>
                <w:b/>
                <w:i w:val="0"/>
                <w:sz w:val="17"/>
              </w:rPr>
              <w:t>Inventory</w:t>
            </w:r>
          </w:p>
        </w:tc>
        <w:tc>
          <w:tcPr>
            <w:tcW w:type="dxa" w:w="1814"/>
            <w:shd w:val="clear" w:color="auto" w:fill="F3F6FA"/>
            <w:vAlign w:val="top"/>
          </w:tcPr>
          <w:p>
            <w:pPr>
              <w:spacing w:after="20" w:line="240" w:lineRule="auto"/>
              <w:jc w:val="center"/>
            </w:pPr>
            <w:r>
              <w:rPr>
                <w:b w:val="0"/>
                <w:i w:val="0"/>
                <w:sz w:val="17"/>
              </w:rPr>
              <w:t>6</w:t>
            </w:r>
          </w:p>
        </w:tc>
        <w:tc>
          <w:tcPr>
            <w:tcW w:type="dxa" w:w="2381"/>
            <w:shd w:val="clear" w:color="auto" w:fill="F3F6FA"/>
            <w:vAlign w:val="top"/>
          </w:tcPr>
          <w:p>
            <w:pPr>
              <w:spacing w:after="20" w:line="240" w:lineRule="auto"/>
              <w:jc w:val="center"/>
            </w:pPr>
            <w:r>
              <w:rPr>
                <w:b w:val="0"/>
                <w:i w:val="0"/>
                <w:sz w:val="17"/>
              </w:rPr>
              <w:t>-</w:t>
            </w:r>
          </w:p>
        </w:tc>
        <w:tc>
          <w:tcPr>
            <w:tcW w:type="dxa" w:w="1928"/>
            <w:shd w:val="clear" w:color="auto" w:fill="F3F6FA"/>
            <w:vAlign w:val="top"/>
          </w:tcPr>
          <w:p>
            <w:pPr>
              <w:spacing w:after="20" w:line="240" w:lineRule="auto"/>
              <w:jc w:val="center"/>
            </w:pPr>
            <w:r>
              <w:rPr>
                <w:b w:val="0"/>
                <w:i w:val="0"/>
                <w:sz w:val="17"/>
              </w:rPr>
              <w:t>6</w:t>
            </w:r>
          </w:p>
        </w:tc>
      </w:tr>
      <w:tr>
        <w:trPr>
          <w:cantSplit w:val="true"/>
        </w:trPr>
        <w:tc>
          <w:tcPr>
            <w:tcW w:type="dxa" w:w="3515"/>
            <w:vAlign w:val="top"/>
          </w:tcPr>
          <w:p>
            <w:pPr>
              <w:spacing w:after="20" w:line="240" w:lineRule="auto"/>
            </w:pPr>
            <w:r>
              <w:rPr>
                <w:b/>
                <w:i w:val="0"/>
                <w:sz w:val="17"/>
              </w:rPr>
              <w:t>Finance</w:t>
            </w:r>
          </w:p>
        </w:tc>
        <w:tc>
          <w:tcPr>
            <w:tcW w:type="dxa" w:w="1814"/>
            <w:vAlign w:val="top"/>
          </w:tcPr>
          <w:p>
            <w:pPr>
              <w:spacing w:after="20" w:line="240" w:lineRule="auto"/>
              <w:jc w:val="center"/>
            </w:pPr>
            <w:r>
              <w:rPr>
                <w:b w:val="0"/>
                <w:i w:val="0"/>
                <w:sz w:val="17"/>
              </w:rPr>
              <w:t>7</w:t>
            </w:r>
          </w:p>
        </w:tc>
        <w:tc>
          <w:tcPr>
            <w:tcW w:type="dxa" w:w="2381"/>
            <w:vAlign w:val="top"/>
          </w:tcPr>
          <w:p>
            <w:pPr>
              <w:spacing w:after="20" w:line="240" w:lineRule="auto"/>
              <w:jc w:val="center"/>
            </w:pPr>
            <w:r>
              <w:rPr>
                <w:b w:val="0"/>
                <w:i w:val="0"/>
                <w:sz w:val="17"/>
              </w:rPr>
              <w:t>-</w:t>
            </w:r>
          </w:p>
        </w:tc>
        <w:tc>
          <w:tcPr>
            <w:tcW w:type="dxa" w:w="1928"/>
            <w:vAlign w:val="top"/>
          </w:tcPr>
          <w:p>
            <w:pPr>
              <w:spacing w:after="20" w:line="240" w:lineRule="auto"/>
              <w:jc w:val="center"/>
            </w:pPr>
            <w:r>
              <w:rPr>
                <w:b w:val="0"/>
                <w:i w:val="0"/>
                <w:sz w:val="17"/>
              </w:rPr>
              <w:t>7</w:t>
            </w:r>
          </w:p>
        </w:tc>
      </w:tr>
      <w:tr>
        <w:trPr>
          <w:cantSplit w:val="true"/>
        </w:trPr>
        <w:tc>
          <w:tcPr>
            <w:tcW w:type="dxa" w:w="3515"/>
            <w:shd w:val="clear" w:color="auto" w:fill="F3F6FA"/>
            <w:vAlign w:val="top"/>
          </w:tcPr>
          <w:p>
            <w:pPr>
              <w:spacing w:after="20" w:line="240" w:lineRule="auto"/>
            </w:pPr>
            <w:r>
              <w:rPr>
                <w:b/>
                <w:i w:val="0"/>
                <w:sz w:val="17"/>
              </w:rPr>
              <w:t>Accounts</w:t>
            </w:r>
          </w:p>
        </w:tc>
        <w:tc>
          <w:tcPr>
            <w:tcW w:type="dxa" w:w="1814"/>
            <w:shd w:val="clear" w:color="auto" w:fill="F3F6FA"/>
            <w:vAlign w:val="top"/>
          </w:tcPr>
          <w:p>
            <w:pPr>
              <w:spacing w:after="20" w:line="240" w:lineRule="auto"/>
              <w:jc w:val="center"/>
            </w:pPr>
            <w:r>
              <w:rPr>
                <w:b w:val="0"/>
                <w:i w:val="0"/>
                <w:sz w:val="17"/>
              </w:rPr>
              <w:t>9</w:t>
            </w:r>
          </w:p>
        </w:tc>
        <w:tc>
          <w:tcPr>
            <w:tcW w:type="dxa" w:w="2381"/>
            <w:shd w:val="clear" w:color="auto" w:fill="F3F6FA"/>
            <w:vAlign w:val="top"/>
          </w:tcPr>
          <w:p>
            <w:pPr>
              <w:spacing w:after="20" w:line="240" w:lineRule="auto"/>
              <w:jc w:val="center"/>
            </w:pPr>
            <w:r>
              <w:rPr>
                <w:b w:val="0"/>
                <w:i w:val="0"/>
                <w:sz w:val="17"/>
              </w:rPr>
              <w:t>-</w:t>
            </w:r>
          </w:p>
        </w:tc>
        <w:tc>
          <w:tcPr>
            <w:tcW w:type="dxa" w:w="1928"/>
            <w:shd w:val="clear" w:color="auto" w:fill="F3F6FA"/>
            <w:vAlign w:val="top"/>
          </w:tcPr>
          <w:p>
            <w:pPr>
              <w:spacing w:after="20" w:line="240" w:lineRule="auto"/>
              <w:jc w:val="center"/>
            </w:pPr>
            <w:r>
              <w:rPr>
                <w:b w:val="0"/>
                <w:i w:val="0"/>
                <w:sz w:val="17"/>
              </w:rPr>
              <w:t>9</w:t>
            </w:r>
          </w:p>
        </w:tc>
      </w:tr>
      <w:tr>
        <w:trPr>
          <w:cantSplit w:val="true"/>
        </w:trPr>
        <w:tc>
          <w:tcPr>
            <w:tcW w:type="dxa" w:w="3515"/>
            <w:vAlign w:val="top"/>
          </w:tcPr>
          <w:p>
            <w:pPr>
              <w:spacing w:after="20" w:line="240" w:lineRule="auto"/>
            </w:pPr>
            <w:r>
              <w:rPr>
                <w:b/>
                <w:i w:val="0"/>
                <w:sz w:val="17"/>
              </w:rPr>
              <w:t>Reports</w:t>
            </w:r>
          </w:p>
        </w:tc>
        <w:tc>
          <w:tcPr>
            <w:tcW w:type="dxa" w:w="1814"/>
            <w:vAlign w:val="top"/>
          </w:tcPr>
          <w:p>
            <w:pPr>
              <w:spacing w:after="20" w:line="240" w:lineRule="auto"/>
              <w:jc w:val="center"/>
            </w:pPr>
            <w:r>
              <w:rPr>
                <w:b w:val="0"/>
                <w:i w:val="0"/>
                <w:sz w:val="17"/>
              </w:rPr>
              <w:t>4</w:t>
            </w:r>
          </w:p>
        </w:tc>
        <w:tc>
          <w:tcPr>
            <w:tcW w:type="dxa" w:w="2381"/>
            <w:vAlign w:val="top"/>
          </w:tcPr>
          <w:p>
            <w:pPr>
              <w:spacing w:after="20" w:line="240" w:lineRule="auto"/>
              <w:jc w:val="center"/>
            </w:pPr>
            <w:r>
              <w:rPr>
                <w:b w:val="0"/>
                <w:i w:val="0"/>
                <w:sz w:val="17"/>
              </w:rPr>
              <w:t>1</w:t>
            </w:r>
          </w:p>
        </w:tc>
        <w:tc>
          <w:tcPr>
            <w:tcW w:type="dxa" w:w="1928"/>
            <w:vAlign w:val="top"/>
          </w:tcPr>
          <w:p>
            <w:pPr>
              <w:spacing w:after="20" w:line="240" w:lineRule="auto"/>
              <w:jc w:val="center"/>
            </w:pPr>
            <w:r>
              <w:rPr>
                <w:b w:val="0"/>
                <w:i w:val="0"/>
                <w:sz w:val="17"/>
              </w:rPr>
              <w:t>5</w:t>
            </w:r>
          </w:p>
        </w:tc>
      </w:tr>
      <w:tr>
        <w:trPr>
          <w:cantSplit w:val="true"/>
        </w:trPr>
        <w:tc>
          <w:tcPr>
            <w:tcW w:type="dxa" w:w="3515"/>
            <w:shd w:val="clear" w:color="auto" w:fill="F3F6FA"/>
            <w:vAlign w:val="top"/>
          </w:tcPr>
          <w:p>
            <w:pPr>
              <w:spacing w:after="20" w:line="240" w:lineRule="auto"/>
            </w:pPr>
            <w:r>
              <w:rPr>
                <w:b/>
                <w:i w:val="0"/>
                <w:sz w:val="17"/>
              </w:rPr>
              <w:t>People</w:t>
            </w:r>
          </w:p>
        </w:tc>
        <w:tc>
          <w:tcPr>
            <w:tcW w:type="dxa" w:w="1814"/>
            <w:shd w:val="clear" w:color="auto" w:fill="F3F6FA"/>
            <w:vAlign w:val="top"/>
          </w:tcPr>
          <w:p>
            <w:pPr>
              <w:spacing w:after="20" w:line="240" w:lineRule="auto"/>
              <w:jc w:val="center"/>
            </w:pPr>
            <w:r>
              <w:rPr>
                <w:b w:val="0"/>
                <w:i w:val="0"/>
                <w:sz w:val="17"/>
              </w:rPr>
              <w:t>1</w:t>
            </w:r>
          </w:p>
        </w:tc>
        <w:tc>
          <w:tcPr>
            <w:tcW w:type="dxa" w:w="2381"/>
            <w:shd w:val="clear" w:color="auto" w:fill="F3F6FA"/>
            <w:vAlign w:val="top"/>
          </w:tcPr>
          <w:p>
            <w:pPr>
              <w:spacing w:after="20" w:line="240" w:lineRule="auto"/>
              <w:jc w:val="center"/>
            </w:pPr>
            <w:r>
              <w:rPr>
                <w:b w:val="0"/>
                <w:i w:val="0"/>
                <w:sz w:val="17"/>
              </w:rPr>
              <w:t>-</w:t>
            </w:r>
          </w:p>
        </w:tc>
        <w:tc>
          <w:tcPr>
            <w:tcW w:type="dxa" w:w="1928"/>
            <w:shd w:val="clear" w:color="auto" w:fill="F3F6FA"/>
            <w:vAlign w:val="top"/>
          </w:tcPr>
          <w:p>
            <w:pPr>
              <w:spacing w:after="20" w:line="240" w:lineRule="auto"/>
              <w:jc w:val="center"/>
            </w:pPr>
            <w:r>
              <w:rPr>
                <w:b w:val="0"/>
                <w:i w:val="0"/>
                <w:sz w:val="17"/>
              </w:rPr>
              <w:t>1</w:t>
            </w:r>
          </w:p>
        </w:tc>
      </w:tr>
      <w:tr>
        <w:trPr>
          <w:cantSplit w:val="true"/>
        </w:trPr>
        <w:tc>
          <w:tcPr>
            <w:tcW w:type="dxa" w:w="3515"/>
            <w:vAlign w:val="top"/>
          </w:tcPr>
          <w:p>
            <w:pPr>
              <w:spacing w:after="20" w:line="240" w:lineRule="auto"/>
            </w:pPr>
            <w:r>
              <w:rPr>
                <w:b/>
                <w:i w:val="0"/>
                <w:sz w:val="17"/>
              </w:rPr>
              <w:t>Settings and the screen</w:t>
            </w:r>
          </w:p>
        </w:tc>
        <w:tc>
          <w:tcPr>
            <w:tcW w:type="dxa" w:w="1814"/>
            <w:vAlign w:val="top"/>
          </w:tcPr>
          <w:p>
            <w:pPr>
              <w:spacing w:after="20" w:line="240" w:lineRule="auto"/>
              <w:jc w:val="center"/>
            </w:pPr>
            <w:r>
              <w:rPr>
                <w:b w:val="0"/>
                <w:i w:val="0"/>
                <w:sz w:val="17"/>
              </w:rPr>
              <w:t>4</w:t>
            </w:r>
          </w:p>
        </w:tc>
        <w:tc>
          <w:tcPr>
            <w:tcW w:type="dxa" w:w="2381"/>
            <w:vAlign w:val="top"/>
          </w:tcPr>
          <w:p>
            <w:pPr>
              <w:spacing w:after="20" w:line="240" w:lineRule="auto"/>
              <w:jc w:val="center"/>
            </w:pPr>
            <w:r>
              <w:rPr>
                <w:b w:val="0"/>
                <w:i w:val="0"/>
                <w:sz w:val="17"/>
              </w:rPr>
              <w:t>-</w:t>
            </w:r>
          </w:p>
        </w:tc>
        <w:tc>
          <w:tcPr>
            <w:tcW w:type="dxa" w:w="1928"/>
            <w:vAlign w:val="top"/>
          </w:tcPr>
          <w:p>
            <w:pPr>
              <w:spacing w:after="20" w:line="240" w:lineRule="auto"/>
              <w:jc w:val="center"/>
            </w:pPr>
            <w:r>
              <w:rPr>
                <w:b w:val="0"/>
                <w:i w:val="0"/>
                <w:sz w:val="17"/>
              </w:rPr>
              <w:t>4</w:t>
            </w:r>
          </w:p>
        </w:tc>
      </w:tr>
      <w:tr>
        <w:trPr>
          <w:cantSplit w:val="true"/>
        </w:trPr>
        <w:tc>
          <w:tcPr>
            <w:tcW w:type="dxa" w:w="3515"/>
            <w:shd w:val="clear" w:color="auto" w:fill="F3F6FA"/>
            <w:vAlign w:val="top"/>
          </w:tcPr>
          <w:p>
            <w:pPr>
              <w:spacing w:after="20" w:line="240" w:lineRule="auto"/>
            </w:pPr>
            <w:r>
              <w:rPr>
                <w:b/>
                <w:i w:val="0"/>
                <w:sz w:val="17"/>
              </w:rPr>
              <w:t>Total</w:t>
            </w:r>
          </w:p>
        </w:tc>
        <w:tc>
          <w:tcPr>
            <w:tcW w:type="dxa" w:w="1814"/>
            <w:shd w:val="clear" w:color="auto" w:fill="F3F6FA"/>
            <w:vAlign w:val="top"/>
          </w:tcPr>
          <w:p>
            <w:pPr>
              <w:spacing w:after="20" w:line="240" w:lineRule="auto"/>
              <w:jc w:val="center"/>
            </w:pPr>
            <w:r>
              <w:rPr>
                <w:b w:val="0"/>
                <w:i w:val="0"/>
                <w:sz w:val="17"/>
              </w:rPr>
              <w:t>46</w:t>
            </w:r>
          </w:p>
        </w:tc>
        <w:tc>
          <w:tcPr>
            <w:tcW w:type="dxa" w:w="2381"/>
            <w:shd w:val="clear" w:color="auto" w:fill="F3F6FA"/>
            <w:vAlign w:val="top"/>
          </w:tcPr>
          <w:p>
            <w:pPr>
              <w:spacing w:after="20" w:line="240" w:lineRule="auto"/>
              <w:jc w:val="center"/>
            </w:pPr>
            <w:r>
              <w:rPr>
                <w:b w:val="0"/>
                <w:i w:val="0"/>
                <w:sz w:val="17"/>
              </w:rPr>
              <w:t>1</w:t>
            </w:r>
          </w:p>
        </w:tc>
        <w:tc>
          <w:tcPr>
            <w:tcW w:type="dxa" w:w="1928"/>
            <w:shd w:val="clear" w:color="auto" w:fill="F3F6FA"/>
            <w:vAlign w:val="top"/>
          </w:tcPr>
          <w:p>
            <w:pPr>
              <w:spacing w:after="20" w:line="240" w:lineRule="auto"/>
              <w:jc w:val="center"/>
            </w:pPr>
            <w:r>
              <w:rPr>
                <w:b w:val="0"/>
                <w:i w:val="0"/>
                <w:sz w:val="17"/>
              </w:rPr>
              <w:t>47</w:t>
            </w:r>
          </w:p>
        </w:tc>
      </w:tr>
    </w:tbl>
    <w:p>
      <w:pPr>
        <w:spacing w:after="0" w:before="0" w:line="80" w:lineRule="exact"/>
      </w:pPr>
    </w:p>
    <w:p>
      <w:r>
        <w:rPr>
          <w:b w:val="0"/>
          <w:i w:val="0"/>
          <w:color w:val="44546A"/>
          <w:sz w:val="19"/>
        </w:rPr>
        <w:t>The count is of the items listed in section 2, not of screens. Section 5 lists 21 planned items.</w:t>
      </w:r>
    </w:p>
    <w:p>
      <w:pPr>
        <w:pStyle w:val="Heading1"/>
        <w:pageBreakBefore/>
      </w:pPr>
      <w:r>
        <w:t>2. Features by module</w:t>
      </w:r>
    </w:p>
    <w:p>
      <w:pPr>
        <w:spacing w:after="160"/>
      </w:pPr>
      <w:r>
        <w:rPr>
          <w:b w:val="0"/>
          <w:i w:val="0"/>
          <w:color w:val="44546A"/>
          <w:sz w:val="22"/>
        </w:rPr>
        <w:t>The menu has nine modules. Each table lists what the module does today and its status. Where a limit matters it is stated in the description.</w:t>
      </w:r>
    </w:p>
    <w:p>
      <w:pPr>
        <w:pStyle w:val="Heading2"/>
      </w:pPr>
      <w:r>
        <w:t>2.1 Home</w:t>
      </w:r>
    </w:p>
    <w:p>
      <w:pPr>
        <w:keepNext/>
      </w:pPr>
      <w:r>
        <w:rPr>
          <w:b w:val="0"/>
          <w:i w:val="0"/>
        </w:rPr>
        <w:t>The first screen after sign-in: a read-only view of the whole business, with real figures.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Operations overview</w:t>
            </w:r>
          </w:p>
        </w:tc>
        <w:tc>
          <w:tcPr>
            <w:tcW w:type="dxa" w:w="5896"/>
            <w:vAlign w:val="top"/>
          </w:tcPr>
          <w:p>
            <w:pPr>
              <w:spacing w:after="20" w:line="240" w:lineRule="auto"/>
            </w:pPr>
            <w:r>
              <w:rPr>
                <w:b w:val="0"/>
                <w:i w:val="0"/>
                <w:sz w:val="17"/>
              </w:rPr>
              <w:t>Sales value, margin, average order, collection rate, VAT and the top product, with a period selector (a quarter, a month, a year).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Sales, Inventory and Reports tabs</w:t>
            </w:r>
          </w:p>
        </w:tc>
        <w:tc>
          <w:tcPr>
            <w:tcW w:type="dxa" w:w="5896"/>
            <w:shd w:val="clear" w:color="auto" w:fill="F3F6FA"/>
            <w:vAlign w:val="top"/>
          </w:tcPr>
          <w:p>
            <w:pPr>
              <w:spacing w:after="20" w:line="240" w:lineRule="auto"/>
            </w:pPr>
            <w:r>
              <w:rPr>
                <w:b w:val="0"/>
                <w:i w:val="0"/>
                <w:sz w:val="17"/>
              </w:rPr>
              <w:t>Orders, approval share, best sellers and customers; stock value by category; gross and net profit, VAT and voucher totals. Each figure equals the same figure in the full report.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Receivables and payables charts</w:t>
            </w:r>
          </w:p>
        </w:tc>
        <w:tc>
          <w:tcPr>
            <w:tcW w:type="dxa" w:w="5896"/>
            <w:vAlign w:val="top"/>
          </w:tcPr>
          <w:p>
            <w:pPr>
              <w:spacing w:after="20" w:line="240" w:lineRule="auto"/>
            </w:pPr>
            <w:r>
              <w:rPr>
                <w:b w:val="0"/>
                <w:i w:val="0"/>
                <w:sz w:val="17"/>
              </w:rPr>
              <w:t>Ageing of what customers owe and what the company owes, and the top customers.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No sample data</w:t>
            </w:r>
          </w:p>
        </w:tc>
        <w:tc>
          <w:tcPr>
            <w:tcW w:type="dxa" w:w="5896"/>
            <w:shd w:val="clear" w:color="auto" w:fill="F3F6FA"/>
            <w:vAlign w:val="top"/>
          </w:tcPr>
          <w:p>
            <w:pPr>
              <w:spacing w:after="20" w:line="240" w:lineRule="auto"/>
            </w:pPr>
            <w:r>
              <w:rPr>
                <w:b w:val="0"/>
                <w:i w:val="0"/>
                <w:sz w:val="17"/>
              </w:rPr>
              <w:t>Every number is read from the books and the approved documents.</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2.2 Sales</w:t>
      </w:r>
    </w:p>
    <w:p>
      <w:pPr>
        <w:keepNext/>
      </w:pPr>
      <w:r>
        <w:rPr>
          <w:b w:val="0"/>
          <w:i w:val="0"/>
        </w:rPr>
        <w:t>Everything between the company and its customers, from the order to the money owed.</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Sales orders and tax invoices</w:t>
            </w:r>
          </w:p>
        </w:tc>
        <w:tc>
          <w:tcPr>
            <w:tcW w:type="dxa" w:w="5896"/>
            <w:vAlign w:val="top"/>
          </w:tcPr>
          <w:p>
            <w:pPr>
              <w:spacing w:after="20" w:line="240" w:lineRule="auto"/>
            </w:pPr>
            <w:r>
              <w:rPr>
                <w:b w:val="0"/>
                <w:i w:val="0"/>
                <w:sz w:val="17"/>
              </w:rPr>
              <w:t>An order becomes a tax invoice when approved. The server prices every line: tax codes, discounts, charges, round-off. Document numbers come from the server and are never reused.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Credit control</w:t>
            </w:r>
          </w:p>
        </w:tc>
        <w:tc>
          <w:tcPr>
            <w:tcW w:type="dxa" w:w="5896"/>
            <w:shd w:val="clear" w:color="auto" w:fill="F3F6FA"/>
            <w:vAlign w:val="top"/>
          </w:tcPr>
          <w:p>
            <w:pPr>
              <w:spacing w:after="20" w:line="240" w:lineRule="auto"/>
            </w:pPr>
            <w:r>
              <w:rPr>
                <w:b w:val="0"/>
                <w:i w:val="0"/>
                <w:sz w:val="17"/>
              </w:rPr>
              <w:t>Per customer: off, warn (asks the user to confirm) or block. The credit limit is checked when a sale is approved.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Stock issue and cost of sales</w:t>
            </w:r>
          </w:p>
        </w:tc>
        <w:tc>
          <w:tcPr>
            <w:tcW w:type="dxa" w:w="5896"/>
            <w:vAlign w:val="top"/>
          </w:tcPr>
          <w:p>
            <w:pPr>
              <w:spacing w:after="20" w:line="240" w:lineRule="auto"/>
            </w:pPr>
            <w:r>
              <w:rPr>
                <w:b w:val="0"/>
                <w:i w:val="0"/>
                <w:sz w:val="17"/>
              </w:rPr>
              <w:t>Approving a sale issues stock first-expiry-first-out and posts the cost of goods sold.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Sales returns</w:t>
            </w:r>
          </w:p>
        </w:tc>
        <w:tc>
          <w:tcPr>
            <w:tcW w:type="dxa" w:w="5896"/>
            <w:shd w:val="clear" w:color="auto" w:fill="F3F6FA"/>
            <w:vAlign w:val="top"/>
          </w:tcPr>
          <w:p>
            <w:pPr>
              <w:spacing w:after="20" w:line="240" w:lineRule="auto"/>
            </w:pPr>
            <w:r>
              <w:rPr>
                <w:b w:val="0"/>
                <w:i w:val="0"/>
                <w:sz w:val="17"/>
              </w:rPr>
              <w:t>Returned against the original invoice and limited by its quantity and value, with a return window. Stock and the customer account are put back.</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Customer master</w:t>
            </w:r>
          </w:p>
        </w:tc>
        <w:tc>
          <w:tcPr>
            <w:tcW w:type="dxa" w:w="5896"/>
            <w:vAlign w:val="top"/>
          </w:tcPr>
          <w:p>
            <w:pPr>
              <w:spacing w:after="20" w:line="240" w:lineRule="auto"/>
            </w:pPr>
            <w:r>
              <w:rPr>
                <w:b w:val="0"/>
                <w:i w:val="0"/>
                <w:sz w:val="17"/>
              </w:rPr>
              <w:t>TRN, credit limit, payment terms, contacts, bank accounts and KYC documents with expiry flags. A ledger account is created with the customer.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Receivables</w:t>
            </w:r>
          </w:p>
        </w:tc>
        <w:tc>
          <w:tcPr>
            <w:tcW w:type="dxa" w:w="5896"/>
            <w:shd w:val="clear" w:color="auto" w:fill="F3F6FA"/>
            <w:vAlign w:val="top"/>
          </w:tcPr>
          <w:p>
            <w:pPr>
              <w:spacing w:after="20" w:line="240" w:lineRule="auto"/>
            </w:pPr>
            <w:r>
              <w:rPr>
                <w:b w:val="0"/>
                <w:i w:val="0"/>
                <w:sz w:val="17"/>
              </w:rPr>
              <w:t>Each customer's balance (with Dr or Cr), credit used, overdue amount, statement and open invoices.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Documents</w:t>
            </w:r>
          </w:p>
        </w:tc>
        <w:tc>
          <w:tcPr>
            <w:tcW w:type="dxa" w:w="5896"/>
            <w:vAlign w:val="top"/>
          </w:tcPr>
          <w:p>
            <w:pPr>
              <w:spacing w:after="20" w:line="240" w:lineRule="auto"/>
            </w:pPr>
            <w:r>
              <w:rPr>
                <w:b w:val="0"/>
                <w:i w:val="0"/>
                <w:sz w:val="17"/>
              </w:rPr>
              <w:t>PDF copies of orders and invoices, and attachments on orders.</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2.3 Purchase</w:t>
      </w:r>
    </w:p>
    <w:p>
      <w:pPr>
        <w:keepNext/>
      </w:pPr>
      <w:r>
        <w:rPr>
          <w:b w:val="0"/>
          <w:i w:val="0"/>
        </w:rPr>
        <w:t>Everything between the company and its vendors, from the order to the money owed.</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Purchase orders</w:t>
            </w:r>
          </w:p>
        </w:tc>
        <w:tc>
          <w:tcPr>
            <w:tcW w:type="dxa" w:w="5896"/>
            <w:vAlign w:val="top"/>
          </w:tcPr>
          <w:p>
            <w:pPr>
              <w:spacing w:after="20" w:line="240" w:lineRule="auto"/>
            </w:pPr>
            <w:r>
              <w:rPr>
                <w:b w:val="0"/>
                <w:i w:val="0"/>
                <w:sz w:val="17"/>
              </w:rPr>
              <w:t>Approving an order receives the goods into stock with batch and expiry, updates the average cost and raises the amount payable.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Purchase returns</w:t>
            </w:r>
          </w:p>
        </w:tc>
        <w:tc>
          <w:tcPr>
            <w:tcW w:type="dxa" w:w="5896"/>
            <w:shd w:val="clear" w:color="auto" w:fill="F3F6FA"/>
            <w:vAlign w:val="top"/>
          </w:tcPr>
          <w:p>
            <w:pPr>
              <w:spacing w:after="20" w:line="240" w:lineRule="auto"/>
            </w:pPr>
            <w:r>
              <w:rPr>
                <w:b w:val="0"/>
                <w:i w:val="0"/>
                <w:sz w:val="17"/>
              </w:rPr>
              <w:t>Returned against an approved purchase, limited by quantity and value.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Vendor master</w:t>
            </w:r>
          </w:p>
        </w:tc>
        <w:tc>
          <w:tcPr>
            <w:tcW w:type="dxa" w:w="5896"/>
            <w:vAlign w:val="top"/>
          </w:tcPr>
          <w:p>
            <w:pPr>
              <w:spacing w:after="20" w:line="240" w:lineRule="auto"/>
            </w:pPr>
            <w:r>
              <w:rPr>
                <w:b w:val="0"/>
                <w:i w:val="0"/>
                <w:sz w:val="17"/>
              </w:rPr>
              <w:t>Same sections as the customer master (VAT, contacts, banks, KYC documents), without a credit limit. A ledger account is created with the vendor.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Payables</w:t>
            </w:r>
          </w:p>
        </w:tc>
        <w:tc>
          <w:tcPr>
            <w:tcW w:type="dxa" w:w="5896"/>
            <w:shd w:val="clear" w:color="auto" w:fill="F3F6FA"/>
            <w:vAlign w:val="top"/>
          </w:tcPr>
          <w:p>
            <w:pPr>
              <w:spacing w:after="20" w:line="240" w:lineRule="auto"/>
            </w:pPr>
            <w:r>
              <w:rPr>
                <w:b w:val="0"/>
                <w:i w:val="0"/>
                <w:sz w:val="17"/>
              </w:rPr>
              <w:t>Each vendor's balance, overdue amount, statement and open invoices.</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2.4 Inventory</w:t>
      </w:r>
    </w:p>
    <w:p>
      <w:pPr>
        <w:keepNext/>
      </w:pPr>
      <w:r>
        <w:rPr>
          <w:b w:val="0"/>
          <w:i w:val="0"/>
        </w:rPr>
        <w:t>The stock master, the movement history and the batches with expiry dates.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Items, categories and units</w:t>
            </w:r>
          </w:p>
        </w:tc>
        <w:tc>
          <w:tcPr>
            <w:tcW w:type="dxa" w:w="5896"/>
            <w:vAlign w:val="top"/>
          </w:tcPr>
          <w:p>
            <w:pPr>
              <w:spacing w:after="20" w:line="240" w:lineRule="auto"/>
            </w:pPr>
            <w:r>
              <w:rPr>
                <w:b w:val="0"/>
                <w:i w:val="0"/>
                <w:sz w:val="17"/>
              </w:rPr>
              <w:t>SKU, category, unit, reorder level, prices and stock. Unit conversions are stored but not yet applied to orders.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Weighted average cost</w:t>
            </w:r>
          </w:p>
        </w:tc>
        <w:tc>
          <w:tcPr>
            <w:tcW w:type="dxa" w:w="5896"/>
            <w:shd w:val="clear" w:color="auto" w:fill="F3F6FA"/>
            <w:vAlign w:val="top"/>
          </w:tcPr>
          <w:p>
            <w:pPr>
              <w:spacing w:after="20" w:line="240" w:lineRule="auto"/>
            </w:pPr>
            <w:r>
              <w:rPr>
                <w:b w:val="0"/>
                <w:i w:val="0"/>
                <w:sz w:val="17"/>
              </w:rPr>
              <w:t>One average cost per item. A sale never changes the average. Every movement keeps the cost before and after, so it can be audited without replaying anything.</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Batches and expiry</w:t>
            </w:r>
          </w:p>
        </w:tc>
        <w:tc>
          <w:tcPr>
            <w:tcW w:type="dxa" w:w="5896"/>
            <w:vAlign w:val="top"/>
          </w:tcPr>
          <w:p>
            <w:pPr>
              <w:spacing w:after="20" w:line="240" w:lineRule="auto"/>
            </w:pPr>
            <w:r>
              <w:rPr>
                <w:b w:val="0"/>
                <w:i w:val="0"/>
                <w:sz w:val="17"/>
              </w:rPr>
              <w:t>Quantity on hand per batch, first-expiry-first-out issue, and write-off of expired or damaged stock posted to the ledger.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Manual stock adjustment</w:t>
            </w:r>
          </w:p>
        </w:tc>
        <w:tc>
          <w:tcPr>
            <w:tcW w:type="dxa" w:w="5896"/>
            <w:shd w:val="clear" w:color="auto" w:fill="F3F6FA"/>
            <w:vAlign w:val="top"/>
          </w:tcPr>
          <w:p>
            <w:pPr>
              <w:spacing w:after="20" w:line="240" w:lineRule="auto"/>
            </w:pPr>
            <w:r>
              <w:rPr>
                <w:b w:val="0"/>
                <w:i w:val="0"/>
                <w:sz w:val="17"/>
              </w:rPr>
              <w:t>A stock count or correction is costed (out at the average cost, in at the cost entered), takes batches first-expiry-first-out, writes one numbered movement (SA-) and posts to the ledger. It is refused in a closed fiscal year.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Recost of back-dated documents</w:t>
            </w:r>
          </w:p>
        </w:tc>
        <w:tc>
          <w:tcPr>
            <w:tcW w:type="dxa" w:w="5896"/>
            <w:vAlign w:val="top"/>
          </w:tcPr>
          <w:p>
            <w:pPr>
              <w:spacing w:after="20" w:line="240" w:lineRule="auto"/>
            </w:pPr>
            <w:r>
              <w:rPr>
                <w:b w:val="0"/>
                <w:i w:val="0"/>
                <w:sz w:val="17"/>
              </w:rPr>
              <w:t>A purchase entered late re-prices the sales that followed it, so stock and ledger stay in agreement.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Movement register</w:t>
            </w:r>
          </w:p>
        </w:tc>
        <w:tc>
          <w:tcPr>
            <w:tcW w:type="dxa" w:w="5896"/>
            <w:shd w:val="clear" w:color="auto" w:fill="F3F6FA"/>
            <w:vAlign w:val="top"/>
          </w:tcPr>
          <w:p>
            <w:pPr>
              <w:spacing w:after="20" w:line="240" w:lineRule="auto"/>
            </w:pPr>
            <w:r>
              <w:rPr>
                <w:b w:val="0"/>
                <w:i w:val="0"/>
                <w:sz w:val="17"/>
              </w:rPr>
              <w:t>Every stock movement with filters and CSV export.</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2.5 Finance</w:t>
      </w:r>
    </w:p>
    <w:p>
      <w:pPr>
        <w:keepNext/>
      </w:pPr>
      <w:r>
        <w:rPr>
          <w:b w:val="0"/>
          <w:i w:val="0"/>
        </w:rPr>
        <w:t>Money in and out of the company and the manual vouchers. Everything posts to the one chart of accounts.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Receipts and payments</w:t>
            </w:r>
          </w:p>
        </w:tc>
        <w:tc>
          <w:tcPr>
            <w:tcW w:type="dxa" w:w="5896"/>
            <w:vAlign w:val="top"/>
          </w:tcPr>
          <w:p>
            <w:pPr>
              <w:spacing w:after="20" w:line="240" w:lineRule="auto"/>
            </w:pPr>
            <w:r>
              <w:rPr>
                <w:b w:val="0"/>
                <w:i w:val="0"/>
                <w:sz w:val="17"/>
              </w:rPr>
              <w:t>Set against invoices oldest first, with advances kept on account. Five payment modes: cash, bank, transfer, cheque and card.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Cheques</w:t>
            </w:r>
          </w:p>
        </w:tc>
        <w:tc>
          <w:tcPr>
            <w:tcW w:type="dxa" w:w="5896"/>
            <w:shd w:val="clear" w:color="auto" w:fill="F3F6FA"/>
            <w:vAlign w:val="top"/>
          </w:tcPr>
          <w:p>
            <w:pPr>
              <w:spacing w:after="20" w:line="240" w:lineRule="auto"/>
            </w:pPr>
            <w:r>
              <w:rPr>
                <w:b w:val="0"/>
                <w:i w:val="0"/>
                <w:sz w:val="17"/>
              </w:rPr>
              <w:t>Post-dated cheques wait in the register and cannot clear before their date. A cleared cheque moves to the bank; a bounced or cancelled one reverses the receipt and reopens the invoices.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Cards</w:t>
            </w:r>
          </w:p>
        </w:tc>
        <w:tc>
          <w:tcPr>
            <w:tcW w:type="dxa" w:w="5896"/>
            <w:vAlign w:val="top"/>
          </w:tcPr>
          <w:p>
            <w:pPr>
              <w:spacing w:after="20" w:line="240" w:lineRule="auto"/>
            </w:pPr>
            <w:r>
              <w:rPr>
                <w:b w:val="0"/>
                <w:i w:val="0"/>
                <w:sz w:val="17"/>
              </w:rPr>
              <w:t>Sales through a card terminal with the processing fee booked, and credit-card limits.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Journal, contra and expenses</w:t>
            </w:r>
          </w:p>
        </w:tc>
        <w:tc>
          <w:tcPr>
            <w:tcW w:type="dxa" w:w="5896"/>
            <w:shd w:val="clear" w:color="auto" w:fill="F3F6FA"/>
            <w:vAlign w:val="top"/>
          </w:tcPr>
          <w:p>
            <w:pPr>
              <w:spacing w:after="20" w:line="240" w:lineRule="auto"/>
            </w:pPr>
            <w:r>
              <w:rPr>
                <w:b w:val="0"/>
                <w:i w:val="0"/>
                <w:sz w:val="17"/>
              </w:rPr>
              <w:t>Journals with any number of lines that must balance; transfers between cash and bank; expenses with VAT and a payment mode. Journal entry works from the keyboard alone.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Debit and credit notes</w:t>
            </w:r>
          </w:p>
        </w:tc>
        <w:tc>
          <w:tcPr>
            <w:tcW w:type="dxa" w:w="5896"/>
            <w:vAlign w:val="top"/>
          </w:tcPr>
          <w:p>
            <w:pPr>
              <w:spacing w:after="20" w:line="240" w:lineRule="auto"/>
            </w:pPr>
            <w:r>
              <w:rPr>
                <w:b w:val="0"/>
                <w:i w:val="0"/>
                <w:sz w:val="17"/>
              </w:rPr>
              <w:t>Party notes with the VAT account following the party, optionally set against an open invoice, with a preview of exactly what will post.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Foreign-currency receipts and payments</w:t>
            </w:r>
          </w:p>
        </w:tc>
        <w:tc>
          <w:tcPr>
            <w:tcW w:type="dxa" w:w="5896"/>
            <w:shd w:val="clear" w:color="auto" w:fill="F3F6FA"/>
            <w:vAlign w:val="top"/>
          </w:tcPr>
          <w:p>
            <w:pPr>
              <w:spacing w:after="20" w:line="240" w:lineRule="auto"/>
            </w:pPr>
            <w:r>
              <w:rPr>
                <w:b w:val="0"/>
                <w:i w:val="0"/>
                <w:sz w:val="17"/>
              </w:rPr>
              <w:t>Converted to dirhams once, at the rate on the voucher, within a tolerance of the rate on file. A different rate needs a reason and is flagged in the register.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Cash and bank, and Ledger</w:t>
            </w:r>
          </w:p>
        </w:tc>
        <w:tc>
          <w:tcPr>
            <w:tcW w:type="dxa" w:w="5896"/>
            <w:vAlign w:val="top"/>
          </w:tcPr>
          <w:p>
            <w:pPr>
              <w:spacing w:after="20" w:line="240" w:lineRule="auto"/>
            </w:pPr>
            <w:r>
              <w:rPr>
                <w:b w:val="0"/>
                <w:i w:val="0"/>
                <w:sz w:val="17"/>
              </w:rPr>
              <w:t>Cash and bank balances with their side; every posting to one chosen account with a running balance in Dr or Cr.</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2.6 Accounts</w:t>
      </w:r>
    </w:p>
    <w:p>
      <w:pPr>
        <w:keepNext/>
      </w:pPr>
      <w:r>
        <w:rPr>
          <w:b w:val="0"/>
          <w:i w:val="0"/>
        </w:rPr>
        <w:t>The books themselves: which accounts exist, how entries reach them and how the company is set up.</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Chart of accounts</w:t>
            </w:r>
          </w:p>
        </w:tc>
        <w:tc>
          <w:tcPr>
            <w:tcW w:type="dxa" w:w="5896"/>
            <w:vAlign w:val="top"/>
          </w:tcPr>
          <w:p>
            <w:pPr>
              <w:spacing w:after="20" w:line="240" w:lineRule="auto"/>
            </w:pPr>
            <w:r>
              <w:rPr>
                <w:b w:val="0"/>
                <w:i w:val="0"/>
                <w:sz w:val="17"/>
              </w:rPr>
              <w:t>Five categories, groups and accounts, a default chart, balances, attachments and a ledger window. The account form follows the chosen group: bank details, KYC documents, customer and vendor sections, credit limit and VAT.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Posting accounts</w:t>
            </w:r>
          </w:p>
        </w:tc>
        <w:tc>
          <w:tcPr>
            <w:tcW w:type="dxa" w:w="5896"/>
            <w:shd w:val="clear" w:color="auto" w:fill="F3F6FA"/>
            <w:vAlign w:val="top"/>
          </w:tcPr>
          <w:p>
            <w:pPr>
              <w:spacing w:after="20" w:line="240" w:lineRule="auto"/>
            </w:pPr>
            <w:r>
              <w:rPr>
                <w:b w:val="0"/>
                <w:i w:val="0"/>
                <w:sz w:val="17"/>
              </w:rPr>
              <w:t>Every kind of entry is mapped to an account. There is no fallback account: an unmapped key stops the posting with a clear message. A readiness check shows what is still to be mapped.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Fiscal years and period lock</w:t>
            </w:r>
          </w:p>
        </w:tc>
        <w:tc>
          <w:tcPr>
            <w:tcW w:type="dxa" w:w="5896"/>
            <w:vAlign w:val="top"/>
          </w:tcPr>
          <w:p>
            <w:pPr>
              <w:spacing w:after="20" w:line="240" w:lineRule="auto"/>
            </w:pPr>
            <w:r>
              <w:rPr>
                <w:b w:val="0"/>
                <w:i w:val="0"/>
                <w:sz w:val="17"/>
              </w:rPr>
              <w:t>Posting outside a defined year, or inside a closed one, is refused on every screen.</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Tax codes</w:t>
            </w:r>
          </w:p>
        </w:tc>
        <w:tc>
          <w:tcPr>
            <w:tcW w:type="dxa" w:w="5896"/>
            <w:shd w:val="clear" w:color="auto" w:fill="F3F6FA"/>
            <w:vAlign w:val="top"/>
          </w:tcPr>
          <w:p>
            <w:pPr>
              <w:spacing w:after="20" w:line="240" w:lineRule="auto"/>
            </w:pPr>
            <w:r>
              <w:rPr>
                <w:b w:val="0"/>
                <w:i w:val="0"/>
                <w:sz w:val="17"/>
              </w:rPr>
              <w:t>Standard, zero-rated, exempt and out-of-scope codes with a rate history.</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Opening balances</w:t>
            </w:r>
          </w:p>
        </w:tc>
        <w:tc>
          <w:tcPr>
            <w:tcW w:type="dxa" w:w="5896"/>
            <w:vAlign w:val="top"/>
          </w:tcPr>
          <w:p>
            <w:pPr>
              <w:spacing w:after="20" w:line="240" w:lineRule="auto"/>
            </w:pPr>
            <w:r>
              <w:rPr>
                <w:b w:val="0"/>
                <w:i w:val="0"/>
                <w:sz w:val="17"/>
              </w:rPr>
              <w:t>Go-live set-up in six steps: go-live date, account balances, customer and vendor open invoices, opening stock (with batch and expiry) and a review. The go-live date is fixed once entries exist.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Currencies</w:t>
            </w:r>
          </w:p>
        </w:tc>
        <w:tc>
          <w:tcPr>
            <w:tcW w:type="dxa" w:w="5896"/>
            <w:shd w:val="clear" w:color="auto" w:fill="F3F6FA"/>
            <w:vAlign w:val="top"/>
          </w:tcPr>
          <w:p>
            <w:pPr>
              <w:spacing w:after="20" w:line="240" w:lineRule="auto"/>
            </w:pPr>
            <w:r>
              <w:rPr>
                <w:b w:val="0"/>
                <w:i w:val="0"/>
                <w:sz w:val="17"/>
              </w:rPr>
              <w:t>Currency master with AED as the fixed base, exchange-rate history by day and the allowed rate difference.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Banks, card types and cards</w:t>
            </w:r>
          </w:p>
        </w:tc>
        <w:tc>
          <w:tcPr>
            <w:tcW w:type="dxa" w:w="5896"/>
            <w:vAlign w:val="top"/>
          </w:tcPr>
          <w:p>
            <w:pPr>
              <w:spacing w:after="20" w:line="240" w:lineRule="auto"/>
            </w:pPr>
            <w:r>
              <w:rPr>
                <w:b w:val="0"/>
                <w:i w:val="0"/>
                <w:sz w:val="17"/>
              </w:rPr>
              <w:t>Bank master with checked IBAN and SWIFT; card types with a fee percentage; terminal, credit, debit and prepaid cards.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KYC documents</w:t>
            </w:r>
          </w:p>
        </w:tc>
        <w:tc>
          <w:tcPr>
            <w:tcW w:type="dxa" w:w="5896"/>
            <w:shd w:val="clear" w:color="auto" w:fill="F3F6FA"/>
            <w:vAlign w:val="top"/>
          </w:tcPr>
          <w:p>
            <w:pPr>
              <w:spacing w:after="20" w:line="240" w:lineRule="auto"/>
            </w:pPr>
            <w:r>
              <w:rPr>
                <w:b w:val="0"/>
                <w:i w:val="0"/>
                <w:sz w:val="17"/>
              </w:rPr>
              <w:t>Expiring and expired documents of customers and vendors in one list, and the KYC document types.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Audit log</w:t>
            </w:r>
          </w:p>
        </w:tc>
        <w:tc>
          <w:tcPr>
            <w:tcW w:type="dxa" w:w="5896"/>
            <w:vAlign w:val="top"/>
          </w:tcPr>
          <w:p>
            <w:pPr>
              <w:spacing w:after="20" w:line="240" w:lineRule="auto"/>
            </w:pPr>
            <w:r>
              <w:rPr>
                <w:b w:val="0"/>
                <w:i w:val="0"/>
                <w:sz w:val="17"/>
              </w:rPr>
              <w:t>Setup and exception events: posting switched on or off, period closed, rate changes, and similar.</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2.7 Reports</w:t>
      </w:r>
    </w:p>
    <w:p>
      <w:pPr>
        <w:keepNext/>
      </w:pPr>
      <w:r>
        <w:rPr>
          <w:b w:val="0"/>
          <w:i w:val="0"/>
        </w:rPr>
        <w:t>What the books and the stock say, and the VAT return. The full list is in section 3.</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Financial statements and IFRS</w:t>
            </w:r>
          </w:p>
        </w:tc>
        <w:tc>
          <w:tcPr>
            <w:tcW w:type="dxa" w:w="5896"/>
            <w:vAlign w:val="top"/>
          </w:tcPr>
          <w:p>
            <w:pPr>
              <w:spacing w:after="20" w:line="240" w:lineRule="auto"/>
            </w:pPr>
            <w:r>
              <w:rPr>
                <w:b w:val="0"/>
                <w:i w:val="0"/>
                <w:sz w:val="17"/>
              </w:rPr>
              <w:t>Trial balance, profit and loss with gross profit, cash flow, balance sheet, and five IFRS statements with comparatives.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Ledger and party reports</w:t>
            </w:r>
          </w:p>
        </w:tc>
        <w:tc>
          <w:tcPr>
            <w:tcW w:type="dxa" w:w="5896"/>
            <w:shd w:val="clear" w:color="auto" w:fill="F3F6FA"/>
            <w:vAlign w:val="top"/>
          </w:tcPr>
          <w:p>
            <w:pPr>
              <w:spacing w:after="20" w:line="240" w:lineRule="auto"/>
            </w:pPr>
            <w:r>
              <w:rPr>
                <w:b w:val="0"/>
                <w:i w:val="0"/>
                <w:sz w:val="17"/>
              </w:rPr>
              <w:t>General ledger, day book, journals register, cash and bank book, party balances, ageing and statement of account.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Stock reports</w:t>
            </w:r>
          </w:p>
        </w:tc>
        <w:tc>
          <w:tcPr>
            <w:tcW w:type="dxa" w:w="5896"/>
            <w:vAlign w:val="top"/>
          </w:tcPr>
          <w:p>
            <w:pPr>
              <w:spacing w:after="20" w:line="240" w:lineRule="auto"/>
            </w:pPr>
            <w:r>
              <w:rPr>
                <w:b w:val="0"/>
                <w:i w:val="0"/>
                <w:sz w:val="17"/>
              </w:rPr>
              <w:t>Stock valuation reconciled to the Inventory account, movement, item ledger, sales and purchase analysis, batch expiry, slow-moving stock and reorder.</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VAT return</w:t>
            </w:r>
          </w:p>
        </w:tc>
        <w:tc>
          <w:tcPr>
            <w:tcW w:type="dxa" w:w="5896"/>
            <w:shd w:val="clear" w:color="auto" w:fill="F3F6FA"/>
            <w:vAlign w:val="top"/>
          </w:tcPr>
          <w:p>
            <w:pPr>
              <w:spacing w:after="20" w:line="240" w:lineRule="auto"/>
            </w:pPr>
            <w:r>
              <w:rPr>
                <w:b w:val="0"/>
                <w:i w:val="0"/>
                <w:sz w:val="17"/>
              </w:rPr>
              <w:t>The UAE VAT 201 built from approved documents by tax treatment, reconciled to the VAT accounts, saved as a draft, finalised and marked filed.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e-Invoicing</w:t>
            </w:r>
          </w:p>
        </w:tc>
        <w:tc>
          <w:tcPr>
            <w:tcW w:type="dxa" w:w="5896"/>
            <w:vAlign w:val="top"/>
          </w:tcPr>
          <w:p>
            <w:pPr>
              <w:spacing w:after="20" w:line="240" w:lineRule="auto"/>
            </w:pPr>
            <w:r>
              <w:rPr>
                <w:b w:val="0"/>
                <w:i w:val="0"/>
                <w:sz w:val="17"/>
              </w:rPr>
              <w:t>Readiness check, preview, send, status follow-up, retry and an inbound register. Works end to end against a built-in test provider; the live connection is not made.</w:t>
            </w:r>
          </w:p>
        </w:tc>
        <w:tc>
          <w:tcPr>
            <w:tcW w:type="dxa" w:w="1587"/>
            <w:shd w:val="clear" w:color="auto" w:fill="DEE6F1"/>
            <w:vAlign w:val="top"/>
          </w:tcPr>
          <w:p>
            <w:pPr>
              <w:spacing w:after="20" w:line="240" w:lineRule="auto"/>
            </w:pPr>
            <w:r>
              <w:rPr>
                <w:b/>
                <w:i w:val="0"/>
                <w:sz w:val="17"/>
              </w:rPr>
              <w:t>Available (sandbox)</w:t>
            </w:r>
          </w:p>
        </w:tc>
      </w:tr>
    </w:tbl>
    <w:p>
      <w:pPr>
        <w:spacing w:after="0" w:before="0" w:line="80" w:lineRule="exact"/>
      </w:pPr>
    </w:p>
    <w:p>
      <w:pPr>
        <w:pStyle w:val="Heading2"/>
      </w:pPr>
      <w:r>
        <w:t>2.8 People</w:t>
      </w:r>
    </w:p>
    <w:p>
      <w:pPr>
        <w:keepNext/>
      </w:pPr>
      <w:r>
        <w:rPr>
          <w:b w:val="0"/>
          <w:i w:val="0"/>
        </w:rPr>
        <w:t>Staff records.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Staff records</w:t>
            </w:r>
          </w:p>
        </w:tc>
        <w:tc>
          <w:tcPr>
            <w:tcW w:type="dxa" w:w="5896"/>
            <w:vAlign w:val="top"/>
          </w:tcPr>
          <w:p>
            <w:pPr>
              <w:spacing w:after="20" w:line="240" w:lineRule="auto"/>
            </w:pPr>
            <w:r>
              <w:rPr>
                <w:b w:val="0"/>
                <w:i w:val="0"/>
                <w:sz w:val="17"/>
              </w:rPr>
              <w:t>A record for each staff member. There is no login, role or payroll attached to it.</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2.9 Settings and the screen</w:t>
      </w:r>
    </w:p>
    <w:p>
      <w:pPr>
        <w:keepNext/>
      </w:pPr>
      <w:r>
        <w:rPr>
          <w:b w:val="0"/>
          <w:i w:val="0"/>
        </w:rPr>
        <w:t>Company details, business rules and each user's preferences.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154"/>
        <w:gridCol w:w="5896"/>
        <w:gridCol w:w="1587"/>
      </w:tblGrid>
      <w:tr>
        <w:trPr>
          <w:cantSplit w:val="true"/>
          <w:tblHeader w:val="true"/>
        </w:trPr>
        <w:tc>
          <w:tcPr>
            <w:tcW w:type="dxa" w:w="2154"/>
            <w:shd w:val="clear" w:color="auto" w:fill="1F3864"/>
            <w:vAlign w:val="center"/>
          </w:tcPr>
          <w:p>
            <w:pPr>
              <w:keepNext/>
              <w:spacing w:after="0" w:line="240" w:lineRule="auto"/>
            </w:pPr>
            <w:r>
              <w:rPr>
                <w:b/>
                <w:color w:val="FFFFFF"/>
                <w:sz w:val="17"/>
              </w:rPr>
              <w:t>Feature</w:t>
            </w:r>
          </w:p>
        </w:tc>
        <w:tc>
          <w:tcPr>
            <w:tcW w:type="dxa" w:w="5896"/>
            <w:shd w:val="clear" w:color="auto" w:fill="1F3864"/>
            <w:vAlign w:val="center"/>
          </w:tcPr>
          <w:p>
            <w:pPr>
              <w:keepNext/>
              <w:spacing w:after="0" w:line="240" w:lineRule="auto"/>
            </w:pPr>
            <w:r>
              <w:rPr>
                <w:b/>
                <w:color w:val="FFFFFF"/>
                <w:sz w:val="17"/>
              </w:rPr>
              <w:t>What it gives you</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154"/>
            <w:vAlign w:val="top"/>
          </w:tcPr>
          <w:p>
            <w:pPr>
              <w:spacing w:after="20" w:line="240" w:lineRule="auto"/>
            </w:pPr>
            <w:r>
              <w:rPr>
                <w:b/>
                <w:i w:val="0"/>
                <w:sz w:val="17"/>
              </w:rPr>
              <w:t>Company and business rules</w:t>
            </w:r>
          </w:p>
        </w:tc>
        <w:tc>
          <w:tcPr>
            <w:tcW w:type="dxa" w:w="5896"/>
            <w:vAlign w:val="top"/>
          </w:tcPr>
          <w:p>
            <w:pPr>
              <w:spacing w:after="20" w:line="240" w:lineRule="auto"/>
            </w:pPr>
            <w:r>
              <w:rPr>
                <w:b w:val="0"/>
                <w:i w:val="0"/>
                <w:sz w:val="17"/>
              </w:rPr>
              <w:t>Company profile and tax identity, credit control, return rules, and the bank details printed on invoices.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Preferences</w:t>
            </w:r>
          </w:p>
        </w:tc>
        <w:tc>
          <w:tcPr>
            <w:tcW w:type="dxa" w:w="5896"/>
            <w:shd w:val="clear" w:color="auto" w:fill="F3F6FA"/>
            <w:vAlign w:val="top"/>
          </w:tcPr>
          <w:p>
            <w:pPr>
              <w:spacing w:after="20" w:line="240" w:lineRule="auto"/>
            </w:pPr>
            <w:r>
              <w:rPr>
                <w:b w:val="0"/>
                <w:i w:val="0"/>
                <w:sz w:val="17"/>
              </w:rPr>
              <w:t>Light, dark or system theme; date and time format (every date field follows it); Dubai time. Language and notifications are shown as Coming soon.</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vAlign w:val="top"/>
          </w:tcPr>
          <w:p>
            <w:pPr>
              <w:spacing w:after="20" w:line="240" w:lineRule="auto"/>
            </w:pPr>
            <w:r>
              <w:rPr>
                <w:b/>
                <w:i w:val="0"/>
                <w:sz w:val="17"/>
              </w:rPr>
              <w:t>Security</w:t>
            </w:r>
          </w:p>
        </w:tc>
        <w:tc>
          <w:tcPr>
            <w:tcW w:type="dxa" w:w="5896"/>
            <w:vAlign w:val="top"/>
          </w:tcPr>
          <w:p>
            <w:pPr>
              <w:spacing w:after="20" w:line="240" w:lineRule="auto"/>
            </w:pPr>
            <w:r>
              <w:rPr>
                <w:b w:val="0"/>
                <w:i w:val="0"/>
                <w:sz w:val="17"/>
              </w:rPr>
              <w:t>Password change.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154"/>
            <w:shd w:val="clear" w:color="auto" w:fill="F3F6FA"/>
            <w:vAlign w:val="top"/>
          </w:tcPr>
          <w:p>
            <w:pPr>
              <w:spacing w:after="20" w:line="240" w:lineRule="auto"/>
            </w:pPr>
            <w:r>
              <w:rPr>
                <w:b/>
                <w:i w:val="0"/>
                <w:sz w:val="17"/>
              </w:rPr>
              <w:t>Screen and navigation</w:t>
            </w:r>
          </w:p>
        </w:tc>
        <w:tc>
          <w:tcPr>
            <w:tcW w:type="dxa" w:w="5896"/>
            <w:shd w:val="clear" w:color="auto" w:fill="F3F6FA"/>
            <w:vAlign w:val="top"/>
          </w:tcPr>
          <w:p>
            <w:pPr>
              <w:spacing w:after="20" w:line="240" w:lineRule="auto"/>
            </w:pPr>
            <w:r>
              <w:rPr>
                <w:b w:val="0"/>
                <w:i w:val="0"/>
                <w:sz w:val="17"/>
              </w:rPr>
              <w:t>A labelled left rail, header tabs per module, Ctrl+K page search, a drawer on small screens and dark mode.</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1"/>
        <w:pageBreakBefore/>
      </w:pPr>
      <w:r>
        <w:t>3. Reports</w:t>
      </w:r>
    </w:p>
    <w:p>
      <w:pPr>
        <w:spacing w:after="160"/>
      </w:pPr>
      <w:r>
        <w:rPr>
          <w:b w:val="0"/>
          <w:i w:val="0"/>
          <w:color w:val="44546A"/>
          <w:sz w:val="22"/>
        </w:rPr>
        <w:t>Every report below is available. Reports read the general ledger (financial and ledger reports), the approved documents (the VAT return) and the stock movements (stock reports). Balances show an amount with Dr or Cr.</w:t>
      </w:r>
    </w:p>
    <w:p>
      <w:pPr>
        <w:pStyle w:val="Heading2"/>
      </w:pPr>
      <w:r>
        <w:t>3.1 Financial statements</w:t>
      </w:r>
    </w:p>
    <w:p>
      <w:pPr>
        <w:keepNext/>
      </w:pPr>
      <w:r>
        <w:rPr>
          <w:b w:val="0"/>
          <w:i w:val="0"/>
        </w:rPr>
        <w:t>The four statements that say how the company has done and where it stands, read from the general ledger.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669"/>
        <w:gridCol w:w="1587"/>
      </w:tblGrid>
      <w:tr>
        <w:trPr>
          <w:cantSplit w:val="true"/>
          <w:tblHeader w:val="true"/>
        </w:trPr>
        <w:tc>
          <w:tcPr>
            <w:tcW w:type="dxa" w:w="2381"/>
            <w:shd w:val="clear" w:color="auto" w:fill="1F3864"/>
            <w:vAlign w:val="center"/>
          </w:tcPr>
          <w:p>
            <w:pPr>
              <w:keepNext/>
              <w:spacing w:after="0" w:line="240" w:lineRule="auto"/>
            </w:pPr>
            <w:r>
              <w:rPr>
                <w:b/>
                <w:color w:val="FFFFFF"/>
                <w:sz w:val="17"/>
              </w:rPr>
              <w:t>Report</w:t>
            </w:r>
          </w:p>
        </w:tc>
        <w:tc>
          <w:tcPr>
            <w:tcW w:type="dxa" w:w="5669"/>
            <w:shd w:val="clear" w:color="auto" w:fill="1F3864"/>
            <w:vAlign w:val="center"/>
          </w:tcPr>
          <w:p>
            <w:pPr>
              <w:keepNext/>
              <w:spacing w:after="0" w:line="240" w:lineRule="auto"/>
            </w:pPr>
            <w:r>
              <w:rPr>
                <w:b/>
                <w:color w:val="FFFFFF"/>
                <w:sz w:val="17"/>
              </w:rPr>
              <w:t>The question it answers</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381"/>
            <w:vAlign w:val="top"/>
          </w:tcPr>
          <w:p>
            <w:pPr>
              <w:spacing w:after="20" w:line="240" w:lineRule="auto"/>
            </w:pPr>
            <w:r>
              <w:rPr>
                <w:b/>
                <w:i w:val="0"/>
                <w:sz w:val="17"/>
              </w:rPr>
              <w:t>Trial balance</w:t>
            </w:r>
          </w:p>
        </w:tc>
        <w:tc>
          <w:tcPr>
            <w:tcW w:type="dxa" w:w="5669"/>
            <w:vAlign w:val="top"/>
          </w:tcPr>
          <w:p>
            <w:pPr>
              <w:spacing w:after="20" w:line="240" w:lineRule="auto"/>
            </w:pPr>
            <w:r>
              <w:rPr>
                <w:b w:val="0"/>
                <w:i w:val="0"/>
                <w:sz w:val="17"/>
              </w:rPr>
              <w:t>Do debits equal credits, and what is each account's opening, movement and closing position?</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Profit and loss</w:t>
            </w:r>
          </w:p>
        </w:tc>
        <w:tc>
          <w:tcPr>
            <w:tcW w:type="dxa" w:w="5669"/>
            <w:shd w:val="clear" w:color="auto" w:fill="F3F6FA"/>
            <w:vAlign w:val="top"/>
          </w:tcPr>
          <w:p>
            <w:pPr>
              <w:spacing w:after="20" w:line="240" w:lineRule="auto"/>
            </w:pPr>
            <w:r>
              <w:rPr>
                <w:b w:val="0"/>
                <w:i w:val="0"/>
                <w:sz w:val="17"/>
              </w:rPr>
              <w:t>What did we earn and spend? Revenue less cost of sales gives gross profit and margin; then net profit or loss.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Cash flow</w:t>
            </w:r>
          </w:p>
        </w:tc>
        <w:tc>
          <w:tcPr>
            <w:tcW w:type="dxa" w:w="5669"/>
            <w:vAlign w:val="top"/>
          </w:tcPr>
          <w:p>
            <w:pPr>
              <w:spacing w:after="20" w:line="240" w:lineRule="auto"/>
            </w:pPr>
            <w:r>
              <w:rPr>
                <w:b w:val="0"/>
                <w:i w:val="0"/>
                <w:sz w:val="17"/>
              </w:rPr>
              <w:t>Where did cash and bank money come from and go, by type of voucher? Does it agree with the cash and bank ledgers?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Balance sheet</w:t>
            </w:r>
          </w:p>
        </w:tc>
        <w:tc>
          <w:tcPr>
            <w:tcW w:type="dxa" w:w="5669"/>
            <w:shd w:val="clear" w:color="auto" w:fill="F3F6FA"/>
            <w:vAlign w:val="top"/>
          </w:tcPr>
          <w:p>
            <w:pPr>
              <w:spacing w:after="20" w:line="240" w:lineRule="auto"/>
            </w:pPr>
            <w:r>
              <w:rPr>
                <w:b w:val="0"/>
                <w:i w:val="0"/>
                <w:sz w:val="17"/>
              </w:rPr>
              <w:t>What do we own, owe and hold in equity on a date?</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3.2 IFRS statements</w:t>
      </w:r>
    </w:p>
    <w:p>
      <w:pPr>
        <w:keepNext/>
      </w:pPr>
      <w:r>
        <w:rPr>
          <w:b w:val="0"/>
          <w:i w:val="0"/>
        </w:rPr>
        <w:t>The same ledger laid out in IFRS order, with comparatives and basic notes, for the accountant and the auditor.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669"/>
        <w:gridCol w:w="1587"/>
      </w:tblGrid>
      <w:tr>
        <w:trPr>
          <w:cantSplit w:val="true"/>
          <w:tblHeader w:val="true"/>
        </w:trPr>
        <w:tc>
          <w:tcPr>
            <w:tcW w:type="dxa" w:w="2381"/>
            <w:shd w:val="clear" w:color="auto" w:fill="1F3864"/>
            <w:vAlign w:val="center"/>
          </w:tcPr>
          <w:p>
            <w:pPr>
              <w:keepNext/>
              <w:spacing w:after="0" w:line="240" w:lineRule="auto"/>
            </w:pPr>
            <w:r>
              <w:rPr>
                <w:b/>
                <w:color w:val="FFFFFF"/>
                <w:sz w:val="17"/>
              </w:rPr>
              <w:t>Report</w:t>
            </w:r>
          </w:p>
        </w:tc>
        <w:tc>
          <w:tcPr>
            <w:tcW w:type="dxa" w:w="5669"/>
            <w:shd w:val="clear" w:color="auto" w:fill="1F3864"/>
            <w:vAlign w:val="center"/>
          </w:tcPr>
          <w:p>
            <w:pPr>
              <w:keepNext/>
              <w:spacing w:after="0" w:line="240" w:lineRule="auto"/>
            </w:pPr>
            <w:r>
              <w:rPr>
                <w:b/>
                <w:color w:val="FFFFFF"/>
                <w:sz w:val="17"/>
              </w:rPr>
              <w:t>The question it answers</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381"/>
            <w:vAlign w:val="top"/>
          </w:tcPr>
          <w:p>
            <w:pPr>
              <w:spacing w:after="20" w:line="240" w:lineRule="auto"/>
            </w:pPr>
            <w:r>
              <w:rPr>
                <w:b/>
                <w:i w:val="0"/>
                <w:sz w:val="17"/>
              </w:rPr>
              <w:t>Statement of financial position</w:t>
            </w:r>
          </w:p>
        </w:tc>
        <w:tc>
          <w:tcPr>
            <w:tcW w:type="dxa" w:w="5669"/>
            <w:vAlign w:val="top"/>
          </w:tcPr>
          <w:p>
            <w:pPr>
              <w:spacing w:after="20" w:line="240" w:lineRule="auto"/>
            </w:pPr>
            <w:r>
              <w:rPr>
                <w:b w:val="0"/>
                <w:i w:val="0"/>
                <w:sz w:val="17"/>
              </w:rPr>
              <w:t>Assets, equity and liabilities, current and non-current, with a comparative.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Statement of profit or loss</w:t>
            </w:r>
          </w:p>
        </w:tc>
        <w:tc>
          <w:tcPr>
            <w:tcW w:type="dxa" w:w="5669"/>
            <w:shd w:val="clear" w:color="auto" w:fill="F3F6FA"/>
            <w:vAlign w:val="top"/>
          </w:tcPr>
          <w:p>
            <w:pPr>
              <w:spacing w:after="20" w:line="240" w:lineRule="auto"/>
            </w:pPr>
            <w:r>
              <w:rPr>
                <w:b w:val="0"/>
                <w:i w:val="0"/>
                <w:sz w:val="17"/>
              </w:rPr>
              <w:t>Revenue to profit for the period.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Statement of changes in equity</w:t>
            </w:r>
          </w:p>
        </w:tc>
        <w:tc>
          <w:tcPr>
            <w:tcW w:type="dxa" w:w="5669"/>
            <w:vAlign w:val="top"/>
          </w:tcPr>
          <w:p>
            <w:pPr>
              <w:spacing w:after="20" w:line="240" w:lineRule="auto"/>
            </w:pPr>
            <w:r>
              <w:rPr>
                <w:b w:val="0"/>
                <w:i w:val="0"/>
                <w:sz w:val="17"/>
              </w:rPr>
              <w:t>How share capital, retained earnings and reserves moved in the period.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Statement of cash flows</w:t>
            </w:r>
          </w:p>
        </w:tc>
        <w:tc>
          <w:tcPr>
            <w:tcW w:type="dxa" w:w="5669"/>
            <w:shd w:val="clear" w:color="auto" w:fill="F3F6FA"/>
            <w:vAlign w:val="top"/>
          </w:tcPr>
          <w:p>
            <w:pPr>
              <w:spacing w:after="20" w:line="240" w:lineRule="auto"/>
            </w:pPr>
            <w:r>
              <w:rPr>
                <w:b w:val="0"/>
                <w:i w:val="0"/>
                <w:sz w:val="17"/>
              </w:rPr>
              <w:t>Operating, investing and financing cash, checked against the cash and bank balance.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Notes</w:t>
            </w:r>
          </w:p>
        </w:tc>
        <w:tc>
          <w:tcPr>
            <w:tcW w:type="dxa" w:w="5669"/>
            <w:vAlign w:val="top"/>
          </w:tcPr>
          <w:p>
            <w:pPr>
              <w:spacing w:after="20" w:line="240" w:lineRule="auto"/>
            </w:pPr>
            <w:r>
              <w:rPr>
                <w:b w:val="0"/>
                <w:i w:val="0"/>
                <w:sz w:val="17"/>
              </w:rPr>
              <w:t>Basic notes written from the ledger: receivables and payables with ageing, inventories, cash and VAT.</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3.3 Ledger reports and registers</w:t>
      </w:r>
    </w:p>
    <w:p>
      <w:pPr>
        <w:keepNext/>
      </w:pPr>
      <w:r>
        <w:rPr>
          <w:b w:val="0"/>
          <w:i w:val="0"/>
        </w:rPr>
        <w:t>The books in detail, account by account and voucher by voucher.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669"/>
        <w:gridCol w:w="1587"/>
      </w:tblGrid>
      <w:tr>
        <w:trPr>
          <w:cantSplit w:val="true"/>
          <w:tblHeader w:val="true"/>
        </w:trPr>
        <w:tc>
          <w:tcPr>
            <w:tcW w:type="dxa" w:w="2381"/>
            <w:shd w:val="clear" w:color="auto" w:fill="1F3864"/>
            <w:vAlign w:val="center"/>
          </w:tcPr>
          <w:p>
            <w:pPr>
              <w:keepNext/>
              <w:spacing w:after="0" w:line="240" w:lineRule="auto"/>
            </w:pPr>
            <w:r>
              <w:rPr>
                <w:b/>
                <w:color w:val="FFFFFF"/>
                <w:sz w:val="17"/>
              </w:rPr>
              <w:t>Report</w:t>
            </w:r>
          </w:p>
        </w:tc>
        <w:tc>
          <w:tcPr>
            <w:tcW w:type="dxa" w:w="5669"/>
            <w:shd w:val="clear" w:color="auto" w:fill="1F3864"/>
            <w:vAlign w:val="center"/>
          </w:tcPr>
          <w:p>
            <w:pPr>
              <w:keepNext/>
              <w:spacing w:after="0" w:line="240" w:lineRule="auto"/>
            </w:pPr>
            <w:r>
              <w:rPr>
                <w:b/>
                <w:color w:val="FFFFFF"/>
                <w:sz w:val="17"/>
              </w:rPr>
              <w:t>The question it answers</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381"/>
            <w:vAlign w:val="top"/>
          </w:tcPr>
          <w:p>
            <w:pPr>
              <w:spacing w:after="20" w:line="240" w:lineRule="auto"/>
            </w:pPr>
            <w:r>
              <w:rPr>
                <w:b/>
                <w:i w:val="0"/>
                <w:sz w:val="17"/>
              </w:rPr>
              <w:t>General ledger</w:t>
            </w:r>
          </w:p>
        </w:tc>
        <w:tc>
          <w:tcPr>
            <w:tcW w:type="dxa" w:w="5669"/>
            <w:vAlign w:val="top"/>
          </w:tcPr>
          <w:p>
            <w:pPr>
              <w:spacing w:after="20" w:line="240" w:lineRule="auto"/>
            </w:pPr>
            <w:r>
              <w:rPr>
                <w:b w:val="0"/>
                <w:i w:val="0"/>
                <w:sz w:val="17"/>
              </w:rPr>
              <w:t>For every account: the opening balance, what moved, and the closing balance.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Day book</w:t>
            </w:r>
          </w:p>
        </w:tc>
        <w:tc>
          <w:tcPr>
            <w:tcW w:type="dxa" w:w="5669"/>
            <w:shd w:val="clear" w:color="auto" w:fill="F3F6FA"/>
            <w:vAlign w:val="top"/>
          </w:tcPr>
          <w:p>
            <w:pPr>
              <w:spacing w:after="20" w:line="240" w:lineRule="auto"/>
            </w:pPr>
            <w:r>
              <w:rPr>
                <w:b w:val="0"/>
                <w:i w:val="0"/>
                <w:sz w:val="17"/>
              </w:rPr>
              <w:t>Which vouchers and documents were posted, in date order, and for what amount?</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Journals register</w:t>
            </w:r>
          </w:p>
        </w:tc>
        <w:tc>
          <w:tcPr>
            <w:tcW w:type="dxa" w:w="5669"/>
            <w:vAlign w:val="top"/>
          </w:tcPr>
          <w:p>
            <w:pPr>
              <w:spacing w:after="20" w:line="240" w:lineRule="auto"/>
            </w:pPr>
            <w:r>
              <w:rPr>
                <w:b w:val="0"/>
                <w:i w:val="0"/>
                <w:sz w:val="17"/>
              </w:rPr>
              <w:t>Every journal with its debit and credit lines.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Cash and bank book</w:t>
            </w:r>
          </w:p>
        </w:tc>
        <w:tc>
          <w:tcPr>
            <w:tcW w:type="dxa" w:w="5669"/>
            <w:shd w:val="clear" w:color="auto" w:fill="F3F6FA"/>
            <w:vAlign w:val="top"/>
          </w:tcPr>
          <w:p>
            <w:pPr>
              <w:spacing w:after="20" w:line="240" w:lineRule="auto"/>
            </w:pPr>
            <w:r>
              <w:rPr>
                <w:b w:val="0"/>
                <w:i w:val="0"/>
                <w:sz w:val="17"/>
              </w:rPr>
              <w:t>For each cash and bank account: opening balance, money in, money out and closing balance.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Account ledger</w:t>
            </w:r>
          </w:p>
        </w:tc>
        <w:tc>
          <w:tcPr>
            <w:tcW w:type="dxa" w:w="5669"/>
            <w:vAlign w:val="top"/>
          </w:tcPr>
          <w:p>
            <w:pPr>
              <w:spacing w:after="20" w:line="240" w:lineRule="auto"/>
            </w:pPr>
            <w:r>
              <w:rPr>
                <w:b w:val="0"/>
                <w:i w:val="0"/>
                <w:sz w:val="17"/>
              </w:rPr>
              <w:t>Every posting to one account, with a running balance in Dr or Cr.</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3.4 Customers and vendors</w:t>
      </w:r>
    </w:p>
    <w:p>
      <w:pPr>
        <w:keepNext/>
      </w:pPr>
      <w:r>
        <w:rPr>
          <w:b w:val="0"/>
          <w:i w:val="0"/>
        </w:rPr>
        <w:t>Who owes what, and for how long.</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669"/>
        <w:gridCol w:w="1587"/>
      </w:tblGrid>
      <w:tr>
        <w:trPr>
          <w:cantSplit w:val="true"/>
          <w:tblHeader w:val="true"/>
        </w:trPr>
        <w:tc>
          <w:tcPr>
            <w:tcW w:type="dxa" w:w="2381"/>
            <w:shd w:val="clear" w:color="auto" w:fill="1F3864"/>
            <w:vAlign w:val="center"/>
          </w:tcPr>
          <w:p>
            <w:pPr>
              <w:keepNext/>
              <w:spacing w:after="0" w:line="240" w:lineRule="auto"/>
            </w:pPr>
            <w:r>
              <w:rPr>
                <w:b/>
                <w:color w:val="FFFFFF"/>
                <w:sz w:val="17"/>
              </w:rPr>
              <w:t>Report</w:t>
            </w:r>
          </w:p>
        </w:tc>
        <w:tc>
          <w:tcPr>
            <w:tcW w:type="dxa" w:w="5669"/>
            <w:shd w:val="clear" w:color="auto" w:fill="1F3864"/>
            <w:vAlign w:val="center"/>
          </w:tcPr>
          <w:p>
            <w:pPr>
              <w:keepNext/>
              <w:spacing w:after="0" w:line="240" w:lineRule="auto"/>
            </w:pPr>
            <w:r>
              <w:rPr>
                <w:b/>
                <w:color w:val="FFFFFF"/>
                <w:sz w:val="17"/>
              </w:rPr>
              <w:t>The question it answers</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381"/>
            <w:vAlign w:val="top"/>
          </w:tcPr>
          <w:p>
            <w:pPr>
              <w:spacing w:after="20" w:line="240" w:lineRule="auto"/>
            </w:pPr>
            <w:r>
              <w:rPr>
                <w:b/>
                <w:i w:val="0"/>
                <w:sz w:val="17"/>
              </w:rPr>
              <w:t>Party balances</w:t>
            </w:r>
          </w:p>
        </w:tc>
        <w:tc>
          <w:tcPr>
            <w:tcW w:type="dxa" w:w="5669"/>
            <w:vAlign w:val="top"/>
          </w:tcPr>
          <w:p>
            <w:pPr>
              <w:spacing w:after="20" w:line="240" w:lineRule="auto"/>
            </w:pPr>
            <w:r>
              <w:rPr>
                <w:b w:val="0"/>
                <w:i w:val="0"/>
                <w:sz w:val="17"/>
              </w:rPr>
              <w:t>What each customer owes or each vendor is owed on a date, how much of the credit limit is used and what is overdue.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Ageing</w:t>
            </w:r>
          </w:p>
        </w:tc>
        <w:tc>
          <w:tcPr>
            <w:tcW w:type="dxa" w:w="5669"/>
            <w:shd w:val="clear" w:color="auto" w:fill="F3F6FA"/>
            <w:vAlign w:val="top"/>
          </w:tcPr>
          <w:p>
            <w:pPr>
              <w:spacing w:after="20" w:line="240" w:lineRule="auto"/>
            </w:pPr>
            <w:r>
              <w:rPr>
                <w:b w:val="0"/>
                <w:i w:val="0"/>
                <w:sz w:val="17"/>
              </w:rPr>
              <w:t>Which invoices are unpaid, how old they are and how much is overdue, grouped by days past due, for customers and vendors.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Statement of account</w:t>
            </w:r>
          </w:p>
        </w:tc>
        <w:tc>
          <w:tcPr>
            <w:tcW w:type="dxa" w:w="5669"/>
            <w:vAlign w:val="top"/>
          </w:tcPr>
          <w:p>
            <w:pPr>
              <w:spacing w:after="20" w:line="240" w:lineRule="auto"/>
            </w:pPr>
            <w:r>
              <w:rPr>
                <w:b w:val="0"/>
                <w:i w:val="0"/>
                <w:sz w:val="17"/>
              </w:rPr>
              <w:t>One customer or vendor: opening balance, every transaction, closing balance, running balance in Dr or Cr.</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3.5 Stock reports</w:t>
      </w:r>
    </w:p>
    <w:p>
      <w:pPr>
        <w:keepNext/>
      </w:pPr>
      <w:r>
        <w:rPr>
          <w:b w:val="0"/>
          <w:i w:val="0"/>
        </w:rPr>
        <w:t>What is on hand, what it is worth and how it moves.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669"/>
        <w:gridCol w:w="1587"/>
      </w:tblGrid>
      <w:tr>
        <w:trPr>
          <w:cantSplit w:val="true"/>
          <w:tblHeader w:val="true"/>
        </w:trPr>
        <w:tc>
          <w:tcPr>
            <w:tcW w:type="dxa" w:w="2381"/>
            <w:shd w:val="clear" w:color="auto" w:fill="1F3864"/>
            <w:vAlign w:val="center"/>
          </w:tcPr>
          <w:p>
            <w:pPr>
              <w:keepNext/>
              <w:spacing w:after="0" w:line="240" w:lineRule="auto"/>
            </w:pPr>
            <w:r>
              <w:rPr>
                <w:b/>
                <w:color w:val="FFFFFF"/>
                <w:sz w:val="17"/>
              </w:rPr>
              <w:t>Report</w:t>
            </w:r>
          </w:p>
        </w:tc>
        <w:tc>
          <w:tcPr>
            <w:tcW w:type="dxa" w:w="5669"/>
            <w:shd w:val="clear" w:color="auto" w:fill="1F3864"/>
            <w:vAlign w:val="center"/>
          </w:tcPr>
          <w:p>
            <w:pPr>
              <w:keepNext/>
              <w:spacing w:after="0" w:line="240" w:lineRule="auto"/>
            </w:pPr>
            <w:r>
              <w:rPr>
                <w:b/>
                <w:color w:val="FFFFFF"/>
                <w:sz w:val="17"/>
              </w:rPr>
              <w:t>The question it answers</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381"/>
            <w:vAlign w:val="top"/>
          </w:tcPr>
          <w:p>
            <w:pPr>
              <w:spacing w:after="20" w:line="240" w:lineRule="auto"/>
            </w:pPr>
            <w:r>
              <w:rPr>
                <w:b/>
                <w:i w:val="0"/>
                <w:sz w:val="17"/>
              </w:rPr>
              <w:t>Stock valuation</w:t>
            </w:r>
          </w:p>
        </w:tc>
        <w:tc>
          <w:tcPr>
            <w:tcW w:type="dxa" w:w="5669"/>
            <w:vAlign w:val="top"/>
          </w:tcPr>
          <w:p>
            <w:pPr>
              <w:spacing w:after="20" w:line="240" w:lineRule="auto"/>
            </w:pPr>
            <w:r>
              <w:rPr>
                <w:b w:val="0"/>
                <w:i w:val="0"/>
                <w:sz w:val="17"/>
              </w:rPr>
              <w:t>Quantity and value by item, reconciled to the Inventory account, with any difference explained by source.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Stock movement</w:t>
            </w:r>
          </w:p>
        </w:tc>
        <w:tc>
          <w:tcPr>
            <w:tcW w:type="dxa" w:w="5669"/>
            <w:shd w:val="clear" w:color="auto" w:fill="F3F6FA"/>
            <w:vAlign w:val="top"/>
          </w:tcPr>
          <w:p>
            <w:pPr>
              <w:spacing w:after="20" w:line="240" w:lineRule="auto"/>
            </w:pPr>
            <w:r>
              <w:rPr>
                <w:b w:val="0"/>
                <w:i w:val="0"/>
                <w:sz w:val="17"/>
              </w:rPr>
              <w:t>For each item: opening, what came in and went out by kind, and closing, in quantity and in value.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Item ledger</w:t>
            </w:r>
          </w:p>
        </w:tc>
        <w:tc>
          <w:tcPr>
            <w:tcW w:type="dxa" w:w="5669"/>
            <w:vAlign w:val="top"/>
          </w:tcPr>
          <w:p>
            <w:pPr>
              <w:spacing w:after="20" w:line="240" w:lineRule="auto"/>
            </w:pPr>
            <w:r>
              <w:rPr>
                <w:b w:val="0"/>
                <w:i w:val="0"/>
                <w:sz w:val="17"/>
              </w:rPr>
              <w:t>Every movement of one item with a running quantity and value.</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Sales and purchase analysis</w:t>
            </w:r>
          </w:p>
        </w:tc>
        <w:tc>
          <w:tcPr>
            <w:tcW w:type="dxa" w:w="5669"/>
            <w:shd w:val="clear" w:color="auto" w:fill="F3F6FA"/>
            <w:vAlign w:val="top"/>
          </w:tcPr>
          <w:p>
            <w:pPr>
              <w:spacing w:after="20" w:line="240" w:lineRule="auto"/>
            </w:pPr>
            <w:r>
              <w:rPr>
                <w:b w:val="0"/>
                <w:i w:val="0"/>
                <w:sz w:val="17"/>
              </w:rPr>
              <w:t>How much was sold or bought, for how much, at what cost and margin, by item, category or party.</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Batch expiry</w:t>
            </w:r>
          </w:p>
        </w:tc>
        <w:tc>
          <w:tcPr>
            <w:tcW w:type="dxa" w:w="5669"/>
            <w:vAlign w:val="top"/>
          </w:tcPr>
          <w:p>
            <w:pPr>
              <w:spacing w:after="20" w:line="240" w:lineRule="auto"/>
            </w:pPr>
            <w:r>
              <w:rPr>
                <w:b w:val="0"/>
                <w:i w:val="0"/>
                <w:sz w:val="17"/>
              </w:rPr>
              <w:t>Which batches with stock on hand expire within a chosen number of days, or have already expired?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Slow-moving stock</w:t>
            </w:r>
          </w:p>
        </w:tc>
        <w:tc>
          <w:tcPr>
            <w:tcW w:type="dxa" w:w="5669"/>
            <w:shd w:val="clear" w:color="auto" w:fill="F3F6FA"/>
            <w:vAlign w:val="top"/>
          </w:tcPr>
          <w:p>
            <w:pPr>
              <w:spacing w:after="20" w:line="240" w:lineRule="auto"/>
            </w:pPr>
            <w:r>
              <w:rPr>
                <w:b w:val="0"/>
                <w:i w:val="0"/>
                <w:sz w:val="17"/>
              </w:rPr>
              <w:t>Items with stock on hand that have not sold for a chosen number of days.</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Reorder</w:t>
            </w:r>
          </w:p>
        </w:tc>
        <w:tc>
          <w:tcPr>
            <w:tcW w:type="dxa" w:w="5669"/>
            <w:vAlign w:val="top"/>
          </w:tcPr>
          <w:p>
            <w:pPr>
              <w:spacing w:after="20" w:line="240" w:lineRule="auto"/>
            </w:pPr>
            <w:r>
              <w:rPr>
                <w:b w:val="0"/>
                <w:i w:val="0"/>
                <w:sz w:val="17"/>
              </w:rPr>
              <w:t>Active items at or below their reorder level.</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3.6 VAT and currency</w:t>
      </w:r>
    </w:p>
    <w:p>
      <w:pPr>
        <w:keepNext/>
      </w:pPr>
      <w:r>
        <w:rPr>
          <w:b w:val="0"/>
          <w:i w:val="0"/>
        </w:rPr>
        <w:t>The tax return and the foreign-currency register.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669"/>
        <w:gridCol w:w="1587"/>
      </w:tblGrid>
      <w:tr>
        <w:trPr>
          <w:cantSplit w:val="true"/>
          <w:tblHeader w:val="true"/>
        </w:trPr>
        <w:tc>
          <w:tcPr>
            <w:tcW w:type="dxa" w:w="2381"/>
            <w:shd w:val="clear" w:color="auto" w:fill="1F3864"/>
            <w:vAlign w:val="center"/>
          </w:tcPr>
          <w:p>
            <w:pPr>
              <w:keepNext/>
              <w:spacing w:after="0" w:line="240" w:lineRule="auto"/>
            </w:pPr>
            <w:r>
              <w:rPr>
                <w:b/>
                <w:color w:val="FFFFFF"/>
                <w:sz w:val="17"/>
              </w:rPr>
              <w:t>Report</w:t>
            </w:r>
          </w:p>
        </w:tc>
        <w:tc>
          <w:tcPr>
            <w:tcW w:type="dxa" w:w="5669"/>
            <w:shd w:val="clear" w:color="auto" w:fill="1F3864"/>
            <w:vAlign w:val="center"/>
          </w:tcPr>
          <w:p>
            <w:pPr>
              <w:keepNext/>
              <w:spacing w:after="0" w:line="240" w:lineRule="auto"/>
            </w:pPr>
            <w:r>
              <w:rPr>
                <w:b/>
                <w:color w:val="FFFFFF"/>
                <w:sz w:val="17"/>
              </w:rPr>
              <w:t>The question it answers</w:t>
            </w:r>
          </w:p>
        </w:tc>
        <w:tc>
          <w:tcPr>
            <w:tcW w:type="dxa" w:w="1587"/>
            <w:shd w:val="clear" w:color="auto" w:fill="1F3864"/>
            <w:vAlign w:val="center"/>
          </w:tcPr>
          <w:p>
            <w:pPr>
              <w:keepNext/>
              <w:spacing w:after="0" w:line="240" w:lineRule="auto"/>
            </w:pPr>
            <w:r>
              <w:rPr>
                <w:b/>
                <w:color w:val="FFFFFF"/>
                <w:sz w:val="17"/>
              </w:rPr>
              <w:t>Status</w:t>
            </w:r>
          </w:p>
        </w:tc>
      </w:tr>
      <w:tr>
        <w:trPr>
          <w:cantSplit w:val="true"/>
        </w:trPr>
        <w:tc>
          <w:tcPr>
            <w:tcW w:type="dxa" w:w="2381"/>
            <w:vAlign w:val="top"/>
          </w:tcPr>
          <w:p>
            <w:pPr>
              <w:spacing w:after="20" w:line="240" w:lineRule="auto"/>
            </w:pPr>
            <w:r>
              <w:rPr>
                <w:b/>
                <w:i w:val="0"/>
                <w:sz w:val="17"/>
              </w:rPr>
              <w:t>VAT return (VAT 201)</w:t>
            </w:r>
          </w:p>
        </w:tc>
        <w:tc>
          <w:tcPr>
            <w:tcW w:type="dxa" w:w="5669"/>
            <w:vAlign w:val="top"/>
          </w:tcPr>
          <w:p>
            <w:pPr>
              <w:spacing w:after="20" w:line="240" w:lineRule="auto"/>
            </w:pPr>
            <w:r>
              <w:rPr>
                <w:b w:val="0"/>
                <w:i w:val="0"/>
                <w:sz w:val="17"/>
              </w:rPr>
              <w:t>Boxes 1a to 14 built live from approved documents by tax treatment, netted for returns and notes, and reconciled to the VAT accounts. Saved as a draft, finalised and marked filed.</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shd w:val="clear" w:color="auto" w:fill="F3F6FA"/>
            <w:vAlign w:val="top"/>
          </w:tcPr>
          <w:p>
            <w:pPr>
              <w:spacing w:after="20" w:line="240" w:lineRule="auto"/>
            </w:pPr>
            <w:r>
              <w:rPr>
                <w:b/>
                <w:i w:val="0"/>
                <w:sz w:val="17"/>
              </w:rPr>
              <w:t>VAT documents</w:t>
            </w:r>
          </w:p>
        </w:tc>
        <w:tc>
          <w:tcPr>
            <w:tcW w:type="dxa" w:w="5669"/>
            <w:shd w:val="clear" w:color="auto" w:fill="F3F6FA"/>
            <w:vAlign w:val="top"/>
          </w:tcPr>
          <w:p>
            <w:pPr>
              <w:spacing w:after="20" w:line="240" w:lineRule="auto"/>
            </w:pPr>
            <w:r>
              <w:rPr>
                <w:b w:val="0"/>
                <w:i w:val="0"/>
                <w:sz w:val="17"/>
              </w:rPr>
              <w:t>The documents behind each box.</w:t>
            </w:r>
          </w:p>
        </w:tc>
        <w:tc>
          <w:tcPr>
            <w:tcW w:type="dxa" w:w="1587"/>
            <w:shd w:val="clear" w:color="auto" w:fill="C9D6E8"/>
            <w:vAlign w:val="top"/>
          </w:tcPr>
          <w:p>
            <w:pPr>
              <w:spacing w:after="20" w:line="240" w:lineRule="auto"/>
            </w:pPr>
            <w:r>
              <w:rPr>
                <w:b/>
                <w:i w:val="0"/>
                <w:sz w:val="17"/>
              </w:rPr>
              <w:t>Available</w:t>
            </w:r>
          </w:p>
        </w:tc>
      </w:tr>
      <w:tr>
        <w:trPr>
          <w:cantSplit w:val="true"/>
        </w:trPr>
        <w:tc>
          <w:tcPr>
            <w:tcW w:type="dxa" w:w="2381"/>
            <w:vAlign w:val="top"/>
          </w:tcPr>
          <w:p>
            <w:pPr>
              <w:spacing w:after="20" w:line="240" w:lineRule="auto"/>
            </w:pPr>
            <w:r>
              <w:rPr>
                <w:b/>
                <w:i w:val="0"/>
                <w:sz w:val="17"/>
              </w:rPr>
              <w:t>Currency register</w:t>
            </w:r>
          </w:p>
        </w:tc>
        <w:tc>
          <w:tcPr>
            <w:tcW w:type="dxa" w:w="5669"/>
            <w:vAlign w:val="top"/>
          </w:tcPr>
          <w:p>
            <w:pPr>
              <w:spacing w:after="20" w:line="240" w:lineRule="auto"/>
            </w:pPr>
            <w:r>
              <w:rPr>
                <w:b w:val="0"/>
                <w:i w:val="0"/>
                <w:sz w:val="17"/>
              </w:rPr>
              <w:t>Foreign-currency receipts and payments with the rate used and the dirham value.</w:t>
            </w:r>
          </w:p>
        </w:tc>
        <w:tc>
          <w:tcPr>
            <w:tcW w:type="dxa" w:w="1587"/>
            <w:shd w:val="clear" w:color="auto" w:fill="C9D6E8"/>
            <w:vAlign w:val="top"/>
          </w:tcPr>
          <w:p>
            <w:pPr>
              <w:spacing w:after="20" w:line="240" w:lineRule="auto"/>
            </w:pPr>
            <w:r>
              <w:rPr>
                <w:b/>
                <w:i w:val="0"/>
                <w:sz w:val="17"/>
              </w:rPr>
              <w:t>Available</w:t>
            </w:r>
          </w:p>
        </w:tc>
      </w:tr>
    </w:tbl>
    <w:p>
      <w:pPr>
        <w:spacing w:after="0" w:before="0" w:line="80" w:lineRule="exact"/>
      </w:pPr>
    </w:p>
    <w:p>
      <w:pPr>
        <w:pStyle w:val="Heading3"/>
      </w:pPr>
      <w:r>
        <w:t>What is the same for every report</w:t>
      </w:r>
    </w:p>
    <w:p>
      <w:pPr>
        <w:pStyle w:val="ListBullet"/>
      </w:pPr>
      <w:r>
        <w:rPr>
          <w:b w:val="0"/>
          <w:i w:val="0"/>
        </w:rPr>
        <w:t>Dates are Dubai calendar days: a range starts at 00:00 on the first day and ends at 23:59:59 on the last.</w:t>
      </w:r>
    </w:p>
    <w:p>
      <w:pPr>
        <w:pStyle w:val="ListBullet"/>
      </w:pPr>
      <w:r>
        <w:rPr>
          <w:b w:val="0"/>
          <w:i w:val="0"/>
        </w:rPr>
        <w:t>A reversed entry never counts. Balances are shown by their natural side: customers normally Dr, vendors Cr.</w:t>
      </w:r>
    </w:p>
    <w:p>
      <w:pPr>
        <w:pStyle w:val="ListBullet"/>
      </w:pPr>
      <w:r>
        <w:rPr>
          <w:b w:val="0"/>
          <w:i w:val="0"/>
        </w:rPr>
        <w:t>Reports export to CSV (UTF-8, so Excel reads Arabic names) and print.</w:t>
      </w:r>
    </w:p>
    <w:p>
      <w:pPr>
        <w:pStyle w:val="ListBullet"/>
      </w:pPr>
      <w:r>
        <w:rPr>
          <w:b w:val="0"/>
          <w:i w:val="0"/>
        </w:rPr>
        <w:t>Before a report runs, the system makes sure approved documents that missed the ledger are posted, so a report cannot be short of a document.</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debit and credit logic of each report, and a worked month with real figures, is in Trade ERP - Reports Logic and Account Mapping.</w:t>
            </w:r>
          </w:p>
        </w:tc>
      </w:tr>
    </w:tbl>
    <w:p>
      <w:pPr>
        <w:spacing w:after="0" w:before="0" w:line="80" w:lineRule="exact"/>
      </w:pPr>
    </w:p>
    <w:p>
      <w:pPr>
        <w:pStyle w:val="Heading1"/>
        <w:pageBreakBefore/>
      </w:pPr>
      <w:r>
        <w:t>4. Controls built into the system</w:t>
      </w:r>
    </w:p>
    <w:p>
      <w:pPr>
        <w:spacing w:after="160"/>
      </w:pPr>
      <w:r>
        <w:rPr>
          <w:b w:val="0"/>
          <w:i w:val="0"/>
          <w:color w:val="44546A"/>
          <w:sz w:val="22"/>
        </w:rPr>
        <w:t>These are rules the server enforces. They cannot be skipped by using a different screen.</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7256"/>
      </w:tblGrid>
      <w:tr>
        <w:trPr>
          <w:cantSplit w:val="true"/>
          <w:tblHeader w:val="true"/>
        </w:trPr>
        <w:tc>
          <w:tcPr>
            <w:tcW w:type="dxa" w:w="2381"/>
            <w:shd w:val="clear" w:color="auto" w:fill="1F3864"/>
            <w:vAlign w:val="center"/>
          </w:tcPr>
          <w:p>
            <w:pPr>
              <w:keepNext/>
              <w:spacing w:after="0" w:line="240" w:lineRule="auto"/>
            </w:pPr>
            <w:r>
              <w:rPr>
                <w:b/>
                <w:color w:val="FFFFFF"/>
                <w:sz w:val="17"/>
              </w:rPr>
              <w:t>Control</w:t>
            </w:r>
          </w:p>
        </w:tc>
        <w:tc>
          <w:tcPr>
            <w:tcW w:type="dxa" w:w="7257"/>
            <w:shd w:val="clear" w:color="auto" w:fill="1F3864"/>
            <w:vAlign w:val="center"/>
          </w:tcPr>
          <w:p>
            <w:pPr>
              <w:keepNext/>
              <w:spacing w:after="0" w:line="240" w:lineRule="auto"/>
            </w:pPr>
            <w:r>
              <w:rPr>
                <w:b/>
                <w:color w:val="FFFFFF"/>
                <w:sz w:val="17"/>
              </w:rPr>
              <w:t>What it does</w:t>
            </w:r>
          </w:p>
        </w:tc>
      </w:tr>
      <w:tr>
        <w:trPr>
          <w:cantSplit w:val="true"/>
        </w:trPr>
        <w:tc>
          <w:tcPr>
            <w:tcW w:type="dxa" w:w="2381"/>
            <w:vAlign w:val="top"/>
          </w:tcPr>
          <w:p>
            <w:pPr>
              <w:spacing w:after="20" w:line="240" w:lineRule="auto"/>
            </w:pPr>
            <w:r>
              <w:rPr>
                <w:b/>
                <w:i w:val="0"/>
                <w:sz w:val="17"/>
              </w:rPr>
              <w:t>Double entry</w:t>
            </w:r>
          </w:p>
        </w:tc>
        <w:tc>
          <w:tcPr>
            <w:tcW w:type="dxa" w:w="7257"/>
            <w:vAlign w:val="top"/>
          </w:tcPr>
          <w:p>
            <w:pPr>
              <w:spacing w:after="20" w:line="240" w:lineRule="auto"/>
            </w:pPr>
            <w:r>
              <w:rPr>
                <w:b w:val="0"/>
                <w:i w:val="0"/>
                <w:sz w:val="17"/>
              </w:rPr>
              <w:t>Every posting has equal debits and credits. Reversing a document reverses its entries; nothing is deleted from the books.</w:t>
            </w:r>
          </w:p>
        </w:tc>
      </w:tr>
      <w:tr>
        <w:trPr>
          <w:cantSplit w:val="true"/>
        </w:trPr>
        <w:tc>
          <w:tcPr>
            <w:tcW w:type="dxa" w:w="2381"/>
            <w:shd w:val="clear" w:color="auto" w:fill="F3F6FA"/>
            <w:vAlign w:val="top"/>
          </w:tcPr>
          <w:p>
            <w:pPr>
              <w:spacing w:after="20" w:line="240" w:lineRule="auto"/>
            </w:pPr>
            <w:r>
              <w:rPr>
                <w:b/>
                <w:i w:val="0"/>
                <w:sz w:val="17"/>
              </w:rPr>
              <w:t>No fallback accounts</w:t>
            </w:r>
          </w:p>
        </w:tc>
        <w:tc>
          <w:tcPr>
            <w:tcW w:type="dxa" w:w="7257"/>
            <w:shd w:val="clear" w:color="auto" w:fill="F3F6FA"/>
            <w:vAlign w:val="top"/>
          </w:tcPr>
          <w:p>
            <w:pPr>
              <w:spacing w:after="20" w:line="240" w:lineRule="auto"/>
            </w:pPr>
            <w:r>
              <w:rPr>
                <w:b w:val="0"/>
                <w:i w:val="0"/>
                <w:sz w:val="17"/>
              </w:rPr>
              <w:t>An unmapped posting key stops the posting with a message that names the key.</w:t>
            </w:r>
          </w:p>
        </w:tc>
      </w:tr>
      <w:tr>
        <w:trPr>
          <w:cantSplit w:val="true"/>
        </w:trPr>
        <w:tc>
          <w:tcPr>
            <w:tcW w:type="dxa" w:w="2381"/>
            <w:vAlign w:val="top"/>
          </w:tcPr>
          <w:p>
            <w:pPr>
              <w:spacing w:after="20" w:line="240" w:lineRule="auto"/>
            </w:pPr>
            <w:r>
              <w:rPr>
                <w:b/>
                <w:i w:val="0"/>
                <w:sz w:val="17"/>
              </w:rPr>
              <w:t>Period lock</w:t>
            </w:r>
          </w:p>
        </w:tc>
        <w:tc>
          <w:tcPr>
            <w:tcW w:type="dxa" w:w="7257"/>
            <w:vAlign w:val="top"/>
          </w:tcPr>
          <w:p>
            <w:pPr>
              <w:spacing w:after="20" w:line="240" w:lineRule="auto"/>
            </w:pPr>
            <w:r>
              <w:rPr>
                <w:b w:val="0"/>
                <w:i w:val="0"/>
                <w:sz w:val="17"/>
              </w:rPr>
              <w:t>Once a fiscal year is defined, a date outside every year, or inside a closed one, is refused for every kind of document and voucher.</w:t>
            </w:r>
          </w:p>
        </w:tc>
      </w:tr>
      <w:tr>
        <w:trPr>
          <w:cantSplit w:val="true"/>
        </w:trPr>
        <w:tc>
          <w:tcPr>
            <w:tcW w:type="dxa" w:w="2381"/>
            <w:shd w:val="clear" w:color="auto" w:fill="F3F6FA"/>
            <w:vAlign w:val="top"/>
          </w:tcPr>
          <w:p>
            <w:pPr>
              <w:spacing w:after="20" w:line="240" w:lineRule="auto"/>
            </w:pPr>
            <w:r>
              <w:rPr>
                <w:b/>
                <w:i w:val="0"/>
                <w:sz w:val="17"/>
              </w:rPr>
              <w:t>Document numbers</w:t>
            </w:r>
          </w:p>
        </w:tc>
        <w:tc>
          <w:tcPr>
            <w:tcW w:type="dxa" w:w="7257"/>
            <w:shd w:val="clear" w:color="auto" w:fill="F3F6FA"/>
            <w:vAlign w:val="top"/>
          </w:tcPr>
          <w:p>
            <w:pPr>
              <w:spacing w:after="20" w:line="240" w:lineRule="auto"/>
            </w:pPr>
            <w:r>
              <w:rPr>
                <w:b w:val="0"/>
                <w:i w:val="0"/>
                <w:sz w:val="17"/>
              </w:rPr>
              <w:t>Issued by the server in a series per year, one at a time, and never reused.</w:t>
            </w:r>
          </w:p>
        </w:tc>
      </w:tr>
      <w:tr>
        <w:trPr>
          <w:cantSplit w:val="true"/>
        </w:trPr>
        <w:tc>
          <w:tcPr>
            <w:tcW w:type="dxa" w:w="2381"/>
            <w:vAlign w:val="top"/>
          </w:tcPr>
          <w:p>
            <w:pPr>
              <w:spacing w:after="20" w:line="240" w:lineRule="auto"/>
            </w:pPr>
            <w:r>
              <w:rPr>
                <w:b/>
                <w:i w:val="0"/>
                <w:sz w:val="17"/>
              </w:rPr>
              <w:t>Credit control</w:t>
            </w:r>
          </w:p>
        </w:tc>
        <w:tc>
          <w:tcPr>
            <w:tcW w:type="dxa" w:w="7257"/>
            <w:vAlign w:val="top"/>
          </w:tcPr>
          <w:p>
            <w:pPr>
              <w:spacing w:after="20" w:line="240" w:lineRule="auto"/>
            </w:pPr>
            <w:r>
              <w:rPr>
                <w:b w:val="0"/>
                <w:i w:val="0"/>
                <w:sz w:val="17"/>
              </w:rPr>
              <w:t>Off, warn or block per company. A warning asks the user to confirm before the sale is approved.</w:t>
            </w:r>
          </w:p>
        </w:tc>
      </w:tr>
      <w:tr>
        <w:trPr>
          <w:cantSplit w:val="true"/>
        </w:trPr>
        <w:tc>
          <w:tcPr>
            <w:tcW w:type="dxa" w:w="2381"/>
            <w:shd w:val="clear" w:color="auto" w:fill="F3F6FA"/>
            <w:vAlign w:val="top"/>
          </w:tcPr>
          <w:p>
            <w:pPr>
              <w:spacing w:after="20" w:line="240" w:lineRule="auto"/>
            </w:pPr>
            <w:r>
              <w:rPr>
                <w:b/>
                <w:i w:val="0"/>
                <w:sz w:val="17"/>
              </w:rPr>
              <w:t>Returns</w:t>
            </w:r>
          </w:p>
        </w:tc>
        <w:tc>
          <w:tcPr>
            <w:tcW w:type="dxa" w:w="7257"/>
            <w:shd w:val="clear" w:color="auto" w:fill="F3F6FA"/>
            <w:vAlign w:val="top"/>
          </w:tcPr>
          <w:p>
            <w:pPr>
              <w:spacing w:after="20" w:line="240" w:lineRule="auto"/>
            </w:pPr>
            <w:r>
              <w:rPr>
                <w:b w:val="0"/>
                <w:i w:val="0"/>
                <w:sz w:val="17"/>
              </w:rPr>
              <w:t>A return is limited by the quantity and value of the original, within a return window.</w:t>
            </w:r>
          </w:p>
        </w:tc>
      </w:tr>
      <w:tr>
        <w:trPr>
          <w:cantSplit w:val="true"/>
        </w:trPr>
        <w:tc>
          <w:tcPr>
            <w:tcW w:type="dxa" w:w="2381"/>
            <w:vAlign w:val="top"/>
          </w:tcPr>
          <w:p>
            <w:pPr>
              <w:spacing w:after="20" w:line="240" w:lineRule="auto"/>
            </w:pPr>
            <w:r>
              <w:rPr>
                <w:b/>
                <w:i w:val="0"/>
                <w:sz w:val="17"/>
              </w:rPr>
              <w:t>Cheques</w:t>
            </w:r>
          </w:p>
        </w:tc>
        <w:tc>
          <w:tcPr>
            <w:tcW w:type="dxa" w:w="7257"/>
            <w:vAlign w:val="top"/>
          </w:tcPr>
          <w:p>
            <w:pPr>
              <w:spacing w:after="20" w:line="240" w:lineRule="auto"/>
            </w:pPr>
            <w:r>
              <w:rPr>
                <w:b w:val="0"/>
                <w:i w:val="0"/>
                <w:sz w:val="17"/>
              </w:rPr>
              <w:t>A post-dated cheque cannot clear before its date. A bounce or cancellation reverses the receipt.</w:t>
            </w:r>
          </w:p>
        </w:tc>
      </w:tr>
      <w:tr>
        <w:trPr>
          <w:cantSplit w:val="true"/>
        </w:trPr>
        <w:tc>
          <w:tcPr>
            <w:tcW w:type="dxa" w:w="2381"/>
            <w:shd w:val="clear" w:color="auto" w:fill="F3F6FA"/>
            <w:vAlign w:val="top"/>
          </w:tcPr>
          <w:p>
            <w:pPr>
              <w:spacing w:after="20" w:line="240" w:lineRule="auto"/>
            </w:pPr>
            <w:r>
              <w:rPr>
                <w:b/>
                <w:i w:val="0"/>
                <w:sz w:val="17"/>
              </w:rPr>
              <w:t>Costing</w:t>
            </w:r>
          </w:p>
        </w:tc>
        <w:tc>
          <w:tcPr>
            <w:tcW w:type="dxa" w:w="7257"/>
            <w:shd w:val="clear" w:color="auto" w:fill="F3F6FA"/>
            <w:vAlign w:val="top"/>
          </w:tcPr>
          <w:p>
            <w:pPr>
              <w:spacing w:after="20" w:line="240" w:lineRule="auto"/>
            </w:pPr>
            <w:r>
              <w:rPr>
                <w:b w:val="0"/>
                <w:i w:val="0"/>
                <w:sz w:val="17"/>
              </w:rPr>
              <w:t>A sale never changes the average cost. Each movement stores the cost before and after.</w:t>
            </w:r>
          </w:p>
        </w:tc>
      </w:tr>
      <w:tr>
        <w:trPr>
          <w:cantSplit w:val="true"/>
        </w:trPr>
        <w:tc>
          <w:tcPr>
            <w:tcW w:type="dxa" w:w="2381"/>
            <w:vAlign w:val="top"/>
          </w:tcPr>
          <w:p>
            <w:pPr>
              <w:spacing w:after="20" w:line="240" w:lineRule="auto"/>
            </w:pPr>
            <w:r>
              <w:rPr>
                <w:b/>
                <w:i w:val="0"/>
                <w:sz w:val="17"/>
              </w:rPr>
              <w:t>Go-live date</w:t>
            </w:r>
          </w:p>
        </w:tc>
        <w:tc>
          <w:tcPr>
            <w:tcW w:type="dxa" w:w="7257"/>
            <w:vAlign w:val="top"/>
          </w:tcPr>
          <w:p>
            <w:pPr>
              <w:spacing w:after="20" w:line="240" w:lineRule="auto"/>
            </w:pPr>
            <w:r>
              <w:rPr>
                <w:b w:val="0"/>
                <w:i w:val="0"/>
                <w:sz w:val="17"/>
              </w:rPr>
              <w:t>Fixed once any opening entry exists, so the opening position cannot drift.</w:t>
            </w:r>
          </w:p>
        </w:tc>
      </w:tr>
      <w:tr>
        <w:trPr>
          <w:cantSplit w:val="true"/>
        </w:trPr>
        <w:tc>
          <w:tcPr>
            <w:tcW w:type="dxa" w:w="2381"/>
            <w:shd w:val="clear" w:color="auto" w:fill="F3F6FA"/>
            <w:vAlign w:val="top"/>
          </w:tcPr>
          <w:p>
            <w:pPr>
              <w:spacing w:after="20" w:line="240" w:lineRule="auto"/>
            </w:pPr>
            <w:r>
              <w:rPr>
                <w:b/>
                <w:i w:val="0"/>
                <w:sz w:val="17"/>
              </w:rPr>
              <w:t>Duplicate checks</w:t>
            </w:r>
          </w:p>
        </w:tc>
        <w:tc>
          <w:tcPr>
            <w:tcW w:type="dxa" w:w="7257"/>
            <w:shd w:val="clear" w:color="auto" w:fill="F3F6FA"/>
            <w:vAlign w:val="top"/>
          </w:tcPr>
          <w:p>
            <w:pPr>
              <w:spacing w:after="20" w:line="240" w:lineRule="auto"/>
            </w:pPr>
            <w:r>
              <w:rPr>
                <w:b w:val="0"/>
                <w:i w:val="0"/>
                <w:sz w:val="17"/>
              </w:rPr>
              <w:t>A TRN already held by another customer or vendor is refused; an invoice number already entered as an opening invoice is refused.</w:t>
            </w:r>
          </w:p>
        </w:tc>
      </w:tr>
      <w:tr>
        <w:trPr>
          <w:cantSplit w:val="true"/>
        </w:trPr>
        <w:tc>
          <w:tcPr>
            <w:tcW w:type="dxa" w:w="2381"/>
            <w:vAlign w:val="top"/>
          </w:tcPr>
          <w:p>
            <w:pPr>
              <w:spacing w:after="20" w:line="240" w:lineRule="auto"/>
            </w:pPr>
            <w:r>
              <w:rPr>
                <w:b/>
                <w:i w:val="0"/>
                <w:sz w:val="17"/>
              </w:rPr>
              <w:t>Audit log</w:t>
            </w:r>
          </w:p>
        </w:tc>
        <w:tc>
          <w:tcPr>
            <w:tcW w:type="dxa" w:w="7257"/>
            <w:vAlign w:val="top"/>
          </w:tcPr>
          <w:p>
            <w:pPr>
              <w:spacing w:after="20" w:line="240" w:lineRule="auto"/>
            </w:pPr>
            <w:r>
              <w:rPr>
                <w:b w:val="0"/>
                <w:i w:val="0"/>
                <w:sz w:val="17"/>
              </w:rPr>
              <w:t>Setup and exception events are recorded with who and when: accounts and the posting map, posting switched on or off, fiscal years closed or reopened, tax codes, company settings, currencies and rates, cheques cleared or bounced, the go-live date and opening-balance postings. It is append-only.</w:t>
            </w:r>
          </w:p>
        </w:tc>
      </w:tr>
    </w:tbl>
    <w:p>
      <w:pPr>
        <w:spacing w:after="0" w:before="0" w:line="80" w:lineRule="exact"/>
      </w:pPr>
    </w:p>
    <w:p>
      <w:pPr>
        <w:pStyle w:val="Heading1"/>
        <w:pageBreakBefore/>
      </w:pPr>
      <w:r>
        <w:t>5. Upcoming features</w:t>
      </w:r>
    </w:p>
    <w:p>
      <w:pPr>
        <w:spacing w:after="160"/>
      </w:pPr>
      <w:r>
        <w:rPr>
          <w:b w:val="0"/>
          <w:i w:val="0"/>
          <w:color w:val="44546A"/>
          <w:sz w:val="22"/>
        </w:rPr>
        <w:t>None of these is built. They are grouped by purpose and listed in a proposed order for the owner to approve. No dates are promised.</w:t>
      </w:r>
    </w:p>
    <w:p>
      <w:pPr>
        <w:pStyle w:val="Heading2"/>
      </w:pPr>
      <w:r>
        <w:t>5.1 How to read this section</w:t>
      </w:r>
    </w:p>
    <w:p>
      <w:pPr>
        <w:keepNext/>
      </w:pPr>
      <w:r>
        <w:rPr>
          <w:b w:val="0"/>
          <w:i w:val="0"/>
        </w:rPr>
        <w:t>Each table says what the feature will give you and where things stand today. The same word, Planned, applies to every row.</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Before the system holds real data, close the items in 5.2. They do not add features; they make the existing ones safe to use with real people and real money.</w:t>
            </w:r>
          </w:p>
        </w:tc>
      </w:tr>
    </w:tbl>
    <w:p>
      <w:pPr>
        <w:spacing w:after="0" w:before="0" w:line="80" w:lineRule="exact"/>
      </w:pPr>
    </w:p>
    <w:p>
      <w:pPr>
        <w:pStyle w:val="Heading2"/>
      </w:pPr>
      <w:r>
        <w:t>5.2 Before real data is entered</w:t>
      </w:r>
    </w:p>
    <w:p>
      <w:pPr>
        <w:keepNext/>
      </w:pPr>
      <w:r>
        <w:rPr>
          <w:b w:val="0"/>
          <w:i w:val="0"/>
        </w:rPr>
        <w:t>These close the access and set-up items that matter most once the system holds real data.</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040"/>
        <w:gridCol w:w="3174"/>
        <w:gridCol w:w="3288"/>
        <w:gridCol w:w="1133"/>
      </w:tblGrid>
      <w:tr>
        <w:trPr>
          <w:cantSplit w:val="true"/>
          <w:tblHeader w:val="true"/>
        </w:trPr>
        <w:tc>
          <w:tcPr>
            <w:tcW w:type="dxa" w:w="2041"/>
            <w:shd w:val="clear" w:color="auto" w:fill="1F3864"/>
            <w:vAlign w:val="center"/>
          </w:tcPr>
          <w:p>
            <w:pPr>
              <w:keepNext/>
              <w:spacing w:after="0" w:line="240" w:lineRule="auto"/>
            </w:pPr>
            <w:r>
              <w:rPr>
                <w:b/>
                <w:color w:val="FFFFFF"/>
                <w:sz w:val="17"/>
              </w:rPr>
              <w:t>Feature</w:t>
            </w:r>
          </w:p>
        </w:tc>
        <w:tc>
          <w:tcPr>
            <w:tcW w:type="dxa" w:w="3175"/>
            <w:shd w:val="clear" w:color="auto" w:fill="1F3864"/>
            <w:vAlign w:val="center"/>
          </w:tcPr>
          <w:p>
            <w:pPr>
              <w:keepNext/>
              <w:spacing w:after="0" w:line="240" w:lineRule="auto"/>
            </w:pPr>
            <w:r>
              <w:rPr>
                <w:b/>
                <w:color w:val="FFFFFF"/>
                <w:sz w:val="17"/>
              </w:rPr>
              <w:t>What it will give you</w:t>
            </w:r>
          </w:p>
        </w:tc>
        <w:tc>
          <w:tcPr>
            <w:tcW w:type="dxa" w:w="3288"/>
            <w:shd w:val="clear" w:color="auto" w:fill="1F3864"/>
            <w:vAlign w:val="center"/>
          </w:tcPr>
          <w:p>
            <w:pPr>
              <w:keepNext/>
              <w:spacing w:after="0" w:line="240" w:lineRule="auto"/>
            </w:pPr>
            <w:r>
              <w:rPr>
                <w:b/>
                <w:color w:val="FFFFFF"/>
                <w:sz w:val="17"/>
              </w:rPr>
              <w:t>Where things stand today</w:t>
            </w:r>
          </w:p>
        </w:tc>
        <w:tc>
          <w:tcPr>
            <w:tcW w:type="dxa" w:w="1134"/>
            <w:shd w:val="clear" w:color="auto" w:fill="1F3864"/>
            <w:vAlign w:val="center"/>
          </w:tcPr>
          <w:p>
            <w:pPr>
              <w:keepNext/>
              <w:spacing w:after="0" w:line="240" w:lineRule="auto"/>
            </w:pPr>
            <w:r>
              <w:rPr>
                <w:b/>
                <w:color w:val="FFFFFF"/>
                <w:sz w:val="17"/>
              </w:rPr>
              <w:t>Status</w:t>
            </w:r>
          </w:p>
        </w:tc>
      </w:tr>
      <w:tr>
        <w:trPr>
          <w:cantSplit w:val="true"/>
        </w:trPr>
        <w:tc>
          <w:tcPr>
            <w:tcW w:type="dxa" w:w="2041"/>
            <w:vAlign w:val="top"/>
          </w:tcPr>
          <w:p>
            <w:pPr>
              <w:spacing w:after="20" w:line="240" w:lineRule="auto"/>
            </w:pPr>
            <w:r>
              <w:rPr>
                <w:b/>
                <w:i w:val="0"/>
                <w:sz w:val="17"/>
              </w:rPr>
              <w:t>Roles applied and a user-management screen</w:t>
            </w:r>
          </w:p>
        </w:tc>
        <w:tc>
          <w:tcPr>
            <w:tcW w:type="dxa" w:w="3175"/>
            <w:vAlign w:val="top"/>
          </w:tcPr>
          <w:p>
            <w:pPr>
              <w:spacing w:after="20" w:line="240" w:lineRule="auto"/>
            </w:pPr>
            <w:r>
              <w:rPr>
                <w:b w:val="0"/>
                <w:i w:val="0"/>
                <w:sz w:val="17"/>
              </w:rPr>
              <w:t>Each user sees and changes only what the role allows. Create, edit and disable users on a screen.</w:t>
            </w:r>
          </w:p>
        </w:tc>
        <w:tc>
          <w:tcPr>
            <w:tcW w:type="dxa" w:w="3288"/>
            <w:vAlign w:val="top"/>
          </w:tcPr>
          <w:p>
            <w:pPr>
              <w:spacing w:after="20" w:line="240" w:lineRule="auto"/>
            </w:pPr>
            <w:r>
              <w:rPr>
                <w:b w:val="0"/>
                <w:i w:val="0"/>
                <w:sz w:val="17"/>
              </w:rPr>
              <w:t>The menu carries role lists but they are not applied. Today any signed-in user can change most data, and users are created by a script.</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Secure accounts and sessions</w:t>
            </w:r>
          </w:p>
        </w:tc>
        <w:tc>
          <w:tcPr>
            <w:tcW w:type="dxa" w:w="3175"/>
            <w:shd w:val="clear" w:color="auto" w:fill="F3F6FA"/>
            <w:vAlign w:val="top"/>
          </w:tcPr>
          <w:p>
            <w:pPr>
              <w:spacing w:after="20" w:line="240" w:lineRule="auto"/>
            </w:pPr>
            <w:r>
              <w:rPr>
                <w:b w:val="0"/>
                <w:i w:val="0"/>
                <w:sz w:val="17"/>
              </w:rPr>
              <w:t>Sign-in required to create or delete users, the token-signing secret required, requests accepted only from the company's own web address, a working silent sign-in refresh, and sign-out that ends the session on the server.</w:t>
            </w:r>
          </w:p>
        </w:tc>
        <w:tc>
          <w:tcPr>
            <w:tcW w:type="dxa" w:w="3288"/>
            <w:shd w:val="clear" w:color="auto" w:fill="F3F6FA"/>
            <w:vAlign w:val="top"/>
          </w:tcPr>
          <w:p>
            <w:pPr>
              <w:spacing w:after="20" w:line="240" w:lineRule="auto"/>
            </w:pPr>
            <w:r>
              <w:rPr>
                <w:b w:val="0"/>
                <w:i w:val="0"/>
                <w:sz w:val="17"/>
              </w:rPr>
              <w:t>Several of these are open today; they are listed in the Product Guide, section 8.4.</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Company record</w:t>
            </w:r>
          </w:p>
        </w:tc>
        <w:tc>
          <w:tcPr>
            <w:tcW w:type="dxa" w:w="3175"/>
            <w:vAlign w:val="top"/>
          </w:tcPr>
          <w:p>
            <w:pPr>
              <w:spacing w:after="20" w:line="240" w:lineRule="auto"/>
            </w:pPr>
            <w:r>
              <w:rPr>
                <w:b w:val="0"/>
                <w:i w:val="0"/>
                <w:sz w:val="17"/>
              </w:rPr>
              <w:t>The company profile and invoice bank details held on the company, not on one user's account.</w:t>
            </w:r>
          </w:p>
        </w:tc>
        <w:tc>
          <w:tcPr>
            <w:tcW w:type="dxa" w:w="3288"/>
            <w:vAlign w:val="top"/>
          </w:tcPr>
          <w:p>
            <w:pPr>
              <w:spacing w:after="20" w:line="240" w:lineRule="auto"/>
            </w:pPr>
            <w:r>
              <w:rPr>
                <w:b w:val="0"/>
                <w:i w:val="0"/>
                <w:sz w:val="17"/>
              </w:rPr>
              <w:t>They sit on a user account, and the invoice views fall back to the first client's details when the profile is empty.</w:t>
            </w:r>
          </w:p>
        </w:tc>
        <w:tc>
          <w:tcPr>
            <w:tcW w:type="dxa" w:w="1134"/>
            <w:shd w:val="clear" w:color="auto" w:fill="F4F4F4"/>
            <w:vAlign w:val="top"/>
          </w:tcPr>
          <w:p>
            <w:pPr>
              <w:spacing w:after="20" w:line="240" w:lineRule="auto"/>
            </w:pPr>
            <w:r>
              <w:rPr>
                <w:b/>
                <w:i w:val="0"/>
                <w:sz w:val="17"/>
              </w:rPr>
              <w:t>Planned</w:t>
            </w:r>
          </w:p>
        </w:tc>
      </w:tr>
    </w:tbl>
    <w:p>
      <w:pPr>
        <w:spacing w:after="0" w:before="0" w:line="80" w:lineRule="exact"/>
      </w:pPr>
    </w:p>
    <w:p>
      <w:pPr>
        <w:pStyle w:val="Heading2"/>
      </w:pPr>
      <w:r>
        <w:t>5.3 Compliance and finance depth</w:t>
      </w:r>
    </w:p>
    <w:p>
      <w:pPr>
        <w:keepNext/>
      </w:pPr>
      <w:r>
        <w:rPr>
          <w:b w:val="0"/>
          <w:i w:val="0"/>
        </w:rPr>
        <w:t>These complete the tax and accounting side.</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040"/>
        <w:gridCol w:w="3174"/>
        <w:gridCol w:w="3288"/>
        <w:gridCol w:w="1133"/>
      </w:tblGrid>
      <w:tr>
        <w:trPr>
          <w:cantSplit w:val="true"/>
          <w:tblHeader w:val="true"/>
        </w:trPr>
        <w:tc>
          <w:tcPr>
            <w:tcW w:type="dxa" w:w="2041"/>
            <w:shd w:val="clear" w:color="auto" w:fill="1F3864"/>
            <w:vAlign w:val="center"/>
          </w:tcPr>
          <w:p>
            <w:pPr>
              <w:keepNext/>
              <w:spacing w:after="0" w:line="240" w:lineRule="auto"/>
            </w:pPr>
            <w:r>
              <w:rPr>
                <w:b/>
                <w:color w:val="FFFFFF"/>
                <w:sz w:val="17"/>
              </w:rPr>
              <w:t>Feature</w:t>
            </w:r>
          </w:p>
        </w:tc>
        <w:tc>
          <w:tcPr>
            <w:tcW w:type="dxa" w:w="3175"/>
            <w:shd w:val="clear" w:color="auto" w:fill="1F3864"/>
            <w:vAlign w:val="center"/>
          </w:tcPr>
          <w:p>
            <w:pPr>
              <w:keepNext/>
              <w:spacing w:after="0" w:line="240" w:lineRule="auto"/>
            </w:pPr>
            <w:r>
              <w:rPr>
                <w:b/>
                <w:color w:val="FFFFFF"/>
                <w:sz w:val="17"/>
              </w:rPr>
              <w:t>What it will give you</w:t>
            </w:r>
          </w:p>
        </w:tc>
        <w:tc>
          <w:tcPr>
            <w:tcW w:type="dxa" w:w="3288"/>
            <w:shd w:val="clear" w:color="auto" w:fill="1F3864"/>
            <w:vAlign w:val="center"/>
          </w:tcPr>
          <w:p>
            <w:pPr>
              <w:keepNext/>
              <w:spacing w:after="0" w:line="240" w:lineRule="auto"/>
            </w:pPr>
            <w:r>
              <w:rPr>
                <w:b/>
                <w:color w:val="FFFFFF"/>
                <w:sz w:val="17"/>
              </w:rPr>
              <w:t>Where things stand today</w:t>
            </w:r>
          </w:p>
        </w:tc>
        <w:tc>
          <w:tcPr>
            <w:tcW w:type="dxa" w:w="1134"/>
            <w:shd w:val="clear" w:color="auto" w:fill="1F3864"/>
            <w:vAlign w:val="center"/>
          </w:tcPr>
          <w:p>
            <w:pPr>
              <w:keepNext/>
              <w:spacing w:after="0" w:line="240" w:lineRule="auto"/>
            </w:pPr>
            <w:r>
              <w:rPr>
                <w:b/>
                <w:color w:val="FFFFFF"/>
                <w:sz w:val="17"/>
              </w:rPr>
              <w:t>Status</w:t>
            </w:r>
          </w:p>
        </w:tc>
      </w:tr>
      <w:tr>
        <w:trPr>
          <w:cantSplit w:val="true"/>
        </w:trPr>
        <w:tc>
          <w:tcPr>
            <w:tcW w:type="dxa" w:w="2041"/>
            <w:vAlign w:val="top"/>
          </w:tcPr>
          <w:p>
            <w:pPr>
              <w:spacing w:after="20" w:line="240" w:lineRule="auto"/>
            </w:pPr>
            <w:r>
              <w:rPr>
                <w:b/>
                <w:i w:val="0"/>
                <w:sz w:val="17"/>
              </w:rPr>
              <w:t>Reverse-charge VAT posting</w:t>
            </w:r>
          </w:p>
        </w:tc>
        <w:tc>
          <w:tcPr>
            <w:tcW w:type="dxa" w:w="3175"/>
            <w:vAlign w:val="top"/>
          </w:tcPr>
          <w:p>
            <w:pPr>
              <w:spacing w:after="20" w:line="240" w:lineRule="auto"/>
            </w:pPr>
            <w:r>
              <w:rPr>
                <w:b w:val="0"/>
                <w:i w:val="0"/>
                <w:sz w:val="17"/>
              </w:rPr>
              <w:t>Self-assessed VAT posted to the ledger for purchases coded reverse charge.</w:t>
            </w:r>
          </w:p>
        </w:tc>
        <w:tc>
          <w:tcPr>
            <w:tcW w:type="dxa" w:w="3288"/>
            <w:vAlign w:val="top"/>
          </w:tcPr>
          <w:p>
            <w:pPr>
              <w:spacing w:after="20" w:line="240" w:lineRule="auto"/>
            </w:pPr>
            <w:r>
              <w:rPr>
                <w:b w:val="0"/>
                <w:i w:val="0"/>
                <w:sz w:val="17"/>
              </w:rPr>
              <w:t>The VAT return already reports boxes 3 and 10. Nothing is posted yet.</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VAT return boxes 2, 6 and 7, customer emirate, and a lock on a filed period</w:t>
            </w:r>
          </w:p>
        </w:tc>
        <w:tc>
          <w:tcPr>
            <w:tcW w:type="dxa" w:w="3175"/>
            <w:shd w:val="clear" w:color="auto" w:fill="F3F6FA"/>
            <w:vAlign w:val="top"/>
          </w:tcPr>
          <w:p>
            <w:pPr>
              <w:spacing w:after="20" w:line="240" w:lineRule="auto"/>
            </w:pPr>
            <w:r>
              <w:rPr>
                <w:b w:val="0"/>
                <w:i w:val="0"/>
                <w:sz w:val="17"/>
              </w:rPr>
              <w:t>The remaining boxes (tourist refunds, goods imported, import adjustments); the right emirate box for each sale; a filed period that can no longer be changed.</w:t>
            </w:r>
          </w:p>
        </w:tc>
        <w:tc>
          <w:tcPr>
            <w:tcW w:type="dxa" w:w="3288"/>
            <w:shd w:val="clear" w:color="auto" w:fill="F3F6FA"/>
            <w:vAlign w:val="top"/>
          </w:tcPr>
          <w:p>
            <w:pPr>
              <w:spacing w:after="20" w:line="240" w:lineRule="auto"/>
            </w:pPr>
            <w:r>
              <w:rPr>
                <w:b w:val="0"/>
                <w:i w:val="0"/>
                <w:sz w:val="17"/>
              </w:rPr>
              <w:t>Boxes 2, 6 and 7 show Not tracked yet. All standard-rated supplies go to the company's own emirate. A filed return is saved, but its period is not hard-locked.</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Foreign-currency invoices and exchange gain or loss (currency phase 2)</w:t>
            </w:r>
          </w:p>
        </w:tc>
        <w:tc>
          <w:tcPr>
            <w:tcW w:type="dxa" w:w="3175"/>
            <w:vAlign w:val="top"/>
          </w:tcPr>
          <w:p>
            <w:pPr>
              <w:spacing w:after="20" w:line="240" w:lineRule="auto"/>
            </w:pPr>
            <w:r>
              <w:rPr>
                <w:b w:val="0"/>
                <w:i w:val="0"/>
                <w:sz w:val="17"/>
              </w:rPr>
              <w:t>A currency on orders and invoices, settlement at a different rate, realised and unrealised exchange gain or loss, and month-end revaluation.</w:t>
            </w:r>
          </w:p>
        </w:tc>
        <w:tc>
          <w:tcPr>
            <w:tcW w:type="dxa" w:w="3288"/>
            <w:vAlign w:val="top"/>
          </w:tcPr>
          <w:p>
            <w:pPr>
              <w:spacing w:after="20" w:line="240" w:lineRule="auto"/>
            </w:pPr>
            <w:r>
              <w:rPr>
                <w:b w:val="0"/>
                <w:i w:val="0"/>
                <w:sz w:val="17"/>
              </w:rPr>
              <w:t>The currency master, rates and foreign-currency receipts and payments are available. Trade documents have no currency, and there is no exchange gain or loss account.</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Bank and card reconciliation</w:t>
            </w:r>
          </w:p>
        </w:tc>
        <w:tc>
          <w:tcPr>
            <w:tcW w:type="dxa" w:w="3175"/>
            <w:shd w:val="clear" w:color="auto" w:fill="F3F6FA"/>
            <w:vAlign w:val="top"/>
          </w:tcPr>
          <w:p>
            <w:pPr>
              <w:spacing w:after="20" w:line="240" w:lineRule="auto"/>
            </w:pPr>
            <w:r>
              <w:rPr>
                <w:b w:val="0"/>
                <w:i w:val="0"/>
                <w:sz w:val="17"/>
              </w:rPr>
              <w:t>Import or enter a bank statement, match it to the ledger, mark lines reconciled, and settle card statements.</w:t>
            </w:r>
          </w:p>
        </w:tc>
        <w:tc>
          <w:tcPr>
            <w:tcW w:type="dxa" w:w="3288"/>
            <w:shd w:val="clear" w:color="auto" w:fill="F3F6FA"/>
            <w:vAlign w:val="top"/>
          </w:tcPr>
          <w:p>
            <w:pPr>
              <w:spacing w:after="20" w:line="240" w:lineRule="auto"/>
            </w:pPr>
            <w:r>
              <w:rPr>
                <w:b w:val="0"/>
                <w:i w:val="0"/>
                <w:sz w:val="17"/>
              </w:rPr>
              <w:t>Cheque clearing is the only bank-side step today.</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Year-end closing entries (suggested)</w:t>
            </w:r>
          </w:p>
        </w:tc>
        <w:tc>
          <w:tcPr>
            <w:tcW w:type="dxa" w:w="3175"/>
            <w:vAlign w:val="top"/>
          </w:tcPr>
          <w:p>
            <w:pPr>
              <w:spacing w:after="20" w:line="240" w:lineRule="auto"/>
            </w:pPr>
            <w:r>
              <w:rPr>
                <w:b w:val="0"/>
                <w:i w:val="0"/>
                <w:sz w:val="17"/>
              </w:rPr>
              <w:t>Closing a year transfers profit to retained earnings.</w:t>
            </w:r>
          </w:p>
        </w:tc>
        <w:tc>
          <w:tcPr>
            <w:tcW w:type="dxa" w:w="3288"/>
            <w:vAlign w:val="top"/>
          </w:tcPr>
          <w:p>
            <w:pPr>
              <w:spacing w:after="20" w:line="240" w:lineRule="auto"/>
            </w:pPr>
            <w:r>
              <w:rPr>
                <w:b w:val="0"/>
                <w:i w:val="0"/>
                <w:sz w:val="17"/>
              </w:rPr>
              <w:t>Closing a year locks the period and posts nothing; the balance sheet shows profit to date inside equity.</w:t>
            </w:r>
          </w:p>
        </w:tc>
        <w:tc>
          <w:tcPr>
            <w:tcW w:type="dxa" w:w="1134"/>
            <w:shd w:val="clear" w:color="auto" w:fill="F4F4F4"/>
            <w:vAlign w:val="top"/>
          </w:tcPr>
          <w:p>
            <w:pPr>
              <w:spacing w:after="20" w:line="240" w:lineRule="auto"/>
            </w:pPr>
            <w:r>
              <w:rPr>
                <w:b/>
                <w:i w:val="0"/>
                <w:sz w:val="17"/>
              </w:rPr>
              <w:t>Planned</w:t>
            </w:r>
          </w:p>
        </w:tc>
      </w:tr>
    </w:tbl>
    <w:p>
      <w:pPr>
        <w:spacing w:after="0" w:before="0" w:line="80" w:lineRule="exact"/>
      </w:pPr>
    </w:p>
    <w:p>
      <w:pPr>
        <w:pStyle w:val="Heading2"/>
      </w:pPr>
      <w:r>
        <w:t>5.4 Reach and experience</w:t>
      </w:r>
    </w:p>
    <w:p>
      <w:pPr>
        <w:keepNext/>
      </w:pPr>
      <w:r>
        <w:rPr>
          <w:b w:val="0"/>
          <w:i w:val="0"/>
        </w:rPr>
        <w:t>These make the system easier to use and to connect.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040"/>
        <w:gridCol w:w="3174"/>
        <w:gridCol w:w="3288"/>
        <w:gridCol w:w="1133"/>
      </w:tblGrid>
      <w:tr>
        <w:trPr>
          <w:cantSplit w:val="true"/>
          <w:tblHeader w:val="true"/>
        </w:trPr>
        <w:tc>
          <w:tcPr>
            <w:tcW w:type="dxa" w:w="2041"/>
            <w:shd w:val="clear" w:color="auto" w:fill="1F3864"/>
            <w:vAlign w:val="center"/>
          </w:tcPr>
          <w:p>
            <w:pPr>
              <w:keepNext/>
              <w:spacing w:after="0" w:line="240" w:lineRule="auto"/>
            </w:pPr>
            <w:r>
              <w:rPr>
                <w:b/>
                <w:color w:val="FFFFFF"/>
                <w:sz w:val="17"/>
              </w:rPr>
              <w:t>Feature</w:t>
            </w:r>
          </w:p>
        </w:tc>
        <w:tc>
          <w:tcPr>
            <w:tcW w:type="dxa" w:w="3175"/>
            <w:shd w:val="clear" w:color="auto" w:fill="1F3864"/>
            <w:vAlign w:val="center"/>
          </w:tcPr>
          <w:p>
            <w:pPr>
              <w:keepNext/>
              <w:spacing w:after="0" w:line="240" w:lineRule="auto"/>
            </w:pPr>
            <w:r>
              <w:rPr>
                <w:b/>
                <w:color w:val="FFFFFF"/>
                <w:sz w:val="17"/>
              </w:rPr>
              <w:t>What it will give you</w:t>
            </w:r>
          </w:p>
        </w:tc>
        <w:tc>
          <w:tcPr>
            <w:tcW w:type="dxa" w:w="3288"/>
            <w:shd w:val="clear" w:color="auto" w:fill="1F3864"/>
            <w:vAlign w:val="center"/>
          </w:tcPr>
          <w:p>
            <w:pPr>
              <w:keepNext/>
              <w:spacing w:after="0" w:line="240" w:lineRule="auto"/>
            </w:pPr>
            <w:r>
              <w:rPr>
                <w:b/>
                <w:color w:val="FFFFFF"/>
                <w:sz w:val="17"/>
              </w:rPr>
              <w:t>Where things stand today</w:t>
            </w:r>
          </w:p>
        </w:tc>
        <w:tc>
          <w:tcPr>
            <w:tcW w:type="dxa" w:w="1134"/>
            <w:shd w:val="clear" w:color="auto" w:fill="1F3864"/>
            <w:vAlign w:val="center"/>
          </w:tcPr>
          <w:p>
            <w:pPr>
              <w:keepNext/>
              <w:spacing w:after="0" w:line="240" w:lineRule="auto"/>
            </w:pPr>
            <w:r>
              <w:rPr>
                <w:b/>
                <w:color w:val="FFFFFF"/>
                <w:sz w:val="17"/>
              </w:rPr>
              <w:t>Status</w:t>
            </w:r>
          </w:p>
        </w:tc>
      </w:tr>
      <w:tr>
        <w:trPr>
          <w:cantSplit w:val="true"/>
        </w:trPr>
        <w:tc>
          <w:tcPr>
            <w:tcW w:type="dxa" w:w="2041"/>
            <w:vAlign w:val="top"/>
          </w:tcPr>
          <w:p>
            <w:pPr>
              <w:spacing w:after="20" w:line="240" w:lineRule="auto"/>
            </w:pPr>
            <w:r>
              <w:rPr>
                <w:b/>
                <w:i w:val="0"/>
                <w:sz w:val="17"/>
              </w:rPr>
              <w:t>Arabic language and right-to-left layout</w:t>
            </w:r>
          </w:p>
        </w:tc>
        <w:tc>
          <w:tcPr>
            <w:tcW w:type="dxa" w:w="3175"/>
            <w:vAlign w:val="top"/>
          </w:tcPr>
          <w:p>
            <w:pPr>
              <w:spacing w:after="20" w:line="240" w:lineRule="auto"/>
            </w:pPr>
            <w:r>
              <w:rPr>
                <w:b w:val="0"/>
                <w:i w:val="0"/>
                <w:sz w:val="17"/>
              </w:rPr>
              <w:t>Every screen, message and printed document in Arabic as well as English, chosen per user. The plan is in 5.7.</w:t>
            </w:r>
          </w:p>
        </w:tc>
        <w:tc>
          <w:tcPr>
            <w:tcW w:type="dxa" w:w="3288"/>
            <w:vAlign w:val="top"/>
          </w:tcPr>
          <w:p>
            <w:pPr>
              <w:spacing w:after="20" w:line="240" w:lineRule="auto"/>
            </w:pPr>
            <w:r>
              <w:rPr>
                <w:b w:val="0"/>
                <w:i w:val="0"/>
                <w:sz w:val="17"/>
              </w:rPr>
              <w:t>English only. Settings shows Language as Coming soon. The invoice header already prints the company's Arabic name when the profile has one.</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Notifications and document-expiry alerts</w:t>
            </w:r>
          </w:p>
        </w:tc>
        <w:tc>
          <w:tcPr>
            <w:tcW w:type="dxa" w:w="3175"/>
            <w:shd w:val="clear" w:color="auto" w:fill="F3F6FA"/>
            <w:vAlign w:val="top"/>
          </w:tcPr>
          <w:p>
            <w:pPr>
              <w:spacing w:after="20" w:line="240" w:lineRule="auto"/>
            </w:pPr>
            <w:r>
              <w:rPr>
                <w:b w:val="0"/>
                <w:i w:val="0"/>
                <w:sz w:val="17"/>
              </w:rPr>
              <w:t>Reminders by email or message for expiring documents, low stock, overdue invoices and approvals.</w:t>
            </w:r>
          </w:p>
        </w:tc>
        <w:tc>
          <w:tcPr>
            <w:tcW w:type="dxa" w:w="3288"/>
            <w:shd w:val="clear" w:color="auto" w:fill="F3F6FA"/>
            <w:vAlign w:val="top"/>
          </w:tcPr>
          <w:p>
            <w:pPr>
              <w:spacing w:after="20" w:line="240" w:lineRule="auto"/>
            </w:pPr>
            <w:r>
              <w:rPr>
                <w:b w:val="0"/>
                <w:i w:val="0"/>
                <w:sz w:val="17"/>
              </w:rPr>
              <w:t>Expiry shows as flags and lists. Reminders are marked Coming soon; there is no mail service or scheduled job yet.</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Voucher PDFs and expense attachments</w:t>
            </w:r>
          </w:p>
        </w:tc>
        <w:tc>
          <w:tcPr>
            <w:tcW w:type="dxa" w:w="3175"/>
            <w:vAlign w:val="top"/>
          </w:tcPr>
          <w:p>
            <w:pPr>
              <w:spacing w:after="20" w:line="240" w:lineRule="auto"/>
            </w:pPr>
            <w:r>
              <w:rPr>
                <w:b w:val="0"/>
                <w:i w:val="0"/>
                <w:sz w:val="17"/>
              </w:rPr>
              <w:t>Download a voucher as a PDF with the company heading, and attach receipts to expenses and other vouchers.</w:t>
            </w:r>
          </w:p>
        </w:tc>
        <w:tc>
          <w:tcPr>
            <w:tcW w:type="dxa" w:w="3288"/>
            <w:vAlign w:val="top"/>
          </w:tcPr>
          <w:p>
            <w:pPr>
              <w:spacing w:after="20" w:line="240" w:lineRule="auto"/>
            </w:pPr>
            <w:r>
              <w:rPr>
                <w:b w:val="0"/>
                <w:i w:val="0"/>
                <w:sz w:val="17"/>
              </w:rPr>
              <w:t>Vouchers have a print page only. Orders already have PDF and attachments.</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Live e-invoicing connection</w:t>
            </w:r>
          </w:p>
        </w:tc>
        <w:tc>
          <w:tcPr>
            <w:tcW w:type="dxa" w:w="3175"/>
            <w:shd w:val="clear" w:color="auto" w:fill="F3F6FA"/>
            <w:vAlign w:val="top"/>
          </w:tcPr>
          <w:p>
            <w:pPr>
              <w:spacing w:after="20" w:line="240" w:lineRule="auto"/>
            </w:pPr>
            <w:r>
              <w:rPr>
                <w:b w:val="0"/>
                <w:i w:val="0"/>
                <w:sz w:val="17"/>
              </w:rPr>
              <w:t>Sending to the tax authority's network through an accredited provider.</w:t>
            </w:r>
          </w:p>
        </w:tc>
        <w:tc>
          <w:tcPr>
            <w:tcW w:type="dxa" w:w="3288"/>
            <w:shd w:val="clear" w:color="auto" w:fill="F3F6FA"/>
            <w:vAlign w:val="top"/>
          </w:tcPr>
          <w:p>
            <w:pPr>
              <w:spacing w:after="20" w:line="240" w:lineRule="auto"/>
            </w:pPr>
            <w:r>
              <w:rPr>
                <w:b w:val="0"/>
                <w:i w:val="0"/>
                <w:sz w:val="17"/>
              </w:rPr>
              <w:t>The sandbox works end to end. Any provider other than the sandbox is refused.</w:t>
            </w:r>
          </w:p>
        </w:tc>
        <w:tc>
          <w:tcPr>
            <w:tcW w:type="dxa" w:w="1134"/>
            <w:shd w:val="clear" w:color="auto" w:fill="F4F4F4"/>
            <w:vAlign w:val="top"/>
          </w:tcPr>
          <w:p>
            <w:pPr>
              <w:spacing w:after="20" w:line="240" w:lineRule="auto"/>
            </w:pPr>
            <w:r>
              <w:rPr>
                <w:b/>
                <w:i w:val="0"/>
                <w:sz w:val="17"/>
              </w:rPr>
              <w:t>Planned</w:t>
            </w:r>
          </w:p>
        </w:tc>
      </w:tr>
    </w:tbl>
    <w:p>
      <w:pPr>
        <w:spacing w:after="0" w:before="0" w:line="80" w:lineRule="exact"/>
      </w:pPr>
    </w:p>
    <w:p>
      <w:pPr>
        <w:pStyle w:val="Heading2"/>
      </w:pPr>
      <w:r>
        <w:t>5.5 One platform: KYC, CRM, retail, import and export</w:t>
      </w:r>
    </w:p>
    <w:p>
      <w:pPr>
        <w:keepNext/>
      </w:pPr>
      <w:r>
        <w:rPr>
          <w:b w:val="0"/>
          <w:i w:val="0"/>
        </w:rPr>
        <w:t>The direction is one full platform, not separate products: one sign-in, one customer record and one stock record shared by every module, with modules switched on per client. These are the modules planned after the trade core.</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040"/>
        <w:gridCol w:w="3174"/>
        <w:gridCol w:w="3288"/>
        <w:gridCol w:w="1133"/>
      </w:tblGrid>
      <w:tr>
        <w:trPr>
          <w:cantSplit w:val="true"/>
          <w:tblHeader w:val="true"/>
        </w:trPr>
        <w:tc>
          <w:tcPr>
            <w:tcW w:type="dxa" w:w="2041"/>
            <w:shd w:val="clear" w:color="auto" w:fill="1F3864"/>
            <w:vAlign w:val="center"/>
          </w:tcPr>
          <w:p>
            <w:pPr>
              <w:keepNext/>
              <w:spacing w:after="0" w:line="240" w:lineRule="auto"/>
            </w:pPr>
            <w:r>
              <w:rPr>
                <w:b/>
                <w:color w:val="FFFFFF"/>
                <w:sz w:val="17"/>
              </w:rPr>
              <w:t>Feature</w:t>
            </w:r>
          </w:p>
        </w:tc>
        <w:tc>
          <w:tcPr>
            <w:tcW w:type="dxa" w:w="3175"/>
            <w:shd w:val="clear" w:color="auto" w:fill="1F3864"/>
            <w:vAlign w:val="center"/>
          </w:tcPr>
          <w:p>
            <w:pPr>
              <w:keepNext/>
              <w:spacing w:after="0" w:line="240" w:lineRule="auto"/>
            </w:pPr>
            <w:r>
              <w:rPr>
                <w:b/>
                <w:color w:val="FFFFFF"/>
                <w:sz w:val="17"/>
              </w:rPr>
              <w:t>What it will give you</w:t>
            </w:r>
          </w:p>
        </w:tc>
        <w:tc>
          <w:tcPr>
            <w:tcW w:type="dxa" w:w="3288"/>
            <w:shd w:val="clear" w:color="auto" w:fill="1F3864"/>
            <w:vAlign w:val="center"/>
          </w:tcPr>
          <w:p>
            <w:pPr>
              <w:keepNext/>
              <w:spacing w:after="0" w:line="240" w:lineRule="auto"/>
            </w:pPr>
            <w:r>
              <w:rPr>
                <w:b/>
                <w:color w:val="FFFFFF"/>
                <w:sz w:val="17"/>
              </w:rPr>
              <w:t>Where things stand today</w:t>
            </w:r>
          </w:p>
        </w:tc>
        <w:tc>
          <w:tcPr>
            <w:tcW w:type="dxa" w:w="1134"/>
            <w:shd w:val="clear" w:color="auto" w:fill="1F3864"/>
            <w:vAlign w:val="center"/>
          </w:tcPr>
          <w:p>
            <w:pPr>
              <w:keepNext/>
              <w:spacing w:after="0" w:line="240" w:lineRule="auto"/>
            </w:pPr>
            <w:r>
              <w:rPr>
                <w:b/>
                <w:color w:val="FFFFFF"/>
                <w:sz w:val="17"/>
              </w:rPr>
              <w:t>Status</w:t>
            </w:r>
          </w:p>
        </w:tc>
      </w:tr>
      <w:tr>
        <w:trPr>
          <w:cantSplit w:val="true"/>
        </w:trPr>
        <w:tc>
          <w:tcPr>
            <w:tcW w:type="dxa" w:w="2041"/>
            <w:vAlign w:val="top"/>
          </w:tcPr>
          <w:p>
            <w:pPr>
              <w:spacing w:after="20" w:line="240" w:lineRule="auto"/>
            </w:pPr>
            <w:r>
              <w:rPr>
                <w:b/>
                <w:i w:val="0"/>
                <w:sz w:val="17"/>
              </w:rPr>
              <w:t>KYC and customer onboarding</w:t>
            </w:r>
          </w:p>
        </w:tc>
        <w:tc>
          <w:tcPr>
            <w:tcW w:type="dxa" w:w="3175"/>
            <w:vAlign w:val="top"/>
          </w:tcPr>
          <w:p>
            <w:pPr>
              <w:spacing w:after="20" w:line="240" w:lineRule="auto"/>
            </w:pPr>
            <w:r>
              <w:rPr>
                <w:b w:val="0"/>
                <w:i w:val="0"/>
                <w:sz w:val="17"/>
              </w:rPr>
              <w:t>An onboarding checklist for customers and vendors, identity and trade-licence checks, a risk rating, review dates, and approval before the first transaction.</w:t>
            </w:r>
          </w:p>
        </w:tc>
        <w:tc>
          <w:tcPr>
            <w:tcW w:type="dxa" w:w="3288"/>
            <w:vAlign w:val="top"/>
          </w:tcPr>
          <w:p>
            <w:pPr>
              <w:spacing w:after="20" w:line="240" w:lineRule="auto"/>
            </w:pPr>
            <w:r>
              <w:rPr>
                <w:b w:val="0"/>
                <w:i w:val="0"/>
                <w:sz w:val="17"/>
              </w:rPr>
              <w:t>KYC documents with expiry flags and a register exist. There is no onboarding workflow, risk rating or approval step.</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CRM</w:t>
            </w:r>
          </w:p>
        </w:tc>
        <w:tc>
          <w:tcPr>
            <w:tcW w:type="dxa" w:w="3175"/>
            <w:shd w:val="clear" w:color="auto" w:fill="F3F6FA"/>
            <w:vAlign w:val="top"/>
          </w:tcPr>
          <w:p>
            <w:pPr>
              <w:spacing w:after="20" w:line="240" w:lineRule="auto"/>
            </w:pPr>
            <w:r>
              <w:rPr>
                <w:b w:val="0"/>
                <w:i w:val="0"/>
                <w:sz w:val="17"/>
              </w:rPr>
              <w:t>Leads, contacts, opportunities and follow-up tasks, with a quote that becomes a sales order and the customer's history in one place.</w:t>
            </w:r>
          </w:p>
        </w:tc>
        <w:tc>
          <w:tcPr>
            <w:tcW w:type="dxa" w:w="3288"/>
            <w:shd w:val="clear" w:color="auto" w:fill="F3F6FA"/>
            <w:vAlign w:val="top"/>
          </w:tcPr>
          <w:p>
            <w:pPr>
              <w:spacing w:after="20" w:line="240" w:lineRule="auto"/>
            </w:pPr>
            <w:r>
              <w:rPr>
                <w:b w:val="0"/>
                <w:i w:val="0"/>
                <w:sz w:val="17"/>
              </w:rPr>
              <w:t>The customer master, contacts and statement exist. There are no leads, pipeline or follow-up tasks.</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Retail</w:t>
            </w:r>
          </w:p>
        </w:tc>
        <w:tc>
          <w:tcPr>
            <w:tcW w:type="dxa" w:w="3175"/>
            <w:vAlign w:val="top"/>
          </w:tcPr>
          <w:p>
            <w:pPr>
              <w:spacing w:after="20" w:line="240" w:lineRule="auto"/>
            </w:pPr>
            <w:r>
              <w:rPr>
                <w:b w:val="0"/>
                <w:i w:val="0"/>
                <w:sz w:val="17"/>
              </w:rPr>
              <w:t>A till (point of sale) with cash-up, receipts, barcodes, returns at the till, stock by outlet and daily posting to the books.</w:t>
            </w:r>
          </w:p>
        </w:tc>
        <w:tc>
          <w:tcPr>
            <w:tcW w:type="dxa" w:w="3288"/>
            <w:vAlign w:val="top"/>
          </w:tcPr>
          <w:p>
            <w:pPr>
              <w:spacing w:after="20" w:line="240" w:lineRule="auto"/>
            </w:pPr>
            <w:r>
              <w:rPr>
                <w:b w:val="0"/>
                <w:i w:val="0"/>
                <w:sz w:val="17"/>
              </w:rPr>
              <w:t>Sales are orders and tax invoices. There is no till screen. Card terminals exist only as payment masters.</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Import</w:t>
            </w:r>
          </w:p>
        </w:tc>
        <w:tc>
          <w:tcPr>
            <w:tcW w:type="dxa" w:w="3175"/>
            <w:shd w:val="clear" w:color="auto" w:fill="F3F6FA"/>
            <w:vAlign w:val="top"/>
          </w:tcPr>
          <w:p>
            <w:pPr>
              <w:spacing w:after="20" w:line="240" w:lineRule="auto"/>
            </w:pPr>
            <w:r>
              <w:rPr>
                <w:b w:val="0"/>
                <w:i w:val="0"/>
                <w:sz w:val="17"/>
              </w:rPr>
              <w:t>Purchases from abroad with landed cost (freight, duty and insurance spread over the items), shipment and customs records, and foreign-currency purchase invoices.</w:t>
            </w:r>
          </w:p>
        </w:tc>
        <w:tc>
          <w:tcPr>
            <w:tcW w:type="dxa" w:w="3288"/>
            <w:shd w:val="clear" w:color="auto" w:fill="F3F6FA"/>
            <w:vAlign w:val="top"/>
          </w:tcPr>
          <w:p>
            <w:pPr>
              <w:spacing w:after="20" w:line="240" w:lineRule="auto"/>
            </w:pPr>
            <w:r>
              <w:rPr>
                <w:b w:val="0"/>
                <w:i w:val="0"/>
                <w:sz w:val="17"/>
              </w:rPr>
              <w:t>Purchase orders and order charges exist. There is no landed-cost allocation, shipment or customs record.</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Export</w:t>
            </w:r>
          </w:p>
        </w:tc>
        <w:tc>
          <w:tcPr>
            <w:tcW w:type="dxa" w:w="3175"/>
            <w:vAlign w:val="top"/>
          </w:tcPr>
          <w:p>
            <w:pPr>
              <w:spacing w:after="20" w:line="240" w:lineRule="auto"/>
            </w:pPr>
            <w:r>
              <w:rPr>
                <w:b w:val="0"/>
                <w:i w:val="0"/>
                <w:sz w:val="17"/>
              </w:rPr>
              <w:t>Export invoices with zero-rated handling, shipping and packing documents, foreign-currency sales invoices and receipts, and export reports.</w:t>
            </w:r>
          </w:p>
        </w:tc>
        <w:tc>
          <w:tcPr>
            <w:tcW w:type="dxa" w:w="3288"/>
            <w:vAlign w:val="top"/>
          </w:tcPr>
          <w:p>
            <w:pPr>
              <w:spacing w:after="20" w:line="240" w:lineRule="auto"/>
            </w:pPr>
            <w:r>
              <w:rPr>
                <w:b w:val="0"/>
                <w:i w:val="0"/>
                <w:sz w:val="17"/>
              </w:rPr>
              <w:t>A zero-rated tax code and foreign-currency receipts exist. There are no export documents and no foreign-currency invoices.</w:t>
            </w:r>
          </w:p>
        </w:tc>
        <w:tc>
          <w:tcPr>
            <w:tcW w:type="dxa" w:w="1134"/>
            <w:shd w:val="clear" w:color="auto" w:fill="F4F4F4"/>
            <w:vAlign w:val="top"/>
          </w:tcPr>
          <w:p>
            <w:pPr>
              <w:spacing w:after="20" w:line="240" w:lineRule="auto"/>
            </w:pPr>
            <w:r>
              <w:rPr>
                <w:b/>
                <w:i w:val="0"/>
                <w:sz w:val="17"/>
              </w:rPr>
              <w:t>Planned</w:t>
            </w:r>
          </w:p>
        </w:tc>
      </w:tr>
    </w:tbl>
    <w:p>
      <w:pPr>
        <w:spacing w:after="0" w:before="0" w:line="80" w:lineRule="exact"/>
      </w:pPr>
    </w:p>
    <w:p>
      <w:pPr>
        <w:pStyle w:val="Heading2"/>
      </w:pPr>
      <w:r>
        <w:t>5.6 Scale and brand</w:t>
      </w:r>
    </w:p>
    <w:p>
      <w:pPr>
        <w:keepNext/>
      </w:pPr>
      <w:r>
        <w:rPr>
          <w:b w:val="0"/>
          <w:i w:val="0"/>
        </w:rPr>
        <w:t>These prepare the product for more clients and more places.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040"/>
        <w:gridCol w:w="3174"/>
        <w:gridCol w:w="3288"/>
        <w:gridCol w:w="1133"/>
      </w:tblGrid>
      <w:tr>
        <w:trPr>
          <w:cantSplit w:val="true"/>
          <w:tblHeader w:val="true"/>
        </w:trPr>
        <w:tc>
          <w:tcPr>
            <w:tcW w:type="dxa" w:w="2041"/>
            <w:shd w:val="clear" w:color="auto" w:fill="1F3864"/>
            <w:vAlign w:val="center"/>
          </w:tcPr>
          <w:p>
            <w:pPr>
              <w:keepNext/>
              <w:spacing w:after="0" w:line="240" w:lineRule="auto"/>
            </w:pPr>
            <w:r>
              <w:rPr>
                <w:b/>
                <w:color w:val="FFFFFF"/>
                <w:sz w:val="17"/>
              </w:rPr>
              <w:t>Feature</w:t>
            </w:r>
          </w:p>
        </w:tc>
        <w:tc>
          <w:tcPr>
            <w:tcW w:type="dxa" w:w="3175"/>
            <w:shd w:val="clear" w:color="auto" w:fill="1F3864"/>
            <w:vAlign w:val="center"/>
          </w:tcPr>
          <w:p>
            <w:pPr>
              <w:keepNext/>
              <w:spacing w:after="0" w:line="240" w:lineRule="auto"/>
            </w:pPr>
            <w:r>
              <w:rPr>
                <w:b/>
                <w:color w:val="FFFFFF"/>
                <w:sz w:val="17"/>
              </w:rPr>
              <w:t>What it will give you</w:t>
            </w:r>
          </w:p>
        </w:tc>
        <w:tc>
          <w:tcPr>
            <w:tcW w:type="dxa" w:w="3288"/>
            <w:shd w:val="clear" w:color="auto" w:fill="1F3864"/>
            <w:vAlign w:val="center"/>
          </w:tcPr>
          <w:p>
            <w:pPr>
              <w:keepNext/>
              <w:spacing w:after="0" w:line="240" w:lineRule="auto"/>
            </w:pPr>
            <w:r>
              <w:rPr>
                <w:b/>
                <w:color w:val="FFFFFF"/>
                <w:sz w:val="17"/>
              </w:rPr>
              <w:t>Where things stand today</w:t>
            </w:r>
          </w:p>
        </w:tc>
        <w:tc>
          <w:tcPr>
            <w:tcW w:type="dxa" w:w="1134"/>
            <w:shd w:val="clear" w:color="auto" w:fill="1F3864"/>
            <w:vAlign w:val="center"/>
          </w:tcPr>
          <w:p>
            <w:pPr>
              <w:keepNext/>
              <w:spacing w:after="0" w:line="240" w:lineRule="auto"/>
            </w:pPr>
            <w:r>
              <w:rPr>
                <w:b/>
                <w:color w:val="FFFFFF"/>
                <w:sz w:val="17"/>
              </w:rPr>
              <w:t>Status</w:t>
            </w:r>
          </w:p>
        </w:tc>
      </w:tr>
      <w:tr>
        <w:trPr>
          <w:cantSplit w:val="true"/>
        </w:trPr>
        <w:tc>
          <w:tcPr>
            <w:tcW w:type="dxa" w:w="2041"/>
            <w:vAlign w:val="top"/>
          </w:tcPr>
          <w:p>
            <w:pPr>
              <w:spacing w:after="20" w:line="240" w:lineRule="auto"/>
            </w:pPr>
            <w:r>
              <w:rPr>
                <w:b/>
                <w:i w:val="0"/>
                <w:sz w:val="17"/>
              </w:rPr>
              <w:t>Warehouse and location costing</w:t>
            </w:r>
          </w:p>
        </w:tc>
        <w:tc>
          <w:tcPr>
            <w:tcW w:type="dxa" w:w="3175"/>
            <w:vAlign w:val="top"/>
          </w:tcPr>
          <w:p>
            <w:pPr>
              <w:spacing w:after="20" w:line="240" w:lineRule="auto"/>
            </w:pPr>
            <w:r>
              <w:rPr>
                <w:b w:val="0"/>
                <w:i w:val="0"/>
                <w:sz w:val="17"/>
              </w:rPr>
              <w:t>A location master, transfers between locations, a cost per item and location, and reports by location.</w:t>
            </w:r>
          </w:p>
        </w:tc>
        <w:tc>
          <w:tcPr>
            <w:tcW w:type="dxa" w:w="3288"/>
            <w:vAlign w:val="top"/>
          </w:tcPr>
          <w:p>
            <w:pPr>
              <w:spacing w:after="20" w:line="240" w:lineRule="auto"/>
            </w:pPr>
            <w:r>
              <w:rPr>
                <w:b w:val="0"/>
                <w:i w:val="0"/>
                <w:sz w:val="17"/>
              </w:rPr>
              <w:t>One cost pool per item. A movement has a location field that nothing uses yet.</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Brand pack per client</w:t>
            </w:r>
          </w:p>
        </w:tc>
        <w:tc>
          <w:tcPr>
            <w:tcW w:type="dxa" w:w="3175"/>
            <w:shd w:val="clear" w:color="auto" w:fill="F3F6FA"/>
            <w:vAlign w:val="top"/>
          </w:tcPr>
          <w:p>
            <w:pPr>
              <w:spacing w:after="20" w:line="240" w:lineRule="auto"/>
            </w:pPr>
            <w:r>
              <w:rPr>
                <w:b w:val="0"/>
                <w:i w:val="0"/>
                <w:sz w:val="17"/>
              </w:rPr>
              <w:t>Each client's own name, colours and number formats in its own brand pack, beside the product name.</w:t>
            </w:r>
          </w:p>
        </w:tc>
        <w:tc>
          <w:tcPr>
            <w:tcW w:type="dxa" w:w="3288"/>
            <w:shd w:val="clear" w:color="auto" w:fill="F3F6FA"/>
            <w:vAlign w:val="top"/>
          </w:tcPr>
          <w:p>
            <w:pPr>
              <w:spacing w:after="20" w:line="240" w:lineRule="auto"/>
            </w:pPr>
            <w:r>
              <w:rPr>
                <w:b w:val="0"/>
                <w:i w:val="0"/>
                <w:sz w:val="17"/>
              </w:rPr>
              <w:t>The product name Zarvia is applied to the sign-in page, the browser title and the sign-in footer. The installation carries one brand pack, NH FOODS. A second client needs its own pack.</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vAlign w:val="top"/>
          </w:tcPr>
          <w:p>
            <w:pPr>
              <w:spacing w:after="20" w:line="240" w:lineRule="auto"/>
            </w:pPr>
            <w:r>
              <w:rPr>
                <w:b/>
                <w:i w:val="0"/>
                <w:sz w:val="17"/>
              </w:rPr>
              <w:t>Support for more than one database</w:t>
            </w:r>
          </w:p>
        </w:tc>
        <w:tc>
          <w:tcPr>
            <w:tcW w:type="dxa" w:w="3175"/>
            <w:vAlign w:val="top"/>
          </w:tcPr>
          <w:p>
            <w:pPr>
              <w:spacing w:after="20" w:line="240" w:lineRule="auto"/>
            </w:pPr>
            <w:r>
              <w:rPr>
                <w:b w:val="0"/>
                <w:i w:val="0"/>
                <w:sz w:val="17"/>
              </w:rPr>
              <w:t>A choice of database for installations that need one. MongoDB stays the main database.</w:t>
            </w:r>
          </w:p>
        </w:tc>
        <w:tc>
          <w:tcPr>
            <w:tcW w:type="dxa" w:w="3288"/>
            <w:vAlign w:val="top"/>
          </w:tcPr>
          <w:p>
            <w:pPr>
              <w:spacing w:after="20" w:line="240" w:lineRule="auto"/>
            </w:pPr>
            <w:r>
              <w:rPr>
                <w:b w:val="0"/>
                <w:i w:val="0"/>
                <w:sz w:val="17"/>
              </w:rPr>
              <w:t>The system runs on MongoDB. Multiple-database support is a later feature the owner plans; it is not started.</w:t>
            </w:r>
          </w:p>
        </w:tc>
        <w:tc>
          <w:tcPr>
            <w:tcW w:type="dxa" w:w="1134"/>
            <w:shd w:val="clear" w:color="auto" w:fill="F4F4F4"/>
            <w:vAlign w:val="top"/>
          </w:tcPr>
          <w:p>
            <w:pPr>
              <w:spacing w:after="20" w:line="240" w:lineRule="auto"/>
            </w:pPr>
            <w:r>
              <w:rPr>
                <w:b/>
                <w:i w:val="0"/>
                <w:sz w:val="17"/>
              </w:rPr>
              <w:t>Planned</w:t>
            </w:r>
          </w:p>
        </w:tc>
      </w:tr>
      <w:tr>
        <w:trPr>
          <w:cantSplit w:val="true"/>
        </w:trPr>
        <w:tc>
          <w:tcPr>
            <w:tcW w:type="dxa" w:w="2041"/>
            <w:shd w:val="clear" w:color="auto" w:fill="F3F6FA"/>
            <w:vAlign w:val="top"/>
          </w:tcPr>
          <w:p>
            <w:pPr>
              <w:spacing w:after="20" w:line="240" w:lineRule="auto"/>
            </w:pPr>
            <w:r>
              <w:rPr>
                <w:b/>
                <w:i w:val="0"/>
                <w:sz w:val="17"/>
              </w:rPr>
              <w:t>Smaller improvements (suggested)</w:t>
            </w:r>
          </w:p>
        </w:tc>
        <w:tc>
          <w:tcPr>
            <w:tcW w:type="dxa" w:w="3175"/>
            <w:shd w:val="clear" w:color="auto" w:fill="F3F6FA"/>
            <w:vAlign w:val="top"/>
          </w:tcPr>
          <w:p>
            <w:pPr>
              <w:spacing w:after="20" w:line="240" w:lineRule="auto"/>
            </w:pPr>
            <w:r>
              <w:rPr>
                <w:b w:val="0"/>
                <w:i w:val="0"/>
                <w:sz w:val="17"/>
              </w:rPr>
              <w:t>Post the quantity typed on a brand-new item to the ledger; apply customer advances to later invoices; cancel an approved order from a screen with the right checks; warn when a sale exceeds stock.</w:t>
            </w:r>
          </w:p>
        </w:tc>
        <w:tc>
          <w:tcPr>
            <w:tcW w:type="dxa" w:w="3288"/>
            <w:shd w:val="clear" w:color="auto" w:fill="F3F6FA"/>
            <w:vAlign w:val="top"/>
          </w:tcPr>
          <w:p>
            <w:pPr>
              <w:spacing w:after="20" w:line="240" w:lineRule="auto"/>
            </w:pPr>
            <w:r>
              <w:rPr>
                <w:b w:val="0"/>
                <w:i w:val="0"/>
                <w:sz w:val="17"/>
              </w:rPr>
              <w:t>Today the supported route for opening quantities is Opening balances, then Stock; advances are applied by the user; corrections use a return or a note; short stock does not stop a sale.</w:t>
            </w:r>
          </w:p>
        </w:tc>
        <w:tc>
          <w:tcPr>
            <w:tcW w:type="dxa" w:w="1134"/>
            <w:shd w:val="clear" w:color="auto" w:fill="F4F4F4"/>
            <w:vAlign w:val="top"/>
          </w:tcPr>
          <w:p>
            <w:pPr>
              <w:spacing w:after="20" w:line="240" w:lineRule="auto"/>
            </w:pPr>
            <w:r>
              <w:rPr>
                <w:b/>
                <w:i w:val="0"/>
                <w:sz w:val="17"/>
              </w:rPr>
              <w:t>Planned</w:t>
            </w:r>
          </w:p>
        </w:tc>
      </w:tr>
    </w:tbl>
    <w:p>
      <w:pPr>
        <w:spacing w:after="0" w:before="0" w:line="80" w:lineRule="exact"/>
      </w:pPr>
    </w:p>
    <w:p>
      <w:pPr>
        <w:pStyle w:val="Heading2"/>
      </w:pPr>
      <w:r>
        <w:t>5.7 Plan for Arabic and right-to-left</w:t>
      </w:r>
    </w:p>
    <w:p>
      <w:pPr>
        <w:keepNext/>
      </w:pPr>
      <w:r>
        <w:rPr>
          <w:b w:val="0"/>
          <w:i w:val="0"/>
        </w:rPr>
        <w:t>Arabic is possible and is planned in five steps. Each step leaves the system working, so Arabic can arrive module by module.</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27"/>
        <w:gridCol w:w="5442"/>
        <w:gridCol w:w="2267"/>
      </w:tblGrid>
      <w:tr>
        <w:trPr>
          <w:cantSplit w:val="true"/>
          <w:tblHeader w:val="true"/>
        </w:trPr>
        <w:tc>
          <w:tcPr>
            <w:tcW w:type="dxa" w:w="1928"/>
            <w:shd w:val="clear" w:color="auto" w:fill="1F3864"/>
            <w:vAlign w:val="center"/>
          </w:tcPr>
          <w:p>
            <w:pPr>
              <w:keepNext/>
              <w:spacing w:after="0" w:line="240" w:lineRule="auto"/>
            </w:pPr>
            <w:r>
              <w:rPr>
                <w:b/>
                <w:color w:val="FFFFFF"/>
                <w:sz w:val="17"/>
              </w:rPr>
              <w:t>Step</w:t>
            </w:r>
          </w:p>
        </w:tc>
        <w:tc>
          <w:tcPr>
            <w:tcW w:type="dxa" w:w="5443"/>
            <w:shd w:val="clear" w:color="auto" w:fill="1F3864"/>
            <w:vAlign w:val="center"/>
          </w:tcPr>
          <w:p>
            <w:pPr>
              <w:keepNext/>
              <w:spacing w:after="0" w:line="240" w:lineRule="auto"/>
            </w:pPr>
            <w:r>
              <w:rPr>
                <w:b/>
                <w:color w:val="FFFFFF"/>
                <w:sz w:val="17"/>
              </w:rPr>
              <w:t>What is done</w:t>
            </w:r>
          </w:p>
        </w:tc>
        <w:tc>
          <w:tcPr>
            <w:tcW w:type="dxa" w:w="2268"/>
            <w:shd w:val="clear" w:color="auto" w:fill="1F3864"/>
            <w:vAlign w:val="center"/>
          </w:tcPr>
          <w:p>
            <w:pPr>
              <w:keepNext/>
              <w:spacing w:after="0" w:line="240" w:lineRule="auto"/>
            </w:pPr>
            <w:r>
              <w:rPr>
                <w:b/>
                <w:color w:val="FFFFFF"/>
                <w:sz w:val="17"/>
              </w:rPr>
              <w:t>Result</w:t>
            </w:r>
          </w:p>
        </w:tc>
      </w:tr>
      <w:tr>
        <w:trPr>
          <w:cantSplit w:val="true"/>
        </w:trPr>
        <w:tc>
          <w:tcPr>
            <w:tcW w:type="dxa" w:w="1928"/>
            <w:vAlign w:val="top"/>
          </w:tcPr>
          <w:p>
            <w:pPr>
              <w:spacing w:after="20" w:line="240" w:lineRule="auto"/>
            </w:pPr>
            <w:r>
              <w:rPr>
                <w:b/>
                <w:i w:val="0"/>
                <w:sz w:val="17"/>
              </w:rPr>
              <w:t>1. Foundation</w:t>
            </w:r>
          </w:p>
        </w:tc>
        <w:tc>
          <w:tcPr>
            <w:tcW w:type="dxa" w:w="5443"/>
            <w:vAlign w:val="top"/>
          </w:tcPr>
          <w:p>
            <w:pPr>
              <w:spacing w:after="20" w:line="240" w:lineRule="auto"/>
            </w:pPr>
            <w:r>
              <w:rPr>
                <w:b w:val="0"/>
                <w:i w:val="0"/>
                <w:sz w:val="17"/>
              </w:rPr>
              <w:t>A translation library, a language choice per user, a right-to-left layout built on direction-neutral styling, and an Arabic font.</w:t>
            </w:r>
          </w:p>
        </w:tc>
        <w:tc>
          <w:tcPr>
            <w:tcW w:type="dxa" w:w="2268"/>
            <w:vAlign w:val="top"/>
          </w:tcPr>
          <w:p>
            <w:pPr>
              <w:spacing w:after="20" w:line="240" w:lineRule="auto"/>
            </w:pPr>
            <w:r>
              <w:rPr>
                <w:b w:val="0"/>
                <w:i w:val="0"/>
                <w:sz w:val="17"/>
              </w:rPr>
              <w:t>The language switch works and the layout mirrors.</w:t>
            </w:r>
          </w:p>
        </w:tc>
      </w:tr>
      <w:tr>
        <w:trPr>
          <w:cantSplit w:val="true"/>
        </w:trPr>
        <w:tc>
          <w:tcPr>
            <w:tcW w:type="dxa" w:w="1928"/>
            <w:shd w:val="clear" w:color="auto" w:fill="F3F6FA"/>
            <w:vAlign w:val="top"/>
          </w:tcPr>
          <w:p>
            <w:pPr>
              <w:spacing w:after="20" w:line="240" w:lineRule="auto"/>
            </w:pPr>
            <w:r>
              <w:rPr>
                <w:b/>
                <w:i w:val="0"/>
                <w:sz w:val="17"/>
              </w:rPr>
              <w:t>2. Screens</w:t>
            </w:r>
          </w:p>
        </w:tc>
        <w:tc>
          <w:tcPr>
            <w:tcW w:type="dxa" w:w="5443"/>
            <w:shd w:val="clear" w:color="auto" w:fill="F3F6FA"/>
            <w:vAlign w:val="top"/>
          </w:tcPr>
          <w:p>
            <w:pPr>
              <w:spacing w:after="20" w:line="240" w:lineRule="auto"/>
            </w:pPr>
            <w:r>
              <w:rPr>
                <w:b w:val="0"/>
                <w:i w:val="0"/>
                <w:sz w:val="17"/>
              </w:rPr>
              <w:t>Translate module by module, each with its own set of texts, starting with Sales, Purchase and Finance.</w:t>
            </w:r>
          </w:p>
        </w:tc>
        <w:tc>
          <w:tcPr>
            <w:tcW w:type="dxa" w:w="2268"/>
            <w:shd w:val="clear" w:color="auto" w:fill="F3F6FA"/>
            <w:vAlign w:val="top"/>
          </w:tcPr>
          <w:p>
            <w:pPr>
              <w:spacing w:after="20" w:line="240" w:lineRule="auto"/>
            </w:pPr>
            <w:r>
              <w:rPr>
                <w:b w:val="0"/>
                <w:i w:val="0"/>
                <w:sz w:val="17"/>
              </w:rPr>
              <w:t>A user can work in Arabic in each module as it is finished.</w:t>
            </w:r>
          </w:p>
        </w:tc>
      </w:tr>
      <w:tr>
        <w:trPr>
          <w:cantSplit w:val="true"/>
        </w:trPr>
        <w:tc>
          <w:tcPr>
            <w:tcW w:type="dxa" w:w="1928"/>
            <w:vAlign w:val="top"/>
          </w:tcPr>
          <w:p>
            <w:pPr>
              <w:spacing w:after="20" w:line="240" w:lineRule="auto"/>
            </w:pPr>
            <w:r>
              <w:rPr>
                <w:b/>
                <w:i w:val="0"/>
                <w:sz w:val="17"/>
              </w:rPr>
              <w:t>3. Messages from the server</w:t>
            </w:r>
          </w:p>
        </w:tc>
        <w:tc>
          <w:tcPr>
            <w:tcW w:type="dxa" w:w="5443"/>
            <w:vAlign w:val="top"/>
          </w:tcPr>
          <w:p>
            <w:pPr>
              <w:spacing w:after="20" w:line="240" w:lineRule="auto"/>
            </w:pPr>
            <w:r>
              <w:rPr>
                <w:b w:val="0"/>
                <w:i w:val="0"/>
                <w:sz w:val="17"/>
              </w:rPr>
              <w:t>Replace English error text with codes, so the screen shows the message in the user's language.</w:t>
            </w:r>
          </w:p>
        </w:tc>
        <w:tc>
          <w:tcPr>
            <w:tcW w:type="dxa" w:w="2268"/>
            <w:vAlign w:val="top"/>
          </w:tcPr>
          <w:p>
            <w:pPr>
              <w:spacing w:after="20" w:line="240" w:lineRule="auto"/>
            </w:pPr>
            <w:r>
              <w:rPr>
                <w:b w:val="0"/>
                <w:i w:val="0"/>
                <w:sz w:val="17"/>
              </w:rPr>
              <w:t>Errors and warnings appear in the user's language.</w:t>
            </w:r>
          </w:p>
        </w:tc>
      </w:tr>
      <w:tr>
        <w:trPr>
          <w:cantSplit w:val="true"/>
        </w:trPr>
        <w:tc>
          <w:tcPr>
            <w:tcW w:type="dxa" w:w="1928"/>
            <w:shd w:val="clear" w:color="auto" w:fill="F3F6FA"/>
            <w:vAlign w:val="top"/>
          </w:tcPr>
          <w:p>
            <w:pPr>
              <w:spacing w:after="20" w:line="240" w:lineRule="auto"/>
            </w:pPr>
            <w:r>
              <w:rPr>
                <w:b/>
                <w:i w:val="0"/>
                <w:sz w:val="17"/>
              </w:rPr>
              <w:t>4. Documents</w:t>
            </w:r>
          </w:p>
        </w:tc>
        <w:tc>
          <w:tcPr>
            <w:tcW w:type="dxa" w:w="5443"/>
            <w:shd w:val="clear" w:color="auto" w:fill="F3F6FA"/>
            <w:vAlign w:val="top"/>
          </w:tcPr>
          <w:p>
            <w:pPr>
              <w:spacing w:after="20" w:line="240" w:lineRule="auto"/>
            </w:pPr>
            <w:r>
              <w:rPr>
                <w:b w:val="0"/>
                <w:i w:val="0"/>
                <w:sz w:val="17"/>
              </w:rPr>
              <w:t>Invoices, vouchers and PDFs in Arabic and in two languages, with an embedded Arabic font; optional Arabic name fields on parties and items.</w:t>
            </w:r>
          </w:p>
        </w:tc>
        <w:tc>
          <w:tcPr>
            <w:tcW w:type="dxa" w:w="2268"/>
            <w:shd w:val="clear" w:color="auto" w:fill="F3F6FA"/>
            <w:vAlign w:val="top"/>
          </w:tcPr>
          <w:p>
            <w:pPr>
              <w:spacing w:after="20" w:line="240" w:lineRule="auto"/>
            </w:pPr>
            <w:r>
              <w:rPr>
                <w:b w:val="0"/>
                <w:i w:val="0"/>
                <w:sz w:val="17"/>
              </w:rPr>
              <w:t>Printed documents match what customers expect.</w:t>
            </w:r>
          </w:p>
        </w:tc>
      </w:tr>
      <w:tr>
        <w:trPr>
          <w:cantSplit w:val="true"/>
        </w:trPr>
        <w:tc>
          <w:tcPr>
            <w:tcW w:type="dxa" w:w="1928"/>
            <w:vAlign w:val="top"/>
          </w:tcPr>
          <w:p>
            <w:pPr>
              <w:spacing w:after="20" w:line="240" w:lineRule="auto"/>
            </w:pPr>
            <w:r>
              <w:rPr>
                <w:b/>
                <w:i w:val="0"/>
                <w:sz w:val="17"/>
              </w:rPr>
              <w:t>5. Review</w:t>
            </w:r>
          </w:p>
        </w:tc>
        <w:tc>
          <w:tcPr>
            <w:tcW w:type="dxa" w:w="5443"/>
            <w:vAlign w:val="top"/>
          </w:tcPr>
          <w:p>
            <w:pPr>
              <w:spacing w:after="20" w:line="240" w:lineRule="auto"/>
            </w:pPr>
            <w:r>
              <w:rPr>
                <w:b w:val="0"/>
                <w:i w:val="0"/>
                <w:sz w:val="17"/>
              </w:rPr>
              <w:t>Check every page in right-to-left, and numbers, dates and tables in both languages.</w:t>
            </w:r>
          </w:p>
        </w:tc>
        <w:tc>
          <w:tcPr>
            <w:tcW w:type="dxa" w:w="2268"/>
            <w:vAlign w:val="top"/>
          </w:tcPr>
          <w:p>
            <w:pPr>
              <w:spacing w:after="20" w:line="240" w:lineRule="auto"/>
            </w:pPr>
            <w:r>
              <w:rPr>
                <w:b w:val="0"/>
                <w:i w:val="0"/>
                <w:sz w:val="17"/>
              </w:rPr>
              <w:t>Sign-off per module.</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invoice header already prints the company's Arabic name when the profile has one. Settings, Preferences shows Language as Coming soon until step 1 is done.</w:t>
            </w:r>
          </w:p>
        </w:tc>
      </w:tr>
    </w:tbl>
    <w:p>
      <w:pPr>
        <w:spacing w:after="0" w:before="0" w:line="80" w:lineRule="exact"/>
      </w:pPr>
    </w:p>
    <w:p>
      <w:pPr>
        <w:pStyle w:val="Heading1"/>
        <w:pageBreakBefore/>
      </w:pPr>
      <w:r>
        <w:t>6. Decisions needed</w:t>
      </w:r>
    </w:p>
    <w:p>
      <w:pPr>
        <w:spacing w:after="160"/>
      </w:pPr>
      <w:r>
        <w:rPr>
          <w:b w:val="0"/>
          <w:i w:val="0"/>
          <w:color w:val="44546A"/>
          <w:sz w:val="22"/>
        </w:rPr>
        <w:t>These are the owner's decisions. The upcoming work waits on them.</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27"/>
        <w:gridCol w:w="4875"/>
        <w:gridCol w:w="2834"/>
      </w:tblGrid>
      <w:tr>
        <w:trPr>
          <w:cantSplit w:val="true"/>
          <w:tblHeader w:val="true"/>
        </w:trPr>
        <w:tc>
          <w:tcPr>
            <w:tcW w:type="dxa" w:w="1928"/>
            <w:shd w:val="clear" w:color="auto" w:fill="1F3864"/>
            <w:vAlign w:val="center"/>
          </w:tcPr>
          <w:p>
            <w:pPr>
              <w:keepNext/>
              <w:spacing w:after="0" w:line="240" w:lineRule="auto"/>
            </w:pPr>
            <w:r>
              <w:rPr>
                <w:b/>
                <w:color w:val="FFFFFF"/>
                <w:sz w:val="17"/>
              </w:rPr>
              <w:t>Decision</w:t>
            </w:r>
          </w:p>
        </w:tc>
        <w:tc>
          <w:tcPr>
            <w:tcW w:type="dxa" w:w="4876"/>
            <w:shd w:val="clear" w:color="auto" w:fill="1F3864"/>
            <w:vAlign w:val="center"/>
          </w:tcPr>
          <w:p>
            <w:pPr>
              <w:keepNext/>
              <w:spacing w:after="0" w:line="240" w:lineRule="auto"/>
            </w:pPr>
            <w:r>
              <w:rPr>
                <w:b/>
                <w:color w:val="FFFFFF"/>
                <w:sz w:val="17"/>
              </w:rPr>
              <w:t>Options and recommendation</w:t>
            </w:r>
          </w:p>
        </w:tc>
        <w:tc>
          <w:tcPr>
            <w:tcW w:type="dxa" w:w="2835"/>
            <w:shd w:val="clear" w:color="auto" w:fill="1F3864"/>
            <w:vAlign w:val="center"/>
          </w:tcPr>
          <w:p>
            <w:pPr>
              <w:keepNext/>
              <w:spacing w:after="0" w:line="240" w:lineRule="auto"/>
            </w:pPr>
            <w:r>
              <w:rPr>
                <w:b/>
                <w:color w:val="FFFFFF"/>
                <w:sz w:val="17"/>
              </w:rPr>
              <w:t>What it unlocks</w:t>
            </w:r>
          </w:p>
        </w:tc>
      </w:tr>
      <w:tr>
        <w:trPr>
          <w:cantSplit w:val="true"/>
        </w:trPr>
        <w:tc>
          <w:tcPr>
            <w:tcW w:type="dxa" w:w="1928"/>
            <w:vAlign w:val="top"/>
          </w:tcPr>
          <w:p>
            <w:pPr>
              <w:spacing w:after="20" w:line="240" w:lineRule="auto"/>
            </w:pPr>
            <w:r>
              <w:rPr>
                <w:b/>
                <w:i w:val="0"/>
                <w:sz w:val="17"/>
              </w:rPr>
              <w:t>Product name</w:t>
            </w:r>
          </w:p>
        </w:tc>
        <w:tc>
          <w:tcPr>
            <w:tcW w:type="dxa" w:w="4876"/>
            <w:vAlign w:val="top"/>
          </w:tcPr>
          <w:p>
            <w:pPr>
              <w:spacing w:after="20" w:line="240" w:lineRule="auto"/>
            </w:pPr>
            <w:r>
              <w:rPr>
                <w:b w:val="0"/>
                <w:i w:val="0"/>
                <w:sz w:val="17"/>
              </w:rPr>
              <w:t>Decided: Zarvia. A coined name, short and modern, in the style the owner asked for. No other company or product uses it, and zarvia.com, zarvia.io, zarvia.app and zarvia.ae were all free when checked (a free .com on a name this short is rare). Names checked and rejected because a live product or business already uses them: Nitara was applied first and then changed; Sijil, Tarazu, Tadween, Kovra, Nacara, Yaqut, Serai, Argosy, Dilmun, Artha, Essor, Candera, Tessera, Mercura, Daftar, Qayd, Qafila, Mizan, Tijara and Zyrio (.com taken).</w:t>
            </w:r>
          </w:p>
        </w:tc>
        <w:tc>
          <w:tcPr>
            <w:tcW w:type="dxa" w:w="2835"/>
            <w:vAlign w:val="top"/>
          </w:tcPr>
          <w:p>
            <w:pPr>
              <w:spacing w:after="20" w:line="240" w:lineRule="auto"/>
            </w:pPr>
            <w:r>
              <w:rPr>
                <w:b w:val="0"/>
                <w:i w:val="0"/>
                <w:sz w:val="17"/>
              </w:rPr>
              <w:t>Done: the name is on the sign-in page, the browser title and the sign-in footer. Still to do: a professional trademark search (UAE and the target markets, software and business-services classes) and registering the domains.</w:t>
            </w:r>
          </w:p>
        </w:tc>
      </w:tr>
      <w:tr>
        <w:trPr>
          <w:cantSplit w:val="true"/>
        </w:trPr>
        <w:tc>
          <w:tcPr>
            <w:tcW w:type="dxa" w:w="1928"/>
            <w:shd w:val="clear" w:color="auto" w:fill="F3F6FA"/>
            <w:vAlign w:val="top"/>
          </w:tcPr>
          <w:p>
            <w:pPr>
              <w:spacing w:after="20" w:line="240" w:lineRule="auto"/>
            </w:pPr>
            <w:r>
              <w:rPr>
                <w:b/>
                <w:i w:val="0"/>
                <w:sz w:val="17"/>
              </w:rPr>
              <w:t>Language scope</w:t>
            </w:r>
          </w:p>
        </w:tc>
        <w:tc>
          <w:tcPr>
            <w:tcW w:type="dxa" w:w="4876"/>
            <w:shd w:val="clear" w:color="auto" w:fill="F3F6FA"/>
            <w:vAlign w:val="top"/>
          </w:tcPr>
          <w:p>
            <w:pPr>
              <w:spacing w:after="20" w:line="240" w:lineRule="auto"/>
            </w:pPr>
            <w:r>
              <w:rPr>
                <w:b w:val="0"/>
                <w:i w:val="0"/>
                <w:sz w:val="17"/>
              </w:rPr>
              <w:t>Arabic first, then others? Arabic and English on every printed document, or only on invoices?</w:t>
            </w:r>
          </w:p>
        </w:tc>
        <w:tc>
          <w:tcPr>
            <w:tcW w:type="dxa" w:w="2835"/>
            <w:shd w:val="clear" w:color="auto" w:fill="F3F6FA"/>
            <w:vAlign w:val="top"/>
          </w:tcPr>
          <w:p>
            <w:pPr>
              <w:spacing w:after="20" w:line="240" w:lineRule="auto"/>
            </w:pPr>
            <w:r>
              <w:rPr>
                <w:b w:val="0"/>
                <w:i w:val="0"/>
                <w:sz w:val="17"/>
              </w:rPr>
              <w:t>The size of phase 4 in 5.7.</w:t>
            </w:r>
          </w:p>
        </w:tc>
      </w:tr>
      <w:tr>
        <w:trPr>
          <w:cantSplit w:val="true"/>
        </w:trPr>
        <w:tc>
          <w:tcPr>
            <w:tcW w:type="dxa" w:w="1928"/>
            <w:vAlign w:val="top"/>
          </w:tcPr>
          <w:p>
            <w:pPr>
              <w:spacing w:after="20" w:line="240" w:lineRule="auto"/>
            </w:pPr>
            <w:r>
              <w:rPr>
                <w:b/>
                <w:i w:val="0"/>
                <w:sz w:val="17"/>
              </w:rPr>
              <w:t>e-Invoicing provider</w:t>
            </w:r>
          </w:p>
        </w:tc>
        <w:tc>
          <w:tcPr>
            <w:tcW w:type="dxa" w:w="4876"/>
            <w:vAlign w:val="top"/>
          </w:tcPr>
          <w:p>
            <w:pPr>
              <w:spacing w:after="20" w:line="240" w:lineRule="auto"/>
            </w:pPr>
            <w:r>
              <w:rPr>
                <w:b w:val="0"/>
                <w:i w:val="0"/>
                <w:sz w:val="17"/>
              </w:rPr>
              <w:t>Which accredited provider, and the date the company must be connected.</w:t>
            </w:r>
          </w:p>
        </w:tc>
        <w:tc>
          <w:tcPr>
            <w:tcW w:type="dxa" w:w="2835"/>
            <w:vAlign w:val="top"/>
          </w:tcPr>
          <w:p>
            <w:pPr>
              <w:spacing w:after="20" w:line="240" w:lineRule="auto"/>
            </w:pPr>
            <w:r>
              <w:rPr>
                <w:b w:val="0"/>
                <w:i w:val="0"/>
                <w:sz w:val="17"/>
              </w:rPr>
              <w:t>The live connection in 5.4.</w:t>
            </w:r>
          </w:p>
        </w:tc>
      </w:tr>
      <w:tr>
        <w:trPr>
          <w:cantSplit w:val="true"/>
        </w:trPr>
        <w:tc>
          <w:tcPr>
            <w:tcW w:type="dxa" w:w="1928"/>
            <w:shd w:val="clear" w:color="auto" w:fill="F3F6FA"/>
            <w:vAlign w:val="top"/>
          </w:tcPr>
          <w:p>
            <w:pPr>
              <w:spacing w:after="20" w:line="240" w:lineRule="auto"/>
            </w:pPr>
            <w:r>
              <w:rPr>
                <w:b/>
                <w:i w:val="0"/>
                <w:sz w:val="17"/>
              </w:rPr>
              <w:t>Role mapping</w:t>
            </w:r>
          </w:p>
        </w:tc>
        <w:tc>
          <w:tcPr>
            <w:tcW w:type="dxa" w:w="4876"/>
            <w:shd w:val="clear" w:color="auto" w:fill="F3F6FA"/>
            <w:vAlign w:val="top"/>
          </w:tcPr>
          <w:p>
            <w:pPr>
              <w:spacing w:after="20" w:line="240" w:lineRule="auto"/>
            </w:pPr>
            <w:r>
              <w:rPr>
                <w:b w:val="0"/>
                <w:i w:val="0"/>
                <w:sz w:val="17"/>
              </w:rPr>
              <w:t>How the six menu roles map to what each user may change.</w:t>
            </w:r>
          </w:p>
        </w:tc>
        <w:tc>
          <w:tcPr>
            <w:tcW w:type="dxa" w:w="2835"/>
            <w:shd w:val="clear" w:color="auto" w:fill="F3F6FA"/>
            <w:vAlign w:val="top"/>
          </w:tcPr>
          <w:p>
            <w:pPr>
              <w:spacing w:after="20" w:line="240" w:lineRule="auto"/>
            </w:pPr>
            <w:r>
              <w:rPr>
                <w:b w:val="0"/>
                <w:i w:val="0"/>
                <w:sz w:val="17"/>
              </w:rPr>
              <w:t>Roles applied in 5.2.</w:t>
            </w:r>
          </w:p>
        </w:tc>
      </w:tr>
      <w:tr>
        <w:trPr>
          <w:cantSplit w:val="true"/>
        </w:trPr>
        <w:tc>
          <w:tcPr>
            <w:tcW w:type="dxa" w:w="1928"/>
            <w:vAlign w:val="top"/>
          </w:tcPr>
          <w:p>
            <w:pPr>
              <w:spacing w:after="20" w:line="240" w:lineRule="auto"/>
            </w:pPr>
            <w:r>
              <w:rPr>
                <w:b/>
                <w:i w:val="0"/>
                <w:sz w:val="17"/>
              </w:rPr>
              <w:t>Order of the upcoming work</w:t>
            </w:r>
          </w:p>
        </w:tc>
        <w:tc>
          <w:tcPr>
            <w:tcW w:type="dxa" w:w="4876"/>
            <w:vAlign w:val="top"/>
          </w:tcPr>
          <w:p>
            <w:pPr>
              <w:spacing w:after="20" w:line="240" w:lineRule="auto"/>
            </w:pPr>
            <w:r>
              <w:rPr>
                <w:b w:val="0"/>
                <w:i w:val="0"/>
                <w:sz w:val="17"/>
              </w:rPr>
              <w:t>The groups in section 5 are in a proposed order. Confirm it or change it.</w:t>
            </w:r>
          </w:p>
        </w:tc>
        <w:tc>
          <w:tcPr>
            <w:tcW w:type="dxa" w:w="2835"/>
            <w:vAlign w:val="top"/>
          </w:tcPr>
          <w:p>
            <w:pPr>
              <w:spacing w:after="20" w:line="240" w:lineRule="auto"/>
            </w:pPr>
            <w:r>
              <w:rPr>
                <w:b w:val="0"/>
                <w:i w:val="0"/>
                <w:sz w:val="17"/>
              </w:rPr>
              <w:t>Planning. No dates are promised in this document.</w:t>
            </w:r>
          </w:p>
        </w:tc>
      </w:tr>
    </w:tbl>
    <w:p>
      <w:pPr>
        <w:spacing w:after="0" w:before="0" w:line="80" w:lineRule="exact"/>
      </w:pPr>
    </w:p>
    <w:p>
      <w:pPr>
        <w:pStyle w:val="Heading1"/>
        <w:pageBreakBefore/>
      </w:pPr>
      <w:r>
        <w:t>7. Limits to know today</w:t>
      </w:r>
    </w:p>
    <w:p>
      <w:pPr>
        <w:spacing w:after="160"/>
      </w:pPr>
      <w:r>
        <w:rPr>
          <w:b w:val="0"/>
          <w:i w:val="0"/>
          <w:color w:val="44546A"/>
          <w:sz w:val="22"/>
        </w:rPr>
        <w:t>These are the main limits of the system as it stands. The full list, with the reason for each, is in Trade ERP - Product Guide, section 8.4.</w:t>
      </w:r>
    </w:p>
    <w:p>
      <w:pPr>
        <w:pStyle w:val="ListBullet"/>
      </w:pPr>
      <w:r>
        <w:rPr>
          <w:b/>
          <w:i w:val="0"/>
        </w:rPr>
        <w:t>Roles are not applied yet.</w:t>
      </w:r>
      <w:r>
        <w:rPr>
          <w:b w:val="0"/>
          <w:i w:val="0"/>
        </w:rPr>
        <w:t xml:space="preserve"> Any signed-in user can change most data (5.2).</w:t>
      </w:r>
    </w:p>
    <w:p>
      <w:pPr>
        <w:pStyle w:val="ListBullet"/>
      </w:pPr>
      <w:r>
        <w:rPr>
          <w:b/>
          <w:i w:val="0"/>
        </w:rPr>
        <w:t>Stock can go negative.</w:t>
      </w:r>
      <w:r>
        <w:rPr>
          <w:b w:val="0"/>
          <w:i w:val="0"/>
        </w:rPr>
        <w:t xml:space="preserve"> A sale is not stopped by short stock; it is costed at the last average cost.</w:t>
      </w:r>
    </w:p>
    <w:p>
      <w:pPr>
        <w:pStyle w:val="ListBullet"/>
      </w:pPr>
      <w:r>
        <w:rPr>
          <w:b/>
          <w:i w:val="0"/>
        </w:rPr>
        <w:t>No year-end closing entries.</w:t>
      </w:r>
      <w:r>
        <w:rPr>
          <w:b w:val="0"/>
          <w:i w:val="0"/>
        </w:rPr>
        <w:t xml:space="preserve"> The balance sheet shows profit to date inside equity.</w:t>
      </w:r>
    </w:p>
    <w:p>
      <w:pPr>
        <w:pStyle w:val="ListBullet"/>
      </w:pPr>
      <w:r>
        <w:rPr>
          <w:b/>
          <w:i w:val="0"/>
        </w:rPr>
        <w:t>VAT return.</w:t>
      </w:r>
      <w:r>
        <w:rPr>
          <w:b w:val="0"/>
          <w:i w:val="0"/>
        </w:rPr>
        <w:t xml:space="preserve"> Boxes 2, 6 and 7 are not tracked, and reverse charge is reported but not posted. Marking a return as filed records the reference; it does not contact the tax authority.</w:t>
      </w:r>
    </w:p>
    <w:p>
      <w:pPr>
        <w:pStyle w:val="ListBullet"/>
      </w:pPr>
      <w:r>
        <w:rPr>
          <w:b/>
          <w:i w:val="0"/>
        </w:rPr>
        <w:t>Reports</w:t>
      </w:r>
      <w:r>
        <w:rPr>
          <w:b w:val="0"/>
          <w:i w:val="0"/>
        </w:rPr>
        <w:t xml:space="preserve"> export to CSV and print. There is no Excel or PDF download in the Reports module.</w:t>
      </w:r>
    </w:p>
    <w:p>
      <w:pPr>
        <w:pStyle w:val="ListBullet"/>
      </w:pPr>
      <w:r>
        <w:rPr>
          <w:b/>
          <w:i w:val="0"/>
        </w:rPr>
        <w:t>e-Invoicing</w:t>
      </w:r>
      <w:r>
        <w:rPr>
          <w:b w:val="0"/>
          <w:i w:val="0"/>
        </w:rPr>
        <w:t xml:space="preserve"> works against the built-in test provider only.</w:t>
      </w:r>
    </w:p>
    <w:p>
      <w:pPr>
        <w:pStyle w:val="ListBullet"/>
      </w:pPr>
      <w:r>
        <w:rPr>
          <w:b/>
          <w:i w:val="0"/>
        </w:rPr>
        <w:t>One company and one branch</w:t>
      </w:r>
      <w:r>
        <w:rPr>
          <w:b w:val="0"/>
          <w:i w:val="0"/>
        </w:rPr>
        <w:t xml:space="preserve"> per installation.</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Before the system holds real data: close the access and security items in 5.2, decide the role mapping, and set the posting accounts and the first fiscal year.</w:t>
            </w:r>
          </w:p>
        </w:tc>
      </w:tr>
    </w:tbl>
    <w:p>
      <w:pPr>
        <w:spacing w:after="0" w:before="0" w:line="80" w:lineRule="exact"/>
      </w:pPr>
    </w:p>
    <w:sectPr w:rsidR="00FC693F" w:rsidRPr="0006063C" w:rsidSect="00034616">
      <w:headerReference w:type="default" r:id="rId9"/>
      <w:footerReference w:type="default" r:id="rId10"/>
      <w:headerReference w:type="first" r:id="rId11"/>
      <w:footerReference w:type="first" r:id="rId12"/>
      <w:pgSz w:w="11906" w:h="16838"/>
      <w:pgMar w:top="1247" w:right="1134" w:bottom="1134"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4546A"/>
        <w:sz w:val="17"/>
      </w:rPr>
      <w:t xml:space="preserve">Draft for review, 5 October 2026   |   Page </w:t>
    </w:r>
    <w:r>
      <w:rPr>
        <w:color w:val="44546A"/>
        <w:sz w:val="17"/>
      </w:rPr>
      <w:fldChar w:fldCharType="begin"/>
    </w:r>
    <w:r>
      <w:rPr>
        <w:color w:val="44546A"/>
        <w:sz w:val="17"/>
      </w:rPr>
      <w:instrText xml:space="preserve"> PAGE </w:instrText>
    </w:r>
    <w:r>
      <w:rPr>
        <w:color w:val="44546A"/>
        <w:sz w:val="17"/>
      </w:rPr>
      <w:fldChar w:fldCharType="separate"/>
    </w:r>
    <w:r>
      <w:rPr>
        <w:color w:val="44546A"/>
        <w:sz w:val="17"/>
      </w:rPr>
      <w:t>1</w:t>
    </w:r>
    <w:r>
      <w:rPr>
        <w:color w:val="44546A"/>
        <w:sz w:val="17"/>
      </w:rPr>
      <w:fldChar w:fldCharType="end"/>
    </w:r>
    <w:r>
      <w:rPr>
        <w:b w:val="0"/>
        <w:i w:val="0"/>
        <w:color w:val="44546A"/>
        <w:sz w:val="17"/>
      </w:rPr>
      <w:t xml:space="preserve"> of </w:t>
    </w:r>
    <w:r>
      <w:rPr>
        <w:color w:val="44546A"/>
        <w:sz w:val="17"/>
      </w:rPr>
      <w:fldChar w:fldCharType="begin"/>
    </w:r>
    <w:r>
      <w:rPr>
        <w:color w:val="44546A"/>
        <w:sz w:val="17"/>
      </w:rPr>
      <w:instrText xml:space="preserve"> NUMPAGES </w:instrText>
    </w:r>
    <w:r>
      <w:rPr>
        <w:color w:val="44546A"/>
        <w:sz w:val="17"/>
      </w:rPr>
      <w:fldChar w:fldCharType="separate"/>
    </w:r>
    <w:r>
      <w:rPr>
        <w:color w:val="44546A"/>
        <w:sz w:val="17"/>
      </w:rPr>
      <w:t>1</w:t>
    </w:r>
    <w:r>
      <w:rPr>
        <w:color w:val="44546A"/>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8497B0"/>
      </w:pBdr>
      <w:jc w:val="left"/>
    </w:pPr>
    <w:r/>
    <w:r>
      <w:rPr>
        <w:b w:val="0"/>
        <w:i w:val="0"/>
        <w:color w:val="44546A"/>
        <w:sz w:val="17"/>
      </w:rPr>
      <w:t>Trade ERP - Features and Upcoming: what the system does today and what is coming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0" w:lineRule="auto"/>
    </w:pPr>
    <w:rPr>
      <w:rFonts w:ascii="Calibri" w:hAnsi="Calibri" w:eastAsia="Calibri" w:cs="Calibri"/>
      <w:color w:val="1A1A1A"/>
      <w:sz w:val="21"/>
      <w:lang w:val="en-GB" w:eastAsia="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s="Calibri"/>
      <w:color w:val="44546A"/>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s="Calibri"/>
      <w:color w:val="44546A"/>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pBdr>
        <w:bottom w:val="single" w:sz="8" w:space="3" w:color="1F3864"/>
      </w:pBdr>
      <w:spacing w:before="0" w:after="200"/>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Calibri" w:hAnsi="Calibri" w:eastAsia="Calibri" w:cs="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Calibri" w:cs="Calibr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eastAsia="Calibri" w:cs="Calibri"/>
      <w:b/>
      <w:color w:val="1F38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Calibri" w:cs="Calibri"/>
      <w:b w:val="0"/>
      <w:i w:val="0"/>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0" w:lineRule="auto"/>
      <w:contextualSpacing/>
    </w:pPr>
    <w:rPr>
      <w:rFonts w:ascii="Calibri" w:hAnsi="Calibri" w:eastAsia="Calibri" w:cs="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50" w:lineRule="auto"/>
      <w:contextualSpacing/>
    </w:pPr>
    <w:rPr>
      <w:rFonts w:ascii="Calibri" w:hAnsi="Calibri" w:eastAsia="Calibri" w:cs="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ERP - Features and Upcoming</dc:title>
  <dc:subject>Features, flows, reports and roadmap</dc:subject>
  <dc:creator>Trade ERP project team</dc:creator>
  <cp:keywords>Trade ERP, product guide, draft</cp:keywords>
  <dc:description>Draft for review, 5 October 2026</dc:description>
  <cp:lastModifiedBy>Trade ERP project team</cp:lastModifiedBy>
  <cp:revision>1</cp:revision>
  <dcterms:created xsi:type="dcterms:W3CDTF">2026-10-05T09:00:00Z</dcterms:created>
  <dcterms:modified xsi:type="dcterms:W3CDTF">2026-10-05T09:00:00Z</dcterms:modified>
  <cp:category/>
</cp:coreProperties>
</file>