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rPr>
          <w:sz w:val="28"/>
        </w:rPr>
      </w:pPr>
    </w:p>
    <w:p>
      <w:pPr>
        <w:spacing w:after="0" w:before="0"/>
        <w:rPr>
          <w:sz w:val="28"/>
        </w:rPr>
      </w:pPr>
    </w:p>
    <w:p>
      <w:pPr>
        <w:spacing w:after="80"/>
      </w:pPr>
      <w:r>
        <w:rPr>
          <w:b/>
          <w:color w:val="4B5563"/>
          <w:sz w:val="24"/>
        </w:rPr>
        <w:t>TRADE ERP</w:t>
      </w:r>
    </w:p>
    <w:p>
      <w:pPr>
        <w:pStyle w:val="Title"/>
        <w:spacing w:after="160"/>
        <w:pBdr>
          <w:bottom w:val="single" w:sz="12" w:space="8" w:color="1F3A5F"/>
        </w:pBdr>
      </w:pPr>
      <w:r>
        <w:t>Reports Logic, Account Configuration Mapping and Posting Flows</w:t>
      </w:r>
    </w:p>
    <w:p>
      <w:pPr>
        <w:spacing w:after="280"/>
      </w:pPr>
      <w:r>
        <w:rPr>
          <w:color w:val="4B5563"/>
          <w:sz w:val="26"/>
        </w:rPr>
        <w:t>How the reports are built, how the accounts are configured and mapped, and how every business event posts to the ledger.</w:t>
      </w:r>
    </w:p>
    <w:p>
      <w:pPr>
        <w:pStyle w:val="Caption"/>
      </w:pPr>
      <w:r>
        <w:t>Table 1. Document control</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91"/>
        <w:gridCol w:w="7712"/>
      </w:tblGrid>
      <w:tr>
        <w:trPr>
          <w:tblHeader w:val="true"/>
          <w:cantSplit w:val="true"/>
        </w:trPr>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Item</w:t>
            </w:r>
          </w:p>
        </w:tc>
        <w:tc>
          <w:tcPr>
            <w:tcW w:type="dxa" w:w="7713"/>
            <w:shd w:val="clear" w:color="auto" w:fill="1F3A5F"/>
            <w:tcMar>
              <w:top w:w="20" w:type="dxa"/>
              <w:left w:w="60" w:type="dxa"/>
              <w:bottom w:w="20" w:type="dxa"/>
              <w:right w:w="60" w:type="dxa"/>
            </w:tcMar>
            <w:vAlign w:val="center"/>
          </w:tcPr>
          <w:p>
            <w:pPr>
              <w:spacing w:after="10" w:before="0" w:line="240" w:lineRule="auto"/>
            </w:pPr>
            <w:r>
              <w:rPr>
                <w:b/>
                <w:color w:val="FFFFFF"/>
                <w:sz w:val="17"/>
              </w:rPr>
              <w:t>Detail</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Title</w:t>
            </w:r>
          </w:p>
        </w:tc>
        <w:tc>
          <w:tcPr>
            <w:tcW w:type="dxa" w:w="7713"/>
            <w:tcMar>
              <w:top w:w="20" w:type="dxa"/>
              <w:left w:w="60" w:type="dxa"/>
              <w:bottom w:w="20" w:type="dxa"/>
              <w:right w:w="60" w:type="dxa"/>
            </w:tcMar>
            <w:vAlign w:val="top"/>
          </w:tcPr>
          <w:p>
            <w:pPr>
              <w:spacing w:after="10" w:before="0" w:line="240" w:lineRule="auto"/>
            </w:pPr>
            <w:r>
              <w:rPr>
                <w:sz w:val="17"/>
              </w:rPr>
              <w:t>Trade ERP - Reports Logic, Account Configuration Mapping and Posting Flows</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Product</w:t>
            </w:r>
          </w:p>
        </w:tc>
        <w:tc>
          <w:tcPr>
            <w:tcW w:type="dxa" w:w="7713"/>
            <w:tcMar>
              <w:top w:w="20" w:type="dxa"/>
              <w:left w:w="60" w:type="dxa"/>
              <w:bottom w:w="20" w:type="dxa"/>
              <w:right w:w="60" w:type="dxa"/>
            </w:tcMar>
            <w:vAlign w:val="top"/>
          </w:tcPr>
          <w:p>
            <w:pPr>
              <w:spacing w:after="10" w:before="0" w:line="240" w:lineRule="auto"/>
            </w:pPr>
            <w:r>
              <w:rPr>
                <w:sz w:val="17"/>
              </w:rPr>
              <w:t>Zarvia. NH FOODS is the first client's brand (food trading, United Arab Emirates) and is not the product name.</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Version, date, status</w:t>
            </w:r>
          </w:p>
        </w:tc>
        <w:tc>
          <w:tcPr>
            <w:tcW w:type="dxa" w:w="7713"/>
            <w:tcMar>
              <w:top w:w="20" w:type="dxa"/>
              <w:left w:w="60" w:type="dxa"/>
              <w:bottom w:w="20" w:type="dxa"/>
              <w:right w:w="60" w:type="dxa"/>
            </w:tcMar>
            <w:vAlign w:val="top"/>
          </w:tcPr>
          <w:p>
            <w:pPr>
              <w:spacing w:after="10" w:before="0" w:line="240" w:lineRule="auto"/>
            </w:pPr>
            <w:r>
              <w:rPr>
                <w:sz w:val="17"/>
              </w:rPr>
              <w:t>0.1 (draft), 5 October 2026, Draft for review. Nothing in this document has been approved by the accountant or an auditor yet.</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Written for</w:t>
            </w:r>
          </w:p>
        </w:tc>
        <w:tc>
          <w:tcPr>
            <w:tcW w:type="dxa" w:w="7713"/>
            <w:tcMar>
              <w:top w:w="20" w:type="dxa"/>
              <w:left w:w="60" w:type="dxa"/>
              <w:bottom w:w="20" w:type="dxa"/>
              <w:right w:w="60" w:type="dxa"/>
            </w:tcMar>
            <w:vAlign w:val="top"/>
          </w:tcPr>
          <w:p>
            <w:pPr>
              <w:spacing w:after="10" w:before="0" w:line="240" w:lineRule="auto"/>
            </w:pPr>
            <w:r>
              <w:rPr>
                <w:sz w:val="17"/>
              </w:rPr>
              <w:t>The accountant, an auditor, and the implementers who check any report figure back to its source.</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Scope</w:t>
            </w:r>
          </w:p>
        </w:tc>
        <w:tc>
          <w:tcPr>
            <w:tcW w:type="dxa" w:w="7713"/>
            <w:tcMar>
              <w:top w:w="20" w:type="dxa"/>
              <w:left w:w="60" w:type="dxa"/>
              <w:bottom w:w="20" w:type="dxa"/>
              <w:right w:w="60" w:type="dxa"/>
            </w:tcMar>
            <w:vAlign w:val="top"/>
          </w:tcPr>
          <w:p>
            <w:pPr>
              <w:spacing w:after="10" w:before="0" w:line="240" w:lineRule="auto"/>
            </w:pPr>
            <w:r>
              <w:rPr>
                <w:sz w:val="17"/>
              </w:rPr>
              <w:t>Account configuration (the posting map), the default chart, party accounts, tax codes, the posting of every business event, the logic of every report, the controls between them, a worked month, and the known limitations. Not covered: screen layout, general user permissions, e-invoicing transport, payroll.</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Source of facts</w:t>
            </w:r>
          </w:p>
        </w:tc>
        <w:tc>
          <w:tcPr>
            <w:tcW w:type="dxa" w:w="7713"/>
            <w:tcMar>
              <w:top w:w="20" w:type="dxa"/>
              <w:left w:w="60" w:type="dxa"/>
              <w:bottom w:w="20" w:type="dxa"/>
              <w:right w:w="60" w:type="dxa"/>
            </w:tcMar>
            <w:vAlign w:val="top"/>
          </w:tcPr>
          <w:p>
            <w:pPr>
              <w:spacing w:after="10" w:before="0" w:line="240" w:lineRule="auto"/>
            </w:pPr>
            <w:r>
              <w:rPr>
                <w:sz w:val="17"/>
              </w:rPr>
              <w:t>The backend code (folder 'trade ERP node': utils, services, models, routes, controllers) and its automated tests (services/__tests__, utils/__tests__), read on 5 October 2026. Where something is not built, the text says so. Feature specification: trade ERP node/docs/ERP_FEATURE_SPEC.md.</w:t>
            </w:r>
          </w:p>
        </w:tc>
      </w:tr>
    </w:tbl>
    <w:p>
      <w:pPr>
        <w:spacing w:after="0" w:before="0"/>
        <w:rPr>
          <w:sz w:val="6"/>
        </w:rPr>
      </w:pPr>
    </w:p>
    <w:p>
      <w:pPr>
        <w:pStyle w:val="Caption"/>
      </w:pPr>
      <w:r>
        <w:t>Table 2. Review record</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328"/>
        <w:gridCol w:w="2619"/>
        <w:gridCol w:w="2328"/>
        <w:gridCol w:w="2328"/>
      </w:tblGrid>
      <w:tr>
        <w:trPr>
          <w:tblHeader w:val="true"/>
          <w:cantSplit w:val="true"/>
        </w:trPr>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Role</w:t>
            </w:r>
          </w:p>
        </w:tc>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Name</w:t>
            </w:r>
          </w:p>
        </w:tc>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Review date</w:t>
            </w:r>
          </w:p>
        </w:tc>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Outcome</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Accountant</w:t>
            </w:r>
          </w:p>
        </w:tc>
        <w:tc>
          <w:tcPr>
            <w:tcW w:type="dxa" w:w="2619"/>
            <w:tcMar>
              <w:top w:w="20" w:type="dxa"/>
              <w:left w:w="60" w:type="dxa"/>
              <w:bottom w:w="20" w:type="dxa"/>
              <w:right w:w="60" w:type="dxa"/>
            </w:tcMar>
            <w:vAlign w:val="top"/>
          </w:tcPr>
          <w:p>
            <w:pPr>
              <w:spacing w:after="10" w:before="0" w:line="240" w:lineRule="auto"/>
            </w:pPr>
            <w:r>
              <w:rPr>
                <w:sz w:val="17"/>
              </w:rPr>
              <w:t>Not yet assigned</w:t>
            </w:r>
          </w:p>
        </w:tc>
        <w:tc>
          <w:tcPr>
            <w:tcW w:type="dxa" w:w="2328"/>
            <w:tcMar>
              <w:top w:w="20" w:type="dxa"/>
              <w:left w:w="60" w:type="dxa"/>
              <w:bottom w:w="20" w:type="dxa"/>
              <w:right w:w="60" w:type="dxa"/>
            </w:tcMar>
            <w:vAlign w:val="top"/>
          </w:tcPr>
          <w:p>
            <w:pPr>
              <w:spacing w:after="10" w:before="0" w:line="240" w:lineRule="auto"/>
            </w:pPr>
            <w:r>
              <w:rPr>
                <w:sz w:val="17"/>
              </w:rPr>
              <w:t>Not yet reviewed</w:t>
            </w:r>
          </w:p>
        </w:tc>
        <w:tc>
          <w:tcPr>
            <w:tcW w:type="dxa" w:w="2328"/>
            <w:tcMar>
              <w:top w:w="20" w:type="dxa"/>
              <w:left w:w="60" w:type="dxa"/>
              <w:bottom w:w="20" w:type="dxa"/>
              <w:right w:w="60" w:type="dxa"/>
            </w:tcMar>
            <w:vAlign w:val="top"/>
          </w:tcPr>
          <w:p>
            <w:pPr>
              <w:spacing w:after="10" w:before="0" w:line="240" w:lineRule="auto"/>
            </w:pPr>
            <w:r>
              <w:rPr>
                <w:sz w:val="17"/>
              </w:rPr>
              <w:t>Pending</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Auditor</w:t>
            </w:r>
          </w:p>
        </w:tc>
        <w:tc>
          <w:tcPr>
            <w:tcW w:type="dxa" w:w="2619"/>
            <w:tcMar>
              <w:top w:w="20" w:type="dxa"/>
              <w:left w:w="60" w:type="dxa"/>
              <w:bottom w:w="20" w:type="dxa"/>
              <w:right w:w="60" w:type="dxa"/>
            </w:tcMar>
            <w:vAlign w:val="top"/>
          </w:tcPr>
          <w:p>
            <w:pPr>
              <w:spacing w:after="10" w:before="0" w:line="240" w:lineRule="auto"/>
            </w:pPr>
            <w:r>
              <w:rPr>
                <w:sz w:val="17"/>
              </w:rPr>
              <w:t>Not yet assigned</w:t>
            </w:r>
          </w:p>
        </w:tc>
        <w:tc>
          <w:tcPr>
            <w:tcW w:type="dxa" w:w="2328"/>
            <w:tcMar>
              <w:top w:w="20" w:type="dxa"/>
              <w:left w:w="60" w:type="dxa"/>
              <w:bottom w:w="20" w:type="dxa"/>
              <w:right w:w="60" w:type="dxa"/>
            </w:tcMar>
            <w:vAlign w:val="top"/>
          </w:tcPr>
          <w:p>
            <w:pPr>
              <w:spacing w:after="10" w:before="0" w:line="240" w:lineRule="auto"/>
            </w:pPr>
            <w:r>
              <w:rPr>
                <w:sz w:val="17"/>
              </w:rPr>
              <w:t>Not yet reviewed</w:t>
            </w:r>
          </w:p>
        </w:tc>
        <w:tc>
          <w:tcPr>
            <w:tcW w:type="dxa" w:w="2328"/>
            <w:tcMar>
              <w:top w:w="20" w:type="dxa"/>
              <w:left w:w="60" w:type="dxa"/>
              <w:bottom w:w="20" w:type="dxa"/>
              <w:right w:w="60" w:type="dxa"/>
            </w:tcMar>
            <w:vAlign w:val="top"/>
          </w:tcPr>
          <w:p>
            <w:pPr>
              <w:spacing w:after="10" w:before="0" w:line="240" w:lineRule="auto"/>
            </w:pPr>
            <w:r>
              <w:rPr>
                <w:sz w:val="17"/>
              </w:rPr>
              <w:t>Pending</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Implementation lead</w:t>
            </w:r>
          </w:p>
        </w:tc>
        <w:tc>
          <w:tcPr>
            <w:tcW w:type="dxa" w:w="2619"/>
            <w:tcMar>
              <w:top w:w="20" w:type="dxa"/>
              <w:left w:w="60" w:type="dxa"/>
              <w:bottom w:w="20" w:type="dxa"/>
              <w:right w:w="60" w:type="dxa"/>
            </w:tcMar>
            <w:vAlign w:val="top"/>
          </w:tcPr>
          <w:p>
            <w:pPr>
              <w:spacing w:after="10" w:before="0" w:line="240" w:lineRule="auto"/>
            </w:pPr>
            <w:r>
              <w:rPr>
                <w:sz w:val="17"/>
              </w:rPr>
              <w:t>Not yet assigned</w:t>
            </w:r>
          </w:p>
        </w:tc>
        <w:tc>
          <w:tcPr>
            <w:tcW w:type="dxa" w:w="2328"/>
            <w:tcMar>
              <w:top w:w="20" w:type="dxa"/>
              <w:left w:w="60" w:type="dxa"/>
              <w:bottom w:w="20" w:type="dxa"/>
              <w:right w:w="60" w:type="dxa"/>
            </w:tcMar>
            <w:vAlign w:val="top"/>
          </w:tcPr>
          <w:p>
            <w:pPr>
              <w:spacing w:after="10" w:before="0" w:line="240" w:lineRule="auto"/>
            </w:pPr>
            <w:r>
              <w:rPr>
                <w:sz w:val="17"/>
              </w:rPr>
              <w:t>Not yet reviewed</w:t>
            </w:r>
          </w:p>
        </w:tc>
        <w:tc>
          <w:tcPr>
            <w:tcW w:type="dxa" w:w="2328"/>
            <w:tcMar>
              <w:top w:w="20" w:type="dxa"/>
              <w:left w:w="60" w:type="dxa"/>
              <w:bottom w:w="20" w:type="dxa"/>
              <w:right w:w="60" w:type="dxa"/>
            </w:tcMar>
            <w:vAlign w:val="top"/>
          </w:tcPr>
          <w:p>
            <w:pPr>
              <w:spacing w:after="10" w:before="0" w:line="240" w:lineRule="auto"/>
            </w:pPr>
            <w:r>
              <w:rPr>
                <w:sz w:val="17"/>
              </w:rPr>
              <w:t>Pending</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This describes what the software does today, not what it should do. Where the two differ in a way an accountant would care about, the difference is flagged in a Note and listed again in section 7.</w:t>
            </w:r>
          </w:p>
        </w:tc>
      </w:tr>
    </w:tbl>
    <w:p>
      <w:pPr>
        <w:spacing w:after="0" w:before="0"/>
        <w:rPr>
          <w:sz w:val="8"/>
        </w:rPr>
      </w:pPr>
    </w:p>
    <w:p>
      <w:r>
        <w:br w:type="page"/>
      </w:r>
    </w:p>
    <w:p>
      <w:pPr>
        <w:spacing w:after="120"/>
      </w:pPr>
      <w:r>
        <w:rPr>
          <w:b/>
          <w:color w:val="1F3A5F"/>
          <w:sz w:val="32"/>
        </w:rPr>
        <w:t>Contents</w:t>
      </w:r>
    </w:p>
    <w:p>
      <w:r>
        <w:rPr>
          <w:b w:val="0"/>
        </w:rPr>
        <w:fldChar w:fldCharType="begin"/>
      </w:r>
      <w:r>
        <w:rPr>
          <w:b w:val="0"/>
        </w:rPr>
        <w:instrText xml:space="preserve"> TOC \o "1-2" \h \z \u </w:instrText>
      </w:r>
      <w:r>
        <w:rPr>
          <w:b w:val="0"/>
        </w:rPr>
        <w:fldChar w:fldCharType="separate"/>
      </w:r>
      <w:r>
        <w:rPr>
          <w:b w:val="0"/>
        </w:rPr>
        <w:t>The table of contents is built by Word when the document is opened (accept the prompt to update fields), or press F9 on this paragraph.</w:t>
      </w:r>
      <w:r>
        <w:rPr>
          <w:b w:val="0"/>
        </w:rPr>
        <w:fldChar w:fldCharType="end"/>
      </w:r>
    </w:p>
    <w:p>
      <w:pPr>
        <w:spacing w:after="0" w:before="0"/>
        <w:rPr>
          <w:sz w:val="12"/>
        </w:rPr>
      </w:pPr>
    </w:p>
    <w:p>
      <w:pPr>
        <w:spacing w:before="200"/>
      </w:pPr>
      <w:r>
        <w:rPr>
          <w:b/>
          <w:color w:val="1F3A5F"/>
          <w:sz w:val="22"/>
        </w:rPr>
        <w:t>Main sections</w:t>
      </w:r>
    </w:p>
    <w:p>
      <w:pPr>
        <w:pStyle w:val="Caption"/>
      </w:pPr>
      <w:r>
        <w:t>Table 3. Main sections (static list)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347"/>
        <w:gridCol w:w="6257"/>
      </w:tblGrid>
      <w:tr>
        <w:trPr>
          <w:tblHeader w:val="true"/>
          <w:cantSplit w:val="true"/>
        </w:trPr>
        <w:tc>
          <w:tcPr>
            <w:tcW w:type="dxa" w:w="3347"/>
            <w:shd w:val="clear" w:color="auto" w:fill="1F3A5F"/>
            <w:tcMar>
              <w:top w:w="20" w:type="dxa"/>
              <w:left w:w="60" w:type="dxa"/>
              <w:bottom w:w="20" w:type="dxa"/>
              <w:right w:w="60" w:type="dxa"/>
            </w:tcMar>
            <w:vAlign w:val="center"/>
          </w:tcPr>
          <w:p>
            <w:pPr>
              <w:spacing w:after="10" w:before="0" w:line="240" w:lineRule="auto"/>
            </w:pPr>
            <w:r>
              <w:rPr>
                <w:b/>
                <w:color w:val="FFFFFF"/>
                <w:sz w:val="17"/>
              </w:rPr>
              <w:t>Section</w:t>
            </w:r>
          </w:p>
        </w:tc>
        <w:tc>
          <w:tcPr>
            <w:tcW w:type="dxa" w:w="6258"/>
            <w:shd w:val="clear" w:color="auto" w:fill="1F3A5F"/>
            <w:tcMar>
              <w:top w:w="20" w:type="dxa"/>
              <w:left w:w="60" w:type="dxa"/>
              <w:bottom w:w="20" w:type="dxa"/>
              <w:right w:w="60" w:type="dxa"/>
            </w:tcMar>
            <w:vAlign w:val="center"/>
          </w:tcPr>
          <w:p>
            <w:pPr>
              <w:spacing w:after="10" w:before="0" w:line="240" w:lineRule="auto"/>
            </w:pPr>
            <w:r>
              <w:rPr>
                <w:b/>
                <w:color w:val="FFFFFF"/>
                <w:sz w:val="17"/>
              </w:rPr>
              <w:t>What it covers</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1  How to read this document</w:t>
            </w:r>
          </w:p>
        </w:tc>
        <w:tc>
          <w:tcPr>
            <w:tcW w:type="dxa" w:w="6258"/>
            <w:tcMar>
              <w:top w:w="20" w:type="dxa"/>
              <w:left w:w="60" w:type="dxa"/>
              <w:bottom w:w="20" w:type="dxa"/>
              <w:right w:w="60" w:type="dxa"/>
            </w:tcMar>
            <w:vAlign w:val="top"/>
          </w:tcPr>
          <w:p>
            <w:pPr>
              <w:spacing w:after="10" w:before="0" w:line="240" w:lineRule="auto"/>
            </w:pPr>
            <w:r>
              <w:rPr>
                <w:sz w:val="17"/>
              </w:rPr>
              <w:t>Conventions that apply to every figure: Dubai days, AED, rounding, signs, what counts and what never counts.</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2  Account configuration (the posting map)</w:t>
            </w:r>
          </w:p>
        </w:tc>
        <w:tc>
          <w:tcPr>
            <w:tcW w:type="dxa" w:w="6258"/>
            <w:tcMar>
              <w:top w:w="20" w:type="dxa"/>
              <w:left w:w="60" w:type="dxa"/>
              <w:bottom w:w="20" w:type="dxa"/>
              <w:right w:w="60" w:type="dxa"/>
            </w:tcMar>
            <w:vAlign w:val="top"/>
          </w:tcPr>
          <w:p>
            <w:pPr>
              <w:spacing w:after="10" w:before="0" w:line="240" w:lineRule="auto"/>
            </w:pPr>
            <w:r>
              <w:rPr>
                <w:sz w:val="17"/>
              </w:rPr>
              <w:t>The 37 configuration keys, the default chart, party accounts, readiness and the posting switch, changing a mapping, tax codes.</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3  Posting flows</w:t>
            </w:r>
          </w:p>
        </w:tc>
        <w:tc>
          <w:tcPr>
            <w:tcW w:type="dxa" w:w="6258"/>
            <w:tcMar>
              <w:top w:w="20" w:type="dxa"/>
              <w:left w:w="60" w:type="dxa"/>
              <w:bottom w:w="20" w:type="dxa"/>
              <w:right w:w="60" w:type="dxa"/>
            </w:tcMar>
            <w:vAlign w:val="top"/>
          </w:tcPr>
          <w:p>
            <w:pPr>
              <w:spacing w:after="10" w:before="0" w:line="240" w:lineRule="auto"/>
            </w:pPr>
            <w:r>
              <w:rPr>
                <w:sz w:val="17"/>
              </w:rPr>
              <w:t>Every business event with its debit and credit table, a numeric example, preconditions, reversal and the configuration keys used.</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4  Report logic</w:t>
            </w:r>
          </w:p>
        </w:tc>
        <w:tc>
          <w:tcPr>
            <w:tcW w:type="dxa" w:w="6258"/>
            <w:tcMar>
              <w:top w:w="20" w:type="dxa"/>
              <w:left w:w="60" w:type="dxa"/>
              <w:bottom w:w="20" w:type="dxa"/>
              <w:right w:w="60" w:type="dxa"/>
            </w:tcMar>
            <w:vAlign w:val="top"/>
          </w:tcPr>
          <w:p>
            <w:pPr>
              <w:spacing w:after="10" w:before="0" w:line="240" w:lineRule="auto"/>
            </w:pPr>
            <w:r>
              <w:rPr>
                <w:sz w:val="17"/>
              </w:rPr>
              <w:t>One block per report: the question it answers, source, period, formulas, inclusions, controls and outputs.</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5  Controls and reconciliations</w:t>
            </w:r>
          </w:p>
        </w:tc>
        <w:tc>
          <w:tcPr>
            <w:tcW w:type="dxa" w:w="6258"/>
            <w:tcMar>
              <w:top w:w="20" w:type="dxa"/>
              <w:left w:w="60" w:type="dxa"/>
              <w:bottom w:w="20" w:type="dxa"/>
              <w:right w:w="60" w:type="dxa"/>
            </w:tcMar>
            <w:vAlign w:val="top"/>
          </w:tcPr>
          <w:p>
            <w:pPr>
              <w:spacing w:after="10" w:before="0" w:line="240" w:lineRule="auto"/>
            </w:pPr>
            <w:r>
              <w:rPr>
                <w:sz w:val="17"/>
              </w:rPr>
              <w:t>What must agree with what, where it is shown, and what a difference usually means.</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6  A worked month</w:t>
            </w:r>
          </w:p>
        </w:tc>
        <w:tc>
          <w:tcPr>
            <w:tcW w:type="dxa" w:w="6258"/>
            <w:tcMar>
              <w:top w:w="20" w:type="dxa"/>
              <w:left w:w="60" w:type="dxa"/>
              <w:bottom w:w="20" w:type="dxa"/>
              <w:right w:w="60" w:type="dxa"/>
            </w:tcMar>
            <w:vAlign w:val="top"/>
          </w:tcPr>
          <w:p>
            <w:pPr>
              <w:spacing w:after="10" w:before="0" w:line="240" w:lineRule="auto"/>
            </w:pPr>
            <w:r>
              <w:rPr>
                <w:sz w:val="17"/>
              </w:rPr>
              <w:t>Seven documents, then the trial balance, profit and loss, VAT return, cash flow, party balances and stock valuation, computed by hand.</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7  Assumptions and known limitations</w:t>
            </w:r>
          </w:p>
        </w:tc>
        <w:tc>
          <w:tcPr>
            <w:tcW w:type="dxa" w:w="6258"/>
            <w:tcMar>
              <w:top w:w="20" w:type="dxa"/>
              <w:left w:w="60" w:type="dxa"/>
              <w:bottom w:w="20" w:type="dxa"/>
              <w:right w:w="60" w:type="dxa"/>
            </w:tcMar>
            <w:vAlign w:val="top"/>
          </w:tcPr>
          <w:p>
            <w:pPr>
              <w:spacing w:after="10" w:before="0" w:line="240" w:lineRule="auto"/>
            </w:pPr>
            <w:r>
              <w:rPr>
                <w:sz w:val="17"/>
              </w:rPr>
              <w:t>What the code does not do, or does in a way that needs a decision.</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Appendix A</w:t>
            </w:r>
          </w:p>
        </w:tc>
        <w:tc>
          <w:tcPr>
            <w:tcW w:type="dxa" w:w="6258"/>
            <w:tcMar>
              <w:top w:w="20" w:type="dxa"/>
              <w:left w:w="60" w:type="dxa"/>
              <w:bottom w:w="20" w:type="dxa"/>
              <w:right w:w="60" w:type="dxa"/>
            </w:tcMar>
            <w:vAlign w:val="top"/>
          </w:tcPr>
          <w:p>
            <w:pPr>
              <w:spacing w:after="10" w:before="0" w:line="240" w:lineRule="auto"/>
            </w:pPr>
            <w:r>
              <w:rPr>
                <w:sz w:val="17"/>
              </w:rPr>
              <w:t>Report API endpoints and parameters.</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Appendix B</w:t>
            </w:r>
          </w:p>
        </w:tc>
        <w:tc>
          <w:tcPr>
            <w:tcW w:type="dxa" w:w="6258"/>
            <w:tcMar>
              <w:top w:w="20" w:type="dxa"/>
              <w:left w:w="60" w:type="dxa"/>
              <w:bottom w:w="20" w:type="dxa"/>
              <w:right w:w="60" w:type="dxa"/>
            </w:tcMar>
            <w:vAlign w:val="top"/>
          </w:tcPr>
          <w:p>
            <w:pPr>
              <w:spacing w:after="10" w:before="0" w:line="240" w:lineRule="auto"/>
            </w:pPr>
            <w:r>
              <w:rPr>
                <w:sz w:val="17"/>
              </w:rPr>
              <w:t>Number series and document numbering.</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Appendix C</w:t>
            </w:r>
          </w:p>
        </w:tc>
        <w:tc>
          <w:tcPr>
            <w:tcW w:type="dxa" w:w="6258"/>
            <w:tcMar>
              <w:top w:w="20" w:type="dxa"/>
              <w:left w:w="60" w:type="dxa"/>
              <w:bottom w:w="20" w:type="dxa"/>
              <w:right w:w="60" w:type="dxa"/>
            </w:tcMar>
            <w:vAlign w:val="top"/>
          </w:tcPr>
          <w:p>
            <w:pPr>
              <w:spacing w:after="10" w:before="0" w:line="240" w:lineRule="auto"/>
            </w:pPr>
            <w:r>
              <w:rPr>
                <w:sz w:val="17"/>
              </w:rPr>
              <w:t>Glossary.</w:t>
            </w:r>
          </w:p>
        </w:tc>
      </w:tr>
    </w:tbl>
    <w:p>
      <w:pPr>
        <w:spacing w:after="0" w:before="0"/>
        <w:rPr>
          <w:sz w:val="6"/>
        </w:rPr>
      </w:pPr>
    </w:p>
    <w:p>
      <w:pPr>
        <w:pStyle w:val="Heading1"/>
        <w:pageBreakBefore/>
      </w:pPr>
      <w:r>
        <w:t>1 How to read this document</w:t>
      </w:r>
    </w:p>
    <w:p>
      <w:pPr>
        <w:pStyle w:val="Heading2"/>
      </w:pPr>
      <w:r>
        <w:t>1.1 Purpose and audience</w:t>
      </w:r>
    </w:p>
    <w:p>
      <w:r>
        <w:t>This document explains, precisely, how the Trade ERP builds its reports, how its accounts are configured and mapped, and how each business event posts to the ledger. It is written so that three readers can each do their own job with it.</w:t>
      </w:r>
    </w:p>
    <w:p>
      <w:pPr>
        <w:pStyle w:val="ListBullet"/>
      </w:pPr>
      <w:r>
        <w:rPr>
          <w:b/>
        </w:rPr>
        <w:t>The accountant</w:t>
      </w:r>
      <w:r>
        <w:t xml:space="preserve"> can confirm that each event is debited and credited to the right accounts, and that each report uses the right definitions.</w:t>
      </w:r>
    </w:p>
    <w:p>
      <w:pPr>
        <w:pStyle w:val="ListBullet"/>
      </w:pPr>
      <w:r>
        <w:rPr>
          <w:b/>
        </w:rPr>
        <w:t>An auditor</w:t>
      </w:r>
      <w:r>
        <w:t xml:space="preserve"> can pick any figure on a report and follow it back to the documents and ledger entries behind it, using the formulas in section 4 and the controls in section 5.</w:t>
      </w:r>
    </w:p>
    <w:p>
      <w:pPr>
        <w:pStyle w:val="ListBullet"/>
      </w:pPr>
      <w:r>
        <w:rPr>
          <w:b/>
        </w:rPr>
        <w:t>The implementers</w:t>
      </w:r>
      <w:r>
        <w:t xml:space="preserve"> can compare the code with the intent, because every statement here comes from the code or its tests and names the key, function or test it relies on.</w:t>
      </w:r>
    </w:p>
    <w:p>
      <w:pPr>
        <w:pStyle w:val="Heading2"/>
      </w:pPr>
      <w:r>
        <w:t>1.2 Basis and status labels</w:t>
      </w:r>
    </w:p>
    <w:p>
      <w:r>
        <w:t>The facts come from the backend code in the folder 'trade ERP node' and from its automated tests. The worked examples reuse the numbers of those tests wherever a test exists, so a reader can run the test and see the same figures. Other people were still finishing parts of the system while this was written; section 7.1 records what was checked at the end.</w:t>
      </w:r>
    </w:p>
    <w:p>
      <w:r>
        <w:t xml:space="preserve">Status labels: </w:t>
      </w:r>
      <w:r>
        <w:rPr>
          <w:b/>
        </w:rPr>
        <w:t>Built</w:t>
      </w:r>
      <w:r>
        <w:t xml:space="preserve"> (the rule is in the code and covered by at least one automated test), </w:t>
      </w:r>
      <w:r>
        <w:rPr>
          <w:b/>
        </w:rPr>
        <w:t>Partly built</w:t>
      </w:r>
      <w:r>
        <w:t xml:space="preserve"> (the text says which part is missing), </w:t>
      </w:r>
      <w:r>
        <w:rPr>
          <w:b/>
        </w:rPr>
        <w:t>Not built</w:t>
      </w:r>
      <w:r>
        <w:t xml:space="preserve"> (no code does it; listed so that nobody assumes it happens) and </w:t>
      </w:r>
      <w:r>
        <w:rPr>
          <w:b/>
        </w:rPr>
        <w:t>In progress</w:t>
      </w:r>
      <w:r>
        <w:t xml:space="preserve"> (another person is still working on it; see section 7.1).</w:t>
      </w:r>
    </w:p>
    <w:p>
      <w:pPr>
        <w:pStyle w:val="Caption"/>
      </w:pPr>
      <w:r>
        <w:t>Table 4. Capability status at 5 October 2026</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947"/>
        <w:gridCol w:w="1600"/>
        <w:gridCol w:w="3056"/>
      </w:tblGrid>
      <w:tr>
        <w:trPr>
          <w:tblHeader w:val="true"/>
          <w:cantSplit w:val="true"/>
        </w:trPr>
        <w:tc>
          <w:tcPr>
            <w:tcW w:type="dxa" w:w="4948"/>
            <w:shd w:val="clear" w:color="auto" w:fill="1F3A5F"/>
            <w:tcMar>
              <w:top w:w="20" w:type="dxa"/>
              <w:left w:w="60" w:type="dxa"/>
              <w:bottom w:w="20" w:type="dxa"/>
              <w:right w:w="60" w:type="dxa"/>
            </w:tcMar>
            <w:vAlign w:val="center"/>
          </w:tcPr>
          <w:p>
            <w:pPr>
              <w:spacing w:after="10" w:before="0" w:line="240" w:lineRule="auto"/>
            </w:pPr>
            <w:r>
              <w:rPr>
                <w:b/>
                <w:color w:val="FFFFFF"/>
                <w:sz w:val="17"/>
              </w:rPr>
              <w:t>Capability</w:t>
            </w:r>
          </w:p>
        </w:tc>
        <w:tc>
          <w:tcPr>
            <w:tcW w:type="dxa" w:w="1601"/>
            <w:shd w:val="clear" w:color="auto" w:fill="1F3A5F"/>
            <w:tcMar>
              <w:top w:w="20" w:type="dxa"/>
              <w:left w:w="60" w:type="dxa"/>
              <w:bottom w:w="20" w:type="dxa"/>
              <w:right w:w="60" w:type="dxa"/>
            </w:tcMar>
            <w:vAlign w:val="center"/>
          </w:tcPr>
          <w:p>
            <w:pPr>
              <w:spacing w:after="10" w:before="0" w:line="240" w:lineRule="auto"/>
            </w:pPr>
            <w:r>
              <w:rPr>
                <w:b/>
                <w:color w:val="FFFFFF"/>
                <w:sz w:val="17"/>
              </w:rPr>
              <w:t>Status</w:t>
            </w:r>
          </w:p>
        </w:tc>
        <w:tc>
          <w:tcPr>
            <w:tcW w:type="dxa" w:w="3056"/>
            <w:shd w:val="clear" w:color="auto" w:fill="1F3A5F"/>
            <w:tcMar>
              <w:top w:w="20" w:type="dxa"/>
              <w:left w:w="60" w:type="dxa"/>
              <w:bottom w:w="20" w:type="dxa"/>
              <w:right w:w="60" w:type="dxa"/>
            </w:tcMar>
            <w:vAlign w:val="center"/>
          </w:tcPr>
          <w:p>
            <w:pPr>
              <w:spacing w:after="10" w:before="0" w:line="240" w:lineRule="auto"/>
            </w:pPr>
            <w:r>
              <w:rPr>
                <w:b/>
                <w:color w:val="FFFFFF"/>
                <w:sz w:val="17"/>
              </w:rPr>
              <w:t>Remark</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Posting map, default chart, party accounts</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 2.</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Sales and purchase documents and their returns</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Sections 3.2 to 3.5.</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Receipts and payments: cash, bank, transfer, cheque, card</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Sections 3.6 to 3.9.</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Foreign-currency receipts and payments</w:t>
            </w:r>
          </w:p>
        </w:tc>
        <w:tc>
          <w:tcPr>
            <w:tcW w:type="dxa" w:w="1601"/>
            <w:tcMar>
              <w:top w:w="20" w:type="dxa"/>
              <w:left w:w="60" w:type="dxa"/>
              <w:bottom w:w="20" w:type="dxa"/>
              <w:right w:w="60" w:type="dxa"/>
            </w:tcMar>
            <w:vAlign w:val="top"/>
          </w:tcPr>
          <w:p>
            <w:pPr>
              <w:spacing w:after="10" w:before="0" w:line="240" w:lineRule="auto"/>
            </w:pPr>
            <w:r>
              <w:rPr>
                <w:sz w:val="17"/>
              </w:rPr>
              <w:t>Built (phase 1)</w:t>
            </w:r>
          </w:p>
        </w:tc>
        <w:tc>
          <w:tcPr>
            <w:tcW w:type="dxa" w:w="3056"/>
            <w:tcMar>
              <w:top w:w="20" w:type="dxa"/>
              <w:left w:w="60" w:type="dxa"/>
              <w:bottom w:w="20" w:type="dxa"/>
              <w:right w:w="60" w:type="dxa"/>
            </w:tcMar>
            <w:vAlign w:val="top"/>
          </w:tcPr>
          <w:p>
            <w:pPr>
              <w:spacing w:after="10" w:before="0" w:line="240" w:lineRule="auto"/>
            </w:pPr>
            <w:r>
              <w:rPr>
                <w:sz w:val="17"/>
              </w:rPr>
              <w:t>AED posting at a stamped rate; section 3.17.</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Foreign-currency invoices, exchange gain or loss, revaluation</w:t>
            </w:r>
          </w:p>
        </w:tc>
        <w:tc>
          <w:tcPr>
            <w:tcW w:type="dxa" w:w="1601"/>
            <w:tcMar>
              <w:top w:w="20" w:type="dxa"/>
              <w:left w:w="60" w:type="dxa"/>
              <w:bottom w:w="20" w:type="dxa"/>
              <w:right w:w="60" w:type="dxa"/>
            </w:tcMar>
            <w:vAlign w:val="top"/>
          </w:tcPr>
          <w:p>
            <w:pPr>
              <w:spacing w:after="10" w:before="0" w:line="240" w:lineRule="auto"/>
            </w:pPr>
            <w:r>
              <w:rPr>
                <w:sz w:val="17"/>
              </w:rPr>
              <w:t>Not built</w:t>
            </w:r>
          </w:p>
        </w:tc>
        <w:tc>
          <w:tcPr>
            <w:tcW w:type="dxa" w:w="3056"/>
            <w:tcMar>
              <w:top w:w="20" w:type="dxa"/>
              <w:left w:w="60" w:type="dxa"/>
              <w:bottom w:w="20" w:type="dxa"/>
              <w:right w:w="60" w:type="dxa"/>
            </w:tcMar>
            <w:vAlign w:val="top"/>
          </w:tcPr>
          <w:p>
            <w:pPr>
              <w:spacing w:after="10" w:before="0" w:line="240" w:lineRule="auto"/>
            </w:pPr>
            <w:r>
              <w:rPr>
                <w:sz w:val="17"/>
              </w:rPr>
              <w:t>Phase 2.</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Expense, debit note, credit note, journal, contra</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Sections 3.10 to 3.13.</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Stock write-off and manual stock adjustments</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 3.14. The quantity typed when an item is created is not posted.</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Opening balances (accounts, parties, stock)</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Sections 3.15 and 3.16.</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Ledger reports, financial statements, party reports</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 4.</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VAT return boxes 1a to 14</w:t>
            </w:r>
          </w:p>
        </w:tc>
        <w:tc>
          <w:tcPr>
            <w:tcW w:type="dxa" w:w="1601"/>
            <w:tcMar>
              <w:top w:w="20" w:type="dxa"/>
              <w:left w:w="60" w:type="dxa"/>
              <w:bottom w:w="20" w:type="dxa"/>
              <w:right w:w="60" w:type="dxa"/>
            </w:tcMar>
            <w:vAlign w:val="top"/>
          </w:tcPr>
          <w:p>
            <w:pPr>
              <w:spacing w:after="10" w:before="0" w:line="240" w:lineRule="auto"/>
            </w:pPr>
            <w:r>
              <w:rPr>
                <w:sz w:val="17"/>
              </w:rPr>
              <w:t>Partly built</w:t>
            </w:r>
          </w:p>
        </w:tc>
        <w:tc>
          <w:tcPr>
            <w:tcW w:type="dxa" w:w="3056"/>
            <w:tcMar>
              <w:top w:w="20" w:type="dxa"/>
              <w:left w:w="60" w:type="dxa"/>
              <w:bottom w:w="20" w:type="dxa"/>
              <w:right w:w="60" w:type="dxa"/>
            </w:tcMar>
            <w:vAlign w:val="top"/>
          </w:tcPr>
          <w:p>
            <w:pPr>
              <w:spacing w:after="10" w:before="0" w:line="240" w:lineRule="auto"/>
            </w:pPr>
            <w:r>
              <w:rPr>
                <w:sz w:val="17"/>
              </w:rPr>
              <w:t>Boxes 2, 6 and 7 are not tracked.</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IFRS statements with comparatives and basic notes</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Classification is by name; section 4.22.</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Home dashboard with real figures</w:t>
            </w:r>
          </w:p>
        </w:tc>
        <w:tc>
          <w:tcPr>
            <w:tcW w:type="dxa" w:w="1601"/>
            <w:tcMar>
              <w:top w:w="20" w:type="dxa"/>
              <w:left w:w="60" w:type="dxa"/>
              <w:bottom w:w="20" w:type="dxa"/>
              <w:right w:w="60" w:type="dxa"/>
            </w:tcMar>
            <w:vAlign w:val="top"/>
          </w:tcPr>
          <w:p>
            <w:pPr>
              <w:spacing w:after="10" w:before="0" w:line="240" w:lineRule="auto"/>
            </w:pPr>
            <w:r>
              <w:rPr>
                <w:sz w:val="17"/>
              </w:rPr>
              <w:t>Built</w:t>
            </w:r>
          </w:p>
        </w:tc>
        <w:tc>
          <w:tcPr>
            <w:tcW w:type="dxa" w:w="3056"/>
            <w:tcMar>
              <w:top w:w="20" w:type="dxa"/>
              <w:left w:w="60" w:type="dxa"/>
              <w:bottom w:w="20" w:type="dxa"/>
              <w:right w:w="60" w:type="dxa"/>
            </w:tcMar>
            <w:vAlign w:val="top"/>
          </w:tcPr>
          <w:p>
            <w:pPr>
              <w:spacing w:after="10" w:before="0" w:line="240" w:lineRule="auto"/>
            </w:pPr>
            <w:r>
              <w:rPr>
                <w:sz w:val="17"/>
              </w:rPr>
              <w:t>Section 4.23.</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Reverse-charge VAT posting to the ledger</w:t>
            </w:r>
          </w:p>
        </w:tc>
        <w:tc>
          <w:tcPr>
            <w:tcW w:type="dxa" w:w="1601"/>
            <w:tcMar>
              <w:top w:w="20" w:type="dxa"/>
              <w:left w:w="60" w:type="dxa"/>
              <w:bottom w:w="20" w:type="dxa"/>
              <w:right w:w="60" w:type="dxa"/>
            </w:tcMar>
            <w:vAlign w:val="top"/>
          </w:tcPr>
          <w:p>
            <w:pPr>
              <w:spacing w:after="10" w:before="0" w:line="240" w:lineRule="auto"/>
            </w:pPr>
            <w:r>
              <w:rPr>
                <w:sz w:val="17"/>
              </w:rPr>
              <w:t>Not built</w:t>
            </w:r>
          </w:p>
        </w:tc>
        <w:tc>
          <w:tcPr>
            <w:tcW w:type="dxa" w:w="3056"/>
            <w:tcMar>
              <w:top w:w="20" w:type="dxa"/>
              <w:left w:w="60" w:type="dxa"/>
              <w:bottom w:w="20" w:type="dxa"/>
              <w:right w:w="60" w:type="dxa"/>
            </w:tcMar>
            <w:vAlign w:val="top"/>
          </w:tcPr>
          <w:p>
            <w:pPr>
              <w:spacing w:after="10" w:before="0" w:line="240" w:lineRule="auto"/>
            </w:pPr>
            <w:r>
              <w:rPr>
                <w:sz w:val="17"/>
              </w:rPr>
              <w:t>Reported on the return, not posted.</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Bank statement reconciliation, fixed-asset register, depreciation, year-end closing entries</w:t>
            </w:r>
          </w:p>
        </w:tc>
        <w:tc>
          <w:tcPr>
            <w:tcW w:type="dxa" w:w="1601"/>
            <w:tcMar>
              <w:top w:w="20" w:type="dxa"/>
              <w:left w:w="60" w:type="dxa"/>
              <w:bottom w:w="20" w:type="dxa"/>
              <w:right w:w="60" w:type="dxa"/>
            </w:tcMar>
            <w:vAlign w:val="top"/>
          </w:tcPr>
          <w:p>
            <w:pPr>
              <w:spacing w:after="10" w:before="0" w:line="240" w:lineRule="auto"/>
            </w:pPr>
            <w:r>
              <w:rPr>
                <w:sz w:val="17"/>
              </w:rPr>
              <w:t>Not built</w:t>
            </w:r>
          </w:p>
        </w:tc>
        <w:tc>
          <w:tcPr>
            <w:tcW w:type="dxa" w:w="3056"/>
            <w:tcMar>
              <w:top w:w="20" w:type="dxa"/>
              <w:left w:w="60" w:type="dxa"/>
              <w:bottom w:w="20" w:type="dxa"/>
              <w:right w:w="60" w:type="dxa"/>
            </w:tcMar>
            <w:vAlign w:val="top"/>
          </w:tcPr>
          <w:p>
            <w:pPr>
              <w:spacing w:after="10" w:before="0" w:line="240" w:lineRule="auto"/>
            </w:pPr>
            <w:r>
              <w:rPr>
                <w:sz w:val="17"/>
              </w:rPr>
              <w:t>Journals are used instead.</w:t>
            </w:r>
          </w:p>
        </w:tc>
      </w:tr>
    </w:tbl>
    <w:p>
      <w:pPr>
        <w:spacing w:after="0" w:before="0"/>
        <w:rPr>
          <w:sz w:val="6"/>
        </w:rPr>
      </w:pPr>
    </w:p>
    <w:p>
      <w:pPr>
        <w:pStyle w:val="Heading2"/>
      </w:pPr>
      <w:r>
        <w:t>1.3 Conventions that apply to every figure</w:t>
      </w:r>
    </w:p>
    <w:p>
      <w:pPr>
        <w:pStyle w:val="Heading3"/>
      </w:pPr>
      <w:r>
        <w:t>1.3.1 Dates are Dubai calendar days</w:t>
      </w:r>
    </w:p>
    <w:p>
      <w:r>
        <w:t xml:space="preserve">Every report period is a pair of calendar days in Dubai (UTC+4, no daylight saving). A period from day F to day T starts at 00:00:00.000 on F and ends at 23:59:59.999 on T, Dubai time. The code builds these instants as </w:t>
      </w:r>
      <w:r>
        <w:rPr>
          <w:rFonts w:ascii="Consolas" w:hAnsi="Consolas" w:eastAsia="Consolas"/>
        </w:rPr>
        <w:t>&lt;day&gt;T00:00:00.000+04:00</w:t>
      </w:r>
      <w:r>
        <w:t xml:space="preserve"> and </w:t>
      </w:r>
      <w:r>
        <w:rPr>
          <w:rFonts w:ascii="Consolas" w:hAnsi="Consolas" w:eastAsia="Consolas"/>
        </w:rPr>
        <w:t>&lt;day&gt;T23:59:59.999+04:00</w:t>
      </w:r>
      <w:r>
        <w:t xml:space="preserve"> (function </w:t>
      </w:r>
      <w:r>
        <w:rPr>
          <w:rFonts w:ascii="Consolas" w:hAnsi="Consolas" w:eastAsia="Consolas"/>
        </w:rPr>
        <w:t>bound</w:t>
      </w:r>
      <w:r>
        <w:t xml:space="preserve"> in ledgerReportsService). Documents entered through the date pickers are stored at 00:00 UTC, which is 04:00 in Dubai, so they fall on the day that was typed.</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Four read paths do not use the Dubai bounds: the trial balance, the balance sheet, the ageing report, and the statement of account (and the single-account ledger). They pass the date text straight to a date parser. For documents entered as plain dates this makes no difference. It can move a posting made between 00:00 and 04:00 Dubai time across a period edge. See section 7.</w:t>
            </w:r>
          </w:p>
        </w:tc>
      </w:tr>
    </w:tbl>
    <w:p>
      <w:pPr>
        <w:spacing w:after="0" w:before="0"/>
        <w:rPr>
          <w:sz w:val="8"/>
        </w:rPr>
      </w:pPr>
    </w:p>
    <w:p>
      <w:pPr>
        <w:pStyle w:val="Heading3"/>
      </w:pPr>
      <w:r>
        <w:t>1.3.2 Currency and rounding</w:t>
      </w:r>
    </w:p>
    <w:p>
      <w:pPr>
        <w:pStyle w:val="ListBullet"/>
      </w:pPr>
      <w:r>
        <w:t>The ledger is kept in AED, to two decimals (the base currency is the currency-master row marked base). Each money column is rounded to two decimals first, half up, away from zero, and then the columns are added; a total is never the rounding of a sum of unrounded values (utils/pricing.js).</w:t>
      </w:r>
    </w:p>
    <w:p>
      <w:pPr>
        <w:pStyle w:val="ListBullet"/>
      </w:pPr>
      <w:r>
        <w:t>Example (pricing.test.js): 3 bags at AED 0.335 give a gross of 1.005, rounded to 1.01; VAT at 5 percent of 1.01 is 0.0505, rounded to 0.05; the line total is 1.06. Unit cost rates are kept to five decimals and stock values to two (utils/inventoryCosting.js).</w:t>
      </w:r>
    </w:p>
    <w:p>
      <w:pPr>
        <w:pStyle w:val="Heading3"/>
      </w:pPr>
      <w:r>
        <w:t>1.3.3 Signs and balances</w:t>
      </w:r>
    </w:p>
    <w:p>
      <w:r>
        <w:t xml:space="preserve">Reports that add up debits and credits use </w:t>
      </w:r>
      <w:r>
        <w:rPr>
          <w:b/>
        </w:rPr>
        <w:t>net = debit - credit</w:t>
      </w:r>
      <w:r>
        <w:t>. A positive net is a debit balance, a negative net is a credit balance, and screens print it as 'Dr' or 'Cr'. Reports that show a balance in its natural sign use the category of the account's group:</w:t>
      </w:r>
    </w:p>
    <w:p>
      <w:pPr>
        <w:pStyle w:val="Caption"/>
      </w:pPr>
      <w:r>
        <w:t>Table 5. Natural balance by category (utils/accounting.js)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201"/>
        <w:gridCol w:w="2910"/>
        <w:gridCol w:w="3492"/>
      </w:tblGrid>
      <w:tr>
        <w:trPr>
          <w:tblHeader w:val="true"/>
          <w:cantSplit w:val="true"/>
        </w:trPr>
        <w:tc>
          <w:tcPr>
            <w:tcW w:type="dxa" w:w="3202"/>
            <w:shd w:val="clear" w:color="auto" w:fill="1F3A5F"/>
            <w:tcMar>
              <w:top w:w="20" w:type="dxa"/>
              <w:left w:w="60" w:type="dxa"/>
              <w:bottom w:w="20" w:type="dxa"/>
              <w:right w:w="60" w:type="dxa"/>
            </w:tcMar>
            <w:vAlign w:val="center"/>
          </w:tcPr>
          <w:p>
            <w:pPr>
              <w:spacing w:after="10" w:before="0" w:line="240" w:lineRule="auto"/>
            </w:pPr>
            <w:r>
              <w:rPr>
                <w:b/>
                <w:color w:val="FFFFFF"/>
                <w:sz w:val="17"/>
              </w:rPr>
              <w:t>Category</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Natural balance</w:t>
            </w:r>
          </w:p>
        </w:tc>
        <w:tc>
          <w:tcPr>
            <w:tcW w:type="dxa" w:w="3493"/>
            <w:shd w:val="clear" w:color="auto" w:fill="1F3A5F"/>
            <w:tcMar>
              <w:top w:w="20" w:type="dxa"/>
              <w:left w:w="60" w:type="dxa"/>
              <w:bottom w:w="20" w:type="dxa"/>
              <w:right w:w="60" w:type="dxa"/>
            </w:tcMar>
            <w:vAlign w:val="center"/>
          </w:tcPr>
          <w:p>
            <w:pPr>
              <w:spacing w:after="10" w:before="0" w:line="240" w:lineRule="auto"/>
            </w:pPr>
            <w:r>
              <w:rPr>
                <w:b/>
                <w:color w:val="FFFFFF"/>
                <w:sz w:val="17"/>
              </w:rPr>
              <w:t>Read as positive when</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ASSET, EXPENSE</w:t>
            </w:r>
          </w:p>
        </w:tc>
        <w:tc>
          <w:tcPr>
            <w:tcW w:type="dxa" w:w="2911"/>
            <w:tcMar>
              <w:top w:w="20" w:type="dxa"/>
              <w:left w:w="60" w:type="dxa"/>
              <w:bottom w:w="20" w:type="dxa"/>
              <w:right w:w="60" w:type="dxa"/>
            </w:tcMar>
            <w:vAlign w:val="top"/>
          </w:tcPr>
          <w:p>
            <w:pPr>
              <w:spacing w:after="10" w:before="0" w:line="240" w:lineRule="auto"/>
            </w:pPr>
            <w:r>
              <w:rPr>
                <w:sz w:val="17"/>
              </w:rPr>
              <w:t>debit - credit</w:t>
            </w:r>
          </w:p>
        </w:tc>
        <w:tc>
          <w:tcPr>
            <w:tcW w:type="dxa" w:w="3493"/>
            <w:tcMar>
              <w:top w:w="20" w:type="dxa"/>
              <w:left w:w="60" w:type="dxa"/>
              <w:bottom w:w="20" w:type="dxa"/>
              <w:right w:w="60" w:type="dxa"/>
            </w:tcMar>
            <w:vAlign w:val="top"/>
          </w:tcPr>
          <w:p>
            <w:pPr>
              <w:spacing w:after="10" w:before="0" w:line="240" w:lineRule="auto"/>
            </w:pPr>
            <w:r>
              <w:rPr>
                <w:sz w:val="17"/>
              </w:rPr>
              <w:t>the account has a debit balance</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LIABILITY, EQUITY, INCOME</w:t>
            </w:r>
          </w:p>
        </w:tc>
        <w:tc>
          <w:tcPr>
            <w:tcW w:type="dxa" w:w="2911"/>
            <w:tcMar>
              <w:top w:w="20" w:type="dxa"/>
              <w:left w:w="60" w:type="dxa"/>
              <w:bottom w:w="20" w:type="dxa"/>
              <w:right w:w="60" w:type="dxa"/>
            </w:tcMar>
            <w:vAlign w:val="top"/>
          </w:tcPr>
          <w:p>
            <w:pPr>
              <w:spacing w:after="10" w:before="0" w:line="240" w:lineRule="auto"/>
            </w:pPr>
            <w:r>
              <w:rPr>
                <w:sz w:val="17"/>
              </w:rPr>
              <w:t>credit - debit</w:t>
            </w:r>
          </w:p>
        </w:tc>
        <w:tc>
          <w:tcPr>
            <w:tcW w:type="dxa" w:w="3493"/>
            <w:tcMar>
              <w:top w:w="20" w:type="dxa"/>
              <w:left w:w="60" w:type="dxa"/>
              <w:bottom w:w="20" w:type="dxa"/>
              <w:right w:w="60" w:type="dxa"/>
            </w:tcMar>
            <w:vAlign w:val="top"/>
          </w:tcPr>
          <w:p>
            <w:pPr>
              <w:spacing w:after="10" w:before="0" w:line="240" w:lineRule="auto"/>
            </w:pPr>
            <w:r>
              <w:rPr>
                <w:sz w:val="17"/>
              </w:rPr>
              <w:t>the account has a credit balance</w:t>
            </w:r>
          </w:p>
        </w:tc>
      </w:tr>
    </w:tbl>
    <w:p>
      <w:pPr>
        <w:spacing w:after="0" w:before="0"/>
        <w:rPr>
          <w:sz w:val="6"/>
        </w:rPr>
      </w:pPr>
    </w:p>
    <w:p>
      <w:pPr>
        <w:pStyle w:val="Heading3"/>
      </w:pPr>
      <w:r>
        <w:t>1.3.4 What counts and what never counts</w:t>
      </w:r>
    </w:p>
    <w:p>
      <w:pPr>
        <w:pStyle w:val="ListBullet"/>
      </w:pPr>
      <w:r>
        <w:rPr>
          <w:b/>
        </w:rPr>
        <w:t>Reversed ledger entries never count.</w:t>
      </w:r>
      <w:r>
        <w:t xml:space="preserve"> When a voucher or document is edited or deleted, each of its entries is copied with debit and credit swapped, and the original and the copy are both marked reversed. Every ledger report ignores entries marked reversed, so the pair disappears and the edited version is the only live set.</w:t>
      </w:r>
    </w:p>
    <w:p>
      <w:pPr>
        <w:pStyle w:val="ListBullet"/>
      </w:pPr>
      <w:r>
        <w:rPr>
          <w:b/>
        </w:rPr>
        <w:t>Drafts, rejected and cancelled documents never post.</w:t>
      </w:r>
      <w:r>
        <w:t xml:space="preserve"> Only approval gives a trade document its stock and ledger effect. An approved document cannot be rejected or cancelled again; the only way back is to delete it, which reverses its stock and ledger effect (section 3.1).</w:t>
      </w:r>
    </w:p>
    <w:p>
      <w:pPr>
        <w:pStyle w:val="ListBullet"/>
      </w:pPr>
      <w:r>
        <w:rPr>
          <w:b/>
        </w:rPr>
        <w:t>Opening-balance invoices carry no stock, no VAT and no e-invoice.</w:t>
      </w:r>
      <w:r>
        <w:t xml:space="preserve"> They are approved documents without lines, posted against Opening Balance Equity (section 3.15). The VAT return, the sales analysis, the returns check and the catch-up posting all skip them.</w:t>
      </w:r>
    </w:p>
    <w:p>
      <w:pPr>
        <w:pStyle w:val="ListBullet"/>
      </w:pPr>
      <w:r>
        <w:rPr>
          <w:b/>
        </w:rPr>
        <w:t>A paid invoice stays APPROVED.</w:t>
      </w:r>
      <w:r>
        <w:t xml:space="preserve"> Whether an invoice is settled is shown by its paid and outstanding amounts, never by its status.</w:t>
      </w:r>
    </w:p>
    <w:p>
      <w:pPr>
        <w:pStyle w:val="Heading3"/>
      </w:pPr>
      <w:r>
        <w:t>1.3.5 Names used for documents</w:t>
      </w:r>
    </w:p>
    <w:p>
      <w:r>
        <w:t xml:space="preserve">The screens call the four trade documents </w:t>
      </w:r>
      <w:r>
        <w:rPr>
          <w:b/>
        </w:rPr>
        <w:t>purchase invoice</w:t>
      </w:r>
      <w:r>
        <w:t xml:space="preserve"> (internal type </w:t>
      </w:r>
      <w:r>
        <w:rPr>
          <w:rFonts w:ascii="Consolas" w:hAnsi="Consolas" w:eastAsia="Consolas"/>
        </w:rPr>
        <w:t>purchase_order</w:t>
      </w:r>
      <w:r>
        <w:t xml:space="preserve">, series PO), </w:t>
      </w:r>
      <w:r>
        <w:rPr>
          <w:b/>
        </w:rPr>
        <w:t>purchase return</w:t>
      </w:r>
      <w:r>
        <w:t xml:space="preserve"> (</w:t>
      </w:r>
      <w:r>
        <w:rPr>
          <w:rFonts w:ascii="Consolas" w:hAnsi="Consolas" w:eastAsia="Consolas"/>
        </w:rPr>
        <w:t>purchase_return</w:t>
      </w:r>
      <w:r>
        <w:t xml:space="preserve">, PR), </w:t>
      </w:r>
      <w:r>
        <w:rPr>
          <w:b/>
        </w:rPr>
        <w:t>sales invoice</w:t>
      </w:r>
      <w:r>
        <w:t xml:space="preserve"> (</w:t>
      </w:r>
      <w:r>
        <w:rPr>
          <w:rFonts w:ascii="Consolas" w:hAnsi="Consolas" w:eastAsia="Consolas"/>
        </w:rPr>
        <w:t>sales_order</w:t>
      </w:r>
      <w:r>
        <w:t xml:space="preserve">, SO) and </w:t>
      </w:r>
      <w:r>
        <w:rPr>
          <w:b/>
        </w:rPr>
        <w:t>sales return</w:t>
      </w:r>
      <w:r>
        <w:t xml:space="preserve"> (</w:t>
      </w:r>
      <w:r>
        <w:rPr>
          <w:rFonts w:ascii="Consolas" w:hAnsi="Consolas" w:eastAsia="Consolas"/>
        </w:rPr>
        <w:t>sales_return</w:t>
      </w:r>
      <w:r>
        <w:t>, SR). The purchase invoice and the sales return move stock in; the purchase return and the sales invoice move it out; all four post to the ledger on approval.</w:t>
      </w:r>
    </w:p>
    <w:p>
      <w:pPr>
        <w:pStyle w:val="Heading2"/>
      </w:pPr>
      <w:r>
        <w:t>1.4 How each report is described</w:t>
      </w:r>
    </w:p>
    <w:p>
      <w:r>
        <w:t xml:space="preserve">Each report in section 4 is a block with the same eight rows, so that two reports can be compared line by line: </w:t>
      </w:r>
      <w:r>
        <w:rPr>
          <w:b/>
        </w:rPr>
        <w:t>Question it answers</w:t>
      </w:r>
      <w:r>
        <w:t xml:space="preserve">; </w:t>
      </w:r>
      <w:r>
        <w:rPr>
          <w:b/>
        </w:rPr>
        <w:t>Where</w:t>
      </w:r>
      <w:r>
        <w:t xml:space="preserve"> (screen route and API path); </w:t>
      </w:r>
      <w:r>
        <w:rPr>
          <w:b/>
        </w:rPr>
        <w:t>Source data</w:t>
      </w:r>
      <w:r>
        <w:t xml:space="preserve">; </w:t>
      </w:r>
      <w:r>
        <w:rPr>
          <w:b/>
        </w:rPr>
        <w:t>Period and filters</w:t>
      </w:r>
      <w:r>
        <w:t xml:space="preserve">; </w:t>
      </w:r>
      <w:r>
        <w:rPr>
          <w:b/>
        </w:rPr>
        <w:t>Calculation</w:t>
      </w:r>
      <w:r>
        <w:t xml:space="preserve"> (every formula, in the order the code applies it); </w:t>
      </w:r>
      <w:r>
        <w:rPr>
          <w:b/>
        </w:rPr>
        <w:t>Included and excluded</w:t>
      </w:r>
      <w:r>
        <w:t xml:space="preserve">; </w:t>
      </w:r>
      <w:r>
        <w:rPr>
          <w:b/>
        </w:rPr>
        <w:t>Controls and reconciliations</w:t>
      </w:r>
      <w:r>
        <w:t xml:space="preserve"> (what it must agree with); </w:t>
      </w:r>
      <w:r>
        <w:rPr>
          <w:b/>
        </w:rPr>
        <w:t>Output columns and exports</w:t>
      </w:r>
      <w:r>
        <w:t>.</w:t>
      </w:r>
    </w:p>
    <w:p>
      <w:pPr>
        <w:pStyle w:val="Heading2"/>
      </w:pPr>
      <w:r>
        <w:t>1.5 Where the figures come from</w:t>
      </w:r>
    </w:p>
    <w:p>
      <w:r>
        <w:t>There are three independent sources of figures. Section 5 explains how they are tied together.</w:t>
      </w:r>
    </w:p>
    <w:p>
      <w:pPr>
        <w:pStyle w:val="ListBullet"/>
      </w:pPr>
      <w:r>
        <w:rPr>
          <w:b/>
        </w:rPr>
        <w:t>Ledger entries</w:t>
      </w:r>
      <w:r>
        <w:t xml:space="preserve"> (every debit and credit, with account, date, voucher, party and a reversed flag) feed the trial balance, balance sheet, profit and loss, cash flow, day book, general ledger, cash book, party balances, the statement of account (posting on), the IFRS statements, the VAT reconciliation and the stock reconciliation.</w:t>
      </w:r>
    </w:p>
    <w:p>
      <w:pPr>
        <w:pStyle w:val="ListBullet"/>
      </w:pPr>
      <w:r>
        <w:rPr>
          <w:b/>
        </w:rPr>
        <w:t>Inventory movements</w:t>
      </w:r>
      <w:r>
        <w:t xml:space="preserve"> (every stock movement with quantity, cost, running average and a reversed flag) feed the stock valuation, movement, item ledger and the cost side of the sales analysis; expiry reads batches and reorder reads the item master.</w:t>
      </w:r>
    </w:p>
    <w:p>
      <w:pPr>
        <w:pStyle w:val="ListBullet"/>
      </w:pPr>
      <w:r>
        <w:rPr>
          <w:b/>
        </w:rPr>
        <w:t>Trade documents</w:t>
      </w:r>
      <w:r>
        <w:t xml:space="preserve"> (approved documents with lines, tax treatment, paid and outstanding amounts) feed the VAT return, ageing, the revenue side of the sales and purchase analysis, the dashboard counts and the statement of account when posting is off.</w:t>
      </w:r>
    </w:p>
    <w:p>
      <w:pPr>
        <w:pStyle w:val="Heading1"/>
      </w:pPr>
      <w:r>
        <w:t>2 Account configuration (the posting map)</w:t>
      </w:r>
    </w:p>
    <w:p>
      <w:pPr>
        <w:pStyle w:val="Heading2"/>
      </w:pPr>
      <w:r>
        <w:t>2.1 What the posting map is</w:t>
      </w:r>
    </w:p>
    <w:p>
      <w:r>
        <w:t xml:space="preserve">No posting code in the system names a ledger account. Each leg of each posting asks for a </w:t>
      </w:r>
      <w:r>
        <w:rPr>
          <w:b/>
        </w:rPr>
        <w:t>configuration key</w:t>
      </w:r>
      <w:r>
        <w:t xml:space="preserve"> (for example </w:t>
      </w:r>
      <w:r>
        <w:rPr>
          <w:rFonts w:ascii="Consolas" w:hAnsi="Consolas" w:eastAsia="Consolas"/>
        </w:rPr>
        <w:t>vat-sales</w:t>
      </w:r>
      <w:r>
        <w:t>), and the company's posting map says which ledger account, or which account group, that key stands for. This is what lets a company use its own chart of accounts while every event still posts to a defined place.</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 xml:space="preserve">An unmapped key fails loudly. </w:t>
            </w:r>
            <w:r>
              <w:rPr>
                <w:rFonts w:ascii="Consolas" w:hAnsi="Consolas" w:eastAsia="Consolas"/>
                <w:sz w:val="19"/>
              </w:rPr>
              <w:t>AccountConfigService.resolveAccount</w:t>
            </w:r>
            <w:r>
              <w:rPr>
                <w:sz w:val="20"/>
              </w:rPr>
              <w:t xml:space="preserve"> throws </w:t>
            </w:r>
            <w:r>
              <w:rPr>
                <w:rFonts w:ascii="Consolas" w:hAnsi="Consolas" w:eastAsia="Consolas"/>
                <w:sz w:val="19"/>
              </w:rPr>
              <w:t>ACCOUNT_NOT_CONFIGURED</w:t>
            </w:r>
            <w:r>
              <w:rPr>
                <w:sz w:val="20"/>
              </w:rPr>
              <w:t xml:space="preserve"> (HTTP 422) with the message 'Account not configured: "&lt;key&gt;". Map it under Accounting &gt; Account configuration.' There is deliberately no fallback account, so a posting can never land somewhere nobody chose.</w:t>
            </w:r>
          </w:p>
        </w:tc>
      </w:tr>
    </w:tbl>
    <w:p>
      <w:pPr>
        <w:spacing w:after="0" w:before="0"/>
        <w:rPr>
          <w:sz w:val="8"/>
        </w:rPr>
      </w:pPr>
    </w:p>
    <w:p>
      <w:pPr>
        <w:pStyle w:val="ListBullet"/>
      </w:pPr>
      <w:r>
        <w:rPr>
          <w:b/>
        </w:rPr>
        <w:t>Shape and choice are kept apart.</w:t>
      </w:r>
      <w:r>
        <w:t xml:space="preserve"> The canonical list of keys (utils/accountConfigSeed.js) owns each key's display name, category, kind and parent. The company owns only the target account or group. When the list is re-merged into the company's settings, the company's targets are matched by key and kept.</w:t>
      </w:r>
    </w:p>
    <w:p>
      <w:pPr>
        <w:pStyle w:val="ListBullet"/>
      </w:pPr>
      <w:r>
        <w:rPr>
          <w:b/>
        </w:rPr>
        <w:t>Kinds.</w:t>
      </w:r>
      <w:r>
        <w:t xml:space="preserve"> A key of kind </w:t>
      </w:r>
      <w:r>
        <w:rPr>
          <w:rFonts w:ascii="Consolas" w:hAnsi="Consolas" w:eastAsia="Consolas"/>
        </w:rPr>
        <w:t>group</w:t>
      </w:r>
      <w:r>
        <w:t xml:space="preserve"> maps to an account group (a family of accounts). A key of kind </w:t>
      </w:r>
      <w:r>
        <w:rPr>
          <w:rFonts w:ascii="Consolas" w:hAnsi="Consolas" w:eastAsia="Consolas"/>
        </w:rPr>
        <w:t>account</w:t>
      </w:r>
      <w:r>
        <w:t xml:space="preserve"> maps to one ledger account. A key of kind </w:t>
      </w:r>
      <w:r>
        <w:rPr>
          <w:rFonts w:ascii="Consolas" w:hAnsi="Consolas" w:eastAsia="Consolas"/>
        </w:rPr>
        <w:t>none</w:t>
      </w:r>
      <w:r>
        <w:t xml:space="preserve"> is a header or an implied rule and cannot be mapped.</w:t>
      </w:r>
    </w:p>
    <w:p>
      <w:pPr>
        <w:pStyle w:val="ListBullet"/>
      </w:pPr>
      <w:r>
        <w:rPr>
          <w:b/>
        </w:rPr>
        <w:t>Mapping is checked.</w:t>
      </w:r>
      <w:r>
        <w:t xml:space="preserve"> A group key accepts only a group whose category equals the key's category (CATEGORY_MISMATCH otherwise). An account key accepts only an active account whose type equals the key's category in lower case (for example </w:t>
      </w:r>
      <w:r>
        <w:rPr>
          <w:rFonts w:ascii="Consolas" w:hAnsi="Consolas" w:eastAsia="Consolas"/>
        </w:rPr>
        <w:t>vat-sales</w:t>
      </w:r>
      <w:r>
        <w:t xml:space="preserve"> needs a liability account). A key of kind </w:t>
      </w:r>
      <w:r>
        <w:rPr>
          <w:rFonts w:ascii="Consolas" w:hAnsi="Consolas" w:eastAsia="Consolas"/>
        </w:rPr>
        <w:t>none</w:t>
      </w:r>
      <w:r>
        <w:t xml:space="preserve"> is refused (NOT_MAPPABLE). An unknown key is refused (UNKNOWN_CONFIG_KEY).</w:t>
      </w:r>
    </w:p>
    <w:p>
      <w:pPr>
        <w:pStyle w:val="ListBullet"/>
      </w:pPr>
      <w:r>
        <w:rPr>
          <w:b/>
        </w:rPr>
        <w:t>All accounts are found before anything is written.</w:t>
      </w:r>
      <w:r>
        <w:t xml:space="preserve"> When a document is approved, the posting service resolves every account the document needs first. If one is missing, nothing is written and, because the approval runs in one database transaction, the stock movement is rolled back with it. A leg whose amount is zero needs no account, so a mapping that is only used for freight or round-off is only required by documents that have freight or round-off.</w:t>
      </w:r>
    </w:p>
    <w:p>
      <w:pPr>
        <w:spacing w:after="0" w:before="0" w:lineRule="exact" w:line="20"/>
        <w:sectPr>
          <w:headerReference w:type="default" r:id="rId9"/>
          <w:footerReference w:type="default" r:id="rId10"/>
          <w:pgSz w:w="11909" w:h="16834"/>
          <w:pgMar w:top="1152" w:right="1152" w:bottom="1080" w:left="1152" w:header="504" w:footer="504" w:gutter="0"/>
          <w:cols w:space="720"/>
          <w:titlePg/>
          <w:docGrid w:linePitch="360"/>
        </w:sectPr>
      </w:pPr>
    </w:p>
    <w:p>
      <w:pPr>
        <w:pStyle w:val="Heading2"/>
      </w:pPr>
      <w:r>
        <w:t>2.2 The configuration keys</w:t>
      </w:r>
    </w:p>
    <w:p>
      <w:pPr>
        <w:spacing w:after="60"/>
      </w:pPr>
      <w:r>
        <w:t>The table lists every key: 37 in all, of which 14 are group keys, 20 single-account keys and 3 headers that cannot be mapped. The 34 mappable keys must all be mapped before posting can be switched on. 'Default target' is what the default chart maps the key to (name and code, section 2.3). 'Used by' and 'If unmapped' were read from the call sites; six mappable keys are read by no code and are marked so (limitation 8, section 7).</w:t>
      </w:r>
    </w:p>
    <w:p>
      <w:pPr>
        <w:pStyle w:val="Caption"/>
      </w:pPr>
      <w:r>
        <w:t>Table 6. All 37 configuration keys (utils/accountConfigSeed.js, utils/defaultChart.js)</w:t>
      </w:r>
    </w:p>
    <w:tbl>
      <w:tblPr>
        <w:tblW w:type="dxa" w:w="14529"/>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41"/>
        <w:gridCol w:w="1841"/>
        <w:gridCol w:w="954"/>
        <w:gridCol w:w="750"/>
        <w:gridCol w:w="1091"/>
        <w:gridCol w:w="1909"/>
        <w:gridCol w:w="3547"/>
        <w:gridCol w:w="2592"/>
      </w:tblGrid>
      <w:tr>
        <w:trPr>
          <w:tblHeader w:val="true"/>
          <w:cantSplit w:val="true"/>
        </w:trPr>
        <w:tc>
          <w:tcPr>
            <w:tcW w:type="dxa" w:w="1842"/>
            <w:shd w:val="clear" w:color="auto" w:fill="1F3A5F"/>
            <w:tcMar>
              <w:top w:w="20" w:type="dxa"/>
              <w:left w:w="60" w:type="dxa"/>
              <w:bottom w:w="20" w:type="dxa"/>
              <w:right w:w="60" w:type="dxa"/>
            </w:tcMar>
            <w:vAlign w:val="center"/>
          </w:tcPr>
          <w:p>
            <w:pPr>
              <w:spacing w:after="10" w:before="0" w:line="240" w:lineRule="auto"/>
            </w:pPr>
            <w:r>
              <w:rPr>
                <w:b/>
                <w:color w:val="FFFFFF"/>
                <w:sz w:val="16"/>
              </w:rPr>
              <w:t>Key</w:t>
            </w:r>
          </w:p>
        </w:tc>
        <w:tc>
          <w:tcPr>
            <w:tcW w:type="dxa" w:w="1842"/>
            <w:shd w:val="clear" w:color="auto" w:fill="1F3A5F"/>
            <w:tcMar>
              <w:top w:w="20" w:type="dxa"/>
              <w:left w:w="60" w:type="dxa"/>
              <w:bottom w:w="20" w:type="dxa"/>
              <w:right w:w="60" w:type="dxa"/>
            </w:tcMar>
            <w:vAlign w:val="center"/>
          </w:tcPr>
          <w:p>
            <w:pPr>
              <w:spacing w:after="10" w:before="0" w:line="240" w:lineRule="auto"/>
            </w:pPr>
            <w:r>
              <w:rPr>
                <w:b/>
                <w:color w:val="FFFFFF"/>
                <w:sz w:val="16"/>
              </w:rPr>
              <w:t>Display name</w:t>
            </w:r>
          </w:p>
        </w:tc>
        <w:tc>
          <w:tcPr>
            <w:tcW w:type="dxa" w:w="955"/>
            <w:shd w:val="clear" w:color="auto" w:fill="1F3A5F"/>
            <w:tcMar>
              <w:top w:w="20" w:type="dxa"/>
              <w:left w:w="60" w:type="dxa"/>
              <w:bottom w:w="20" w:type="dxa"/>
              <w:right w:w="60" w:type="dxa"/>
            </w:tcMar>
            <w:vAlign w:val="center"/>
          </w:tcPr>
          <w:p>
            <w:pPr>
              <w:spacing w:after="10" w:before="0" w:line="240" w:lineRule="auto"/>
            </w:pPr>
            <w:r>
              <w:rPr>
                <w:b/>
                <w:color w:val="FFFFFF"/>
                <w:sz w:val="16"/>
              </w:rPr>
              <w:t>Category</w:t>
            </w:r>
          </w:p>
        </w:tc>
        <w:tc>
          <w:tcPr>
            <w:tcW w:type="dxa" w:w="750"/>
            <w:shd w:val="clear" w:color="auto" w:fill="1F3A5F"/>
            <w:tcMar>
              <w:top w:w="20" w:type="dxa"/>
              <w:left w:w="60" w:type="dxa"/>
              <w:bottom w:w="20" w:type="dxa"/>
              <w:right w:w="60" w:type="dxa"/>
            </w:tcMar>
            <w:vAlign w:val="center"/>
          </w:tcPr>
          <w:p>
            <w:pPr>
              <w:spacing w:after="10" w:before="0" w:line="240" w:lineRule="auto"/>
            </w:pPr>
            <w:r>
              <w:rPr>
                <w:b/>
                <w:color w:val="FFFFFF"/>
                <w:sz w:val="16"/>
              </w:rPr>
              <w:t>Kind</w:t>
            </w:r>
          </w:p>
        </w:tc>
        <w:tc>
          <w:tcPr>
            <w:tcW w:type="dxa" w:w="1091"/>
            <w:shd w:val="clear" w:color="auto" w:fill="1F3A5F"/>
            <w:tcMar>
              <w:top w:w="20" w:type="dxa"/>
              <w:left w:w="60" w:type="dxa"/>
              <w:bottom w:w="20" w:type="dxa"/>
              <w:right w:w="60" w:type="dxa"/>
            </w:tcMar>
            <w:vAlign w:val="center"/>
          </w:tcPr>
          <w:p>
            <w:pPr>
              <w:spacing w:after="10" w:before="0" w:line="240" w:lineRule="auto"/>
            </w:pPr>
            <w:r>
              <w:rPr>
                <w:b/>
                <w:color w:val="FFFFFF"/>
                <w:sz w:val="16"/>
              </w:rPr>
              <w:t>Parent</w:t>
            </w:r>
          </w:p>
        </w:tc>
        <w:tc>
          <w:tcPr>
            <w:tcW w:type="dxa" w:w="1910"/>
            <w:shd w:val="clear" w:color="auto" w:fill="1F3A5F"/>
            <w:tcMar>
              <w:top w:w="20" w:type="dxa"/>
              <w:left w:w="60" w:type="dxa"/>
              <w:bottom w:w="20" w:type="dxa"/>
              <w:right w:w="60" w:type="dxa"/>
            </w:tcMar>
            <w:vAlign w:val="center"/>
          </w:tcPr>
          <w:p>
            <w:pPr>
              <w:spacing w:after="10" w:before="0" w:line="240" w:lineRule="auto"/>
            </w:pPr>
            <w:r>
              <w:rPr>
                <w:b/>
                <w:color w:val="FFFFFF"/>
                <w:sz w:val="16"/>
              </w:rPr>
              <w:t>Default target</w:t>
            </w:r>
          </w:p>
        </w:tc>
        <w:tc>
          <w:tcPr>
            <w:tcW w:type="dxa" w:w="3547"/>
            <w:shd w:val="clear" w:color="auto" w:fill="1F3A5F"/>
            <w:tcMar>
              <w:top w:w="20" w:type="dxa"/>
              <w:left w:w="60" w:type="dxa"/>
              <w:bottom w:w="20" w:type="dxa"/>
              <w:right w:w="60" w:type="dxa"/>
            </w:tcMar>
            <w:vAlign w:val="center"/>
          </w:tcPr>
          <w:p>
            <w:pPr>
              <w:spacing w:after="10" w:before="0" w:line="240" w:lineRule="auto"/>
            </w:pPr>
            <w:r>
              <w:rPr>
                <w:b/>
                <w:color w:val="FFFFFF"/>
                <w:sz w:val="16"/>
              </w:rPr>
              <w:t>Used by (events and reports)</w:t>
            </w:r>
          </w:p>
        </w:tc>
        <w:tc>
          <w:tcPr>
            <w:tcW w:type="dxa" w:w="2592"/>
            <w:shd w:val="clear" w:color="auto" w:fill="1F3A5F"/>
            <w:tcMar>
              <w:top w:w="20" w:type="dxa"/>
              <w:left w:w="60" w:type="dxa"/>
              <w:bottom w:w="20" w:type="dxa"/>
              <w:right w:w="60" w:type="dxa"/>
            </w:tcMar>
            <w:vAlign w:val="center"/>
          </w:tcPr>
          <w:p>
            <w:pPr>
              <w:spacing w:after="10" w:before="0" w:line="240" w:lineRule="auto"/>
            </w:pPr>
            <w:r>
              <w:rPr>
                <w:b/>
                <w:color w:val="FFFFFF"/>
                <w:sz w:val="16"/>
              </w:rPr>
              <w:t>What breaks if unmapped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cash-account-group</w:t>
            </w:r>
          </w:p>
        </w:tc>
        <w:tc>
          <w:tcPr>
            <w:tcW w:type="dxa" w:w="1842"/>
            <w:tcMar>
              <w:top w:w="20" w:type="dxa"/>
              <w:left w:w="60" w:type="dxa"/>
              <w:bottom w:w="20" w:type="dxa"/>
              <w:right w:w="60" w:type="dxa"/>
            </w:tcMar>
            <w:vAlign w:val="top"/>
          </w:tcPr>
          <w:p>
            <w:pPr>
              <w:spacing w:after="10" w:before="0" w:line="240" w:lineRule="auto"/>
            </w:pPr>
            <w:r>
              <w:rPr>
                <w:sz w:val="16"/>
              </w:rPr>
              <w:t>Cash accounts</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Cash group (CASH)</w:t>
            </w:r>
          </w:p>
        </w:tc>
        <w:tc>
          <w:tcPr>
            <w:tcW w:type="dxa" w:w="3547"/>
            <w:tcMar>
              <w:top w:w="20" w:type="dxa"/>
              <w:left w:w="60" w:type="dxa"/>
              <w:bottom w:w="20" w:type="dxa"/>
              <w:right w:w="60" w:type="dxa"/>
            </w:tcMar>
            <w:vAlign w:val="top"/>
          </w:tcPr>
          <w:p>
            <w:pPr>
              <w:spacing w:after="10" w:before="0" w:line="240" w:lineRule="auto"/>
            </w:pPr>
            <w:r>
              <w:rPr>
                <w:sz w:val="16"/>
              </w:rPr>
              <w:t>Cash receipts, payments and expenses; contra (cash side, no negative cash); cash and bank book; cash flow; IFRS cash and notes.</w:t>
            </w:r>
          </w:p>
        </w:tc>
        <w:tc>
          <w:tcPr>
            <w:tcW w:type="dxa" w:w="2592"/>
            <w:tcMar>
              <w:top w:w="20" w:type="dxa"/>
              <w:left w:w="60" w:type="dxa"/>
              <w:bottom w:w="20" w:type="dxa"/>
              <w:right w:w="60" w:type="dxa"/>
            </w:tcMar>
            <w:vAlign w:val="top"/>
          </w:tcPr>
          <w:p>
            <w:pPr>
              <w:spacing w:after="10" w:before="0" w:line="240" w:lineRule="auto"/>
            </w:pPr>
            <w:r>
              <w:rPr>
                <w:sz w:val="16"/>
              </w:rPr>
              <w:t>Cash-mode vouchers cannot be saved (ACCOUNT_NOT_CONFIGURED, after one attempt to restore the defaults). Cash reports list no cash accounts.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bank-account-group</w:t>
            </w:r>
          </w:p>
        </w:tc>
        <w:tc>
          <w:tcPr>
            <w:tcW w:type="dxa" w:w="1842"/>
            <w:tcMar>
              <w:top w:w="20" w:type="dxa"/>
              <w:left w:w="60" w:type="dxa"/>
              <w:bottom w:w="20" w:type="dxa"/>
              <w:right w:w="60" w:type="dxa"/>
            </w:tcMar>
            <w:vAlign w:val="top"/>
          </w:tcPr>
          <w:p>
            <w:pPr>
              <w:spacing w:after="10" w:before="0" w:line="240" w:lineRule="auto"/>
            </w:pPr>
            <w:r>
              <w:rPr>
                <w:sz w:val="16"/>
              </w:rPr>
              <w:t>Bank accounts</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Bank group (BANK)</w:t>
            </w:r>
          </w:p>
        </w:tc>
        <w:tc>
          <w:tcPr>
            <w:tcW w:type="dxa" w:w="3547"/>
            <w:tcMar>
              <w:top w:w="20" w:type="dxa"/>
              <w:left w:w="60" w:type="dxa"/>
              <w:bottom w:w="20" w:type="dxa"/>
              <w:right w:w="60" w:type="dxa"/>
            </w:tcMar>
            <w:vAlign w:val="top"/>
          </w:tcPr>
          <w:p>
            <w:pPr>
              <w:spacing w:after="10" w:before="0" w:line="240" w:lineRule="auto"/>
            </w:pPr>
            <w:r>
              <w:rPr>
                <w:sz w:val="16"/>
              </w:rPr>
              <w:t>Bank, transfer, cheque and card vouchers; card master (terminal and debit-card accounts must be bank accounts; prepaid-card accounts are created here); contra; cash and bank book; cash flow; IFRS.</w:t>
            </w:r>
          </w:p>
        </w:tc>
        <w:tc>
          <w:tcPr>
            <w:tcW w:type="dxa" w:w="2592"/>
            <w:tcMar>
              <w:top w:w="20" w:type="dxa"/>
              <w:left w:w="60" w:type="dxa"/>
              <w:bottom w:w="20" w:type="dxa"/>
              <w:right w:w="60" w:type="dxa"/>
            </w:tcMar>
            <w:vAlign w:val="top"/>
          </w:tcPr>
          <w:p>
            <w:pPr>
              <w:spacing w:after="10" w:before="0" w:line="240" w:lineRule="auto"/>
            </w:pPr>
            <w:r>
              <w:rPr>
                <w:sz w:val="16"/>
              </w:rPr>
              <w:t>Bank-mode vouchers and the card master fail with ACCOUNT_NOT_CONFIGURED. Reports list no bank accounts.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account-receivable-group</w:t>
            </w:r>
          </w:p>
        </w:tc>
        <w:tc>
          <w:tcPr>
            <w:tcW w:type="dxa" w:w="1842"/>
            <w:tcMar>
              <w:top w:w="20" w:type="dxa"/>
              <w:left w:w="60" w:type="dxa"/>
              <w:bottom w:w="20" w:type="dxa"/>
              <w:right w:w="60" w:type="dxa"/>
            </w:tcMar>
            <w:vAlign w:val="top"/>
          </w:tcPr>
          <w:p>
            <w:pPr>
              <w:spacing w:after="10" w:before="0" w:line="240" w:lineRule="auto"/>
            </w:pPr>
            <w:r>
              <w:rPr>
                <w:sz w:val="16"/>
              </w:rPr>
              <w:t>Trade receivables (customers)</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Accounts Receivable group (AR)</w:t>
            </w:r>
          </w:p>
        </w:tc>
        <w:tc>
          <w:tcPr>
            <w:tcW w:type="dxa" w:w="3547"/>
            <w:tcMar>
              <w:top w:w="20" w:type="dxa"/>
              <w:left w:w="60" w:type="dxa"/>
              <w:bottom w:w="20" w:type="dxa"/>
              <w:right w:w="60" w:type="dxa"/>
            </w:tcMar>
            <w:vAlign w:val="top"/>
          </w:tcPr>
          <w:p>
            <w:pPr>
              <w:spacing w:after="10" w:before="0" w:line="240" w:lineRule="auto"/>
            </w:pPr>
            <w:r>
              <w:rPr>
                <w:sz w:val="16"/>
              </w:rPr>
              <w:t>Filing of 'Customer - name' and 'Advance to Vendor - name' accounts; the 'receivable' role; IFRS receivables note.</w:t>
            </w:r>
          </w:p>
        </w:tc>
        <w:tc>
          <w:tcPr>
            <w:tcW w:type="dxa" w:w="2592"/>
            <w:tcMar>
              <w:top w:w="20" w:type="dxa"/>
              <w:left w:w="60" w:type="dxa"/>
              <w:bottom w:w="20" w:type="dxa"/>
              <w:right w:w="60" w:type="dxa"/>
            </w:tcMar>
            <w:vAlign w:val="top"/>
          </w:tcPr>
          <w:p>
            <w:pPr>
              <w:spacing w:after="10" w:before="0" w:line="240" w:lineRule="auto"/>
            </w:pPr>
            <w:r>
              <w:rPr>
                <w:sz w:val="16"/>
              </w:rPr>
              <w:t>Posting still works; new party accounts are made without a group, with a legacy code (CUST or VADV + 6 characters). IFRS note empty.</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account-payable-group</w:t>
            </w:r>
          </w:p>
        </w:tc>
        <w:tc>
          <w:tcPr>
            <w:tcW w:type="dxa" w:w="1842"/>
            <w:tcMar>
              <w:top w:w="20" w:type="dxa"/>
              <w:left w:w="60" w:type="dxa"/>
              <w:bottom w:w="20" w:type="dxa"/>
              <w:right w:w="60" w:type="dxa"/>
            </w:tcMar>
            <w:vAlign w:val="top"/>
          </w:tcPr>
          <w:p>
            <w:pPr>
              <w:spacing w:after="10" w:before="0" w:line="240" w:lineRule="auto"/>
            </w:pPr>
            <w:r>
              <w:rPr>
                <w:sz w:val="16"/>
              </w:rPr>
              <w:t>Trade payables (vendors)</w:t>
            </w:r>
          </w:p>
        </w:tc>
        <w:tc>
          <w:tcPr>
            <w:tcW w:type="dxa" w:w="955"/>
            <w:tcMar>
              <w:top w:w="20" w:type="dxa"/>
              <w:left w:w="60" w:type="dxa"/>
              <w:bottom w:w="20" w:type="dxa"/>
              <w:right w:w="60" w:type="dxa"/>
            </w:tcMar>
            <w:vAlign w:val="top"/>
          </w:tcPr>
          <w:p>
            <w:pPr>
              <w:spacing w:after="10" w:before="0" w:line="240" w:lineRule="auto"/>
            </w:pPr>
            <w:r>
              <w:rPr>
                <w:sz w:val="16"/>
              </w:rPr>
              <w:t>Liability</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Accounts Payable group (AP)</w:t>
            </w:r>
          </w:p>
        </w:tc>
        <w:tc>
          <w:tcPr>
            <w:tcW w:type="dxa" w:w="3547"/>
            <w:tcMar>
              <w:top w:w="20" w:type="dxa"/>
              <w:left w:w="60" w:type="dxa"/>
              <w:bottom w:w="20" w:type="dxa"/>
              <w:right w:w="60" w:type="dxa"/>
            </w:tcMar>
            <w:vAlign w:val="top"/>
          </w:tcPr>
          <w:p>
            <w:pPr>
              <w:spacing w:after="10" w:before="0" w:line="240" w:lineRule="auto"/>
            </w:pPr>
            <w:r>
              <w:rPr>
                <w:sz w:val="16"/>
              </w:rPr>
              <w:t>Filing of 'Vendor - name' and 'Customer Advance - name' accounts; the 'payable' role; IFRS payables note.</w:t>
            </w:r>
          </w:p>
        </w:tc>
        <w:tc>
          <w:tcPr>
            <w:tcW w:type="dxa" w:w="2592"/>
            <w:tcMar>
              <w:top w:w="20" w:type="dxa"/>
              <w:left w:w="60" w:type="dxa"/>
              <w:bottom w:w="20" w:type="dxa"/>
              <w:right w:w="60" w:type="dxa"/>
            </w:tcMar>
            <w:vAlign w:val="top"/>
          </w:tcPr>
          <w:p>
            <w:pPr>
              <w:spacing w:after="10" w:before="0" w:line="240" w:lineRule="auto"/>
            </w:pPr>
            <w:r>
              <w:rPr>
                <w:sz w:val="16"/>
              </w:rPr>
              <w:t>Posting still works; new party accounts are made without a group, with a legacy code (VEND or CADV + 6 characters). IFRS note empty.</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inventory-asset-group</w:t>
            </w:r>
          </w:p>
        </w:tc>
        <w:tc>
          <w:tcPr>
            <w:tcW w:type="dxa" w:w="1842"/>
            <w:tcMar>
              <w:top w:w="20" w:type="dxa"/>
              <w:left w:w="60" w:type="dxa"/>
              <w:bottom w:w="20" w:type="dxa"/>
              <w:right w:w="60" w:type="dxa"/>
            </w:tcMar>
            <w:vAlign w:val="top"/>
          </w:tcPr>
          <w:p>
            <w:pPr>
              <w:spacing w:after="10" w:before="0" w:line="240" w:lineRule="auto"/>
            </w:pPr>
            <w:r>
              <w:rPr>
                <w:sz w:val="16"/>
              </w:rPr>
              <w:t>Inventory</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Inventory group (INV)</w:t>
            </w:r>
          </w:p>
        </w:tc>
        <w:tc>
          <w:tcPr>
            <w:tcW w:type="dxa" w:w="3547"/>
            <w:tcMar>
              <w:top w:w="20" w:type="dxa"/>
              <w:left w:w="60" w:type="dxa"/>
              <w:bottom w:w="20" w:type="dxa"/>
              <w:right w:w="60" w:type="dxa"/>
            </w:tcMar>
            <w:vAlign w:val="top"/>
          </w:tcPr>
          <w:p>
            <w:pPr>
              <w:spacing w:after="10" w:before="0" w:line="240" w:lineRule="auto"/>
            </w:pPr>
            <w:r>
              <w:rPr>
                <w:sz w:val="16"/>
              </w:rPr>
              <w:t>IFRS notes only (inventories table).</w:t>
            </w:r>
          </w:p>
        </w:tc>
        <w:tc>
          <w:tcPr>
            <w:tcW w:type="dxa" w:w="2592"/>
            <w:tcMar>
              <w:top w:w="20" w:type="dxa"/>
              <w:left w:w="60" w:type="dxa"/>
              <w:bottom w:w="20" w:type="dxa"/>
              <w:right w:w="60" w:type="dxa"/>
            </w:tcMar>
            <w:vAlign w:val="top"/>
          </w:tcPr>
          <w:p>
            <w:pPr>
              <w:spacing w:after="10" w:before="0" w:line="240" w:lineRule="auto"/>
            </w:pPr>
            <w:r>
              <w:rPr>
                <w:sz w:val="16"/>
              </w:rPr>
              <w:t>The IFRS inventories note shows nothing. No posting is affected.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sales-income-group</w:t>
            </w:r>
          </w:p>
        </w:tc>
        <w:tc>
          <w:tcPr>
            <w:tcW w:type="dxa" w:w="1842"/>
            <w:tcMar>
              <w:top w:w="20" w:type="dxa"/>
              <w:left w:w="60" w:type="dxa"/>
              <w:bottom w:w="20" w:type="dxa"/>
              <w:right w:w="60" w:type="dxa"/>
            </w:tcMar>
            <w:vAlign w:val="top"/>
          </w:tcPr>
          <w:p>
            <w:pPr>
              <w:spacing w:after="10" w:before="0" w:line="240" w:lineRule="auto"/>
            </w:pPr>
            <w:r>
              <w:rPr>
                <w:sz w:val="16"/>
              </w:rPr>
              <w:t>Sales income</w:t>
            </w:r>
          </w:p>
        </w:tc>
        <w:tc>
          <w:tcPr>
            <w:tcW w:type="dxa" w:w="955"/>
            <w:tcMar>
              <w:top w:w="20" w:type="dxa"/>
              <w:left w:w="60" w:type="dxa"/>
              <w:bottom w:w="20" w:type="dxa"/>
              <w:right w:w="60" w:type="dxa"/>
            </w:tcMar>
            <w:vAlign w:val="top"/>
          </w:tcPr>
          <w:p>
            <w:pPr>
              <w:spacing w:after="10" w:before="0" w:line="240" w:lineRule="auto"/>
            </w:pPr>
            <w:r>
              <w:rPr>
                <w:sz w:val="16"/>
              </w:rPr>
              <w:t>Income</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Sales Income group (SAL)</w:t>
            </w:r>
          </w:p>
        </w:tc>
        <w:tc>
          <w:tcPr>
            <w:tcW w:type="dxa" w:w="3547"/>
            <w:tcMar>
              <w:top w:w="20" w:type="dxa"/>
              <w:left w:w="60" w:type="dxa"/>
              <w:bottom w:w="20" w:type="dxa"/>
              <w:right w:w="60" w:type="dxa"/>
            </w:tcMar>
            <w:vAlign w:val="top"/>
          </w:tcPr>
          <w:p>
            <w:pPr>
              <w:spacing w:after="10" w:before="0" w:line="240" w:lineRule="auto"/>
            </w:pPr>
            <w:r>
              <w:rPr>
                <w:sz w:val="16"/>
              </w:rPr>
              <w:t>Profit and loss and dashboard: income accounts in this group and its sub-groups are revenue.</w:t>
            </w:r>
          </w:p>
        </w:tc>
        <w:tc>
          <w:tcPr>
            <w:tcW w:type="dxa" w:w="2592"/>
            <w:tcMar>
              <w:top w:w="20" w:type="dxa"/>
              <w:left w:w="60" w:type="dxa"/>
              <w:bottom w:w="20" w:type="dxa"/>
              <w:right w:w="60" w:type="dxa"/>
            </w:tcMar>
            <w:vAlign w:val="top"/>
          </w:tcPr>
          <w:p>
            <w:pPr>
              <w:spacing w:after="10" w:before="0" w:line="240" w:lineRule="auto"/>
            </w:pPr>
            <w:r>
              <w:rPr>
                <w:sz w:val="16"/>
              </w:rPr>
              <w:t>Revenue reads zero, all income is 'other income', gross profit is wrong.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purchase-expense-group</w:t>
            </w:r>
          </w:p>
        </w:tc>
        <w:tc>
          <w:tcPr>
            <w:tcW w:type="dxa" w:w="1842"/>
            <w:tcMar>
              <w:top w:w="20" w:type="dxa"/>
              <w:left w:w="60" w:type="dxa"/>
              <w:bottom w:w="20" w:type="dxa"/>
              <w:right w:w="60" w:type="dxa"/>
            </w:tcMar>
            <w:vAlign w:val="top"/>
          </w:tcPr>
          <w:p>
            <w:pPr>
              <w:spacing w:after="10" w:before="0" w:line="240" w:lineRule="auto"/>
            </w:pPr>
            <w:r>
              <w:rPr>
                <w:sz w:val="16"/>
              </w:rPr>
              <w:t>Purchases / cost of goods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Cost of Goods Sold group (COGS)</w:t>
            </w:r>
          </w:p>
        </w:tc>
        <w:tc>
          <w:tcPr>
            <w:tcW w:type="dxa" w:w="3547"/>
            <w:tcMar>
              <w:top w:w="20" w:type="dxa"/>
              <w:left w:w="60" w:type="dxa"/>
              <w:bottom w:w="20" w:type="dxa"/>
              <w:right w:w="60" w:type="dxa"/>
            </w:tcMar>
            <w:vAlign w:val="top"/>
          </w:tcPr>
          <w:p>
            <w:pPr>
              <w:spacing w:after="10" w:before="0" w:line="240" w:lineRule="auto"/>
            </w:pPr>
            <w:r>
              <w:rPr>
                <w:sz w:val="16"/>
              </w:rPr>
              <w:t>Profit and loss and dashboard: expense accounts in this group and its sub-groups are direct costs.</w:t>
            </w:r>
          </w:p>
        </w:tc>
        <w:tc>
          <w:tcPr>
            <w:tcW w:type="dxa" w:w="2592"/>
            <w:tcMar>
              <w:top w:w="20" w:type="dxa"/>
              <w:left w:w="60" w:type="dxa"/>
              <w:bottom w:w="20" w:type="dxa"/>
              <w:right w:w="60" w:type="dxa"/>
            </w:tcMar>
            <w:vAlign w:val="top"/>
          </w:tcPr>
          <w:p>
            <w:pPr>
              <w:spacing w:after="10" w:before="0" w:line="240" w:lineRule="auto"/>
            </w:pPr>
            <w:r>
              <w:rPr>
                <w:sz w:val="16"/>
              </w:rPr>
              <w:t>Direct costs read zero; gross profit is overstated.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direct-income-group</w:t>
            </w:r>
          </w:p>
        </w:tc>
        <w:tc>
          <w:tcPr>
            <w:tcW w:type="dxa" w:w="1842"/>
            <w:tcMar>
              <w:top w:w="20" w:type="dxa"/>
              <w:left w:w="60" w:type="dxa"/>
              <w:bottom w:w="20" w:type="dxa"/>
              <w:right w:w="60" w:type="dxa"/>
            </w:tcMar>
            <w:vAlign w:val="top"/>
          </w:tcPr>
          <w:p>
            <w:pPr>
              <w:spacing w:after="10" w:before="0" w:line="240" w:lineRule="auto"/>
            </w:pPr>
            <w:r>
              <w:rPr>
                <w:sz w:val="16"/>
              </w:rPr>
              <w:t>Direct income</w:t>
            </w:r>
          </w:p>
        </w:tc>
        <w:tc>
          <w:tcPr>
            <w:tcW w:type="dxa" w:w="955"/>
            <w:tcMar>
              <w:top w:w="20" w:type="dxa"/>
              <w:left w:w="60" w:type="dxa"/>
              <w:bottom w:w="20" w:type="dxa"/>
              <w:right w:w="60" w:type="dxa"/>
            </w:tcMar>
            <w:vAlign w:val="top"/>
          </w:tcPr>
          <w:p>
            <w:pPr>
              <w:spacing w:after="10" w:before="0" w:line="240" w:lineRule="auto"/>
            </w:pPr>
            <w:r>
              <w:rPr>
                <w:sz w:val="16"/>
              </w:rPr>
              <w:t>Income</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Sales Income group (SAL)</w:t>
            </w:r>
          </w:p>
        </w:tc>
        <w:tc>
          <w:tcPr>
            <w:tcW w:type="dxa" w:w="3547"/>
            <w:tcMar>
              <w:top w:w="20" w:type="dxa"/>
              <w:left w:w="60" w:type="dxa"/>
              <w:bottom w:w="20" w:type="dxa"/>
              <w:right w:w="60" w:type="dxa"/>
            </w:tcMar>
            <w:vAlign w:val="top"/>
          </w:tcPr>
          <w:p>
            <w:pPr>
              <w:spacing w:after="10" w:before="0" w:line="240" w:lineRule="auto"/>
            </w:pPr>
            <w:r>
              <w:rPr>
                <w:sz w:val="16"/>
              </w:rPr>
              <w:t>Added to sales-income-group when deciding what is revenue.</w:t>
            </w:r>
          </w:p>
        </w:tc>
        <w:tc>
          <w:tcPr>
            <w:tcW w:type="dxa" w:w="2592"/>
            <w:tcMar>
              <w:top w:w="20" w:type="dxa"/>
              <w:left w:w="60" w:type="dxa"/>
              <w:bottom w:w="20" w:type="dxa"/>
              <w:right w:w="60" w:type="dxa"/>
            </w:tcMar>
            <w:vAlign w:val="top"/>
          </w:tcPr>
          <w:p>
            <w:pPr>
              <w:spacing w:after="10" w:before="0" w:line="240" w:lineRule="auto"/>
            </w:pPr>
            <w:r>
              <w:rPr>
                <w:sz w:val="16"/>
              </w:rPr>
              <w:t>Nothing, if sales-income-group is mapped.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indirect-income-group</w:t>
            </w:r>
          </w:p>
        </w:tc>
        <w:tc>
          <w:tcPr>
            <w:tcW w:type="dxa" w:w="1842"/>
            <w:tcMar>
              <w:top w:w="20" w:type="dxa"/>
              <w:left w:w="60" w:type="dxa"/>
              <w:bottom w:w="20" w:type="dxa"/>
              <w:right w:w="60" w:type="dxa"/>
            </w:tcMar>
            <w:vAlign w:val="top"/>
          </w:tcPr>
          <w:p>
            <w:pPr>
              <w:spacing w:after="10" w:before="0" w:line="240" w:lineRule="auto"/>
            </w:pPr>
            <w:r>
              <w:rPr>
                <w:sz w:val="16"/>
              </w:rPr>
              <w:t>Indirect income</w:t>
            </w:r>
          </w:p>
        </w:tc>
        <w:tc>
          <w:tcPr>
            <w:tcW w:type="dxa" w:w="955"/>
            <w:tcMar>
              <w:top w:w="20" w:type="dxa"/>
              <w:left w:w="60" w:type="dxa"/>
              <w:bottom w:w="20" w:type="dxa"/>
              <w:right w:w="60" w:type="dxa"/>
            </w:tcMar>
            <w:vAlign w:val="top"/>
          </w:tcPr>
          <w:p>
            <w:pPr>
              <w:spacing w:after="10" w:before="0" w:line="240" w:lineRule="auto"/>
            </w:pPr>
            <w:r>
              <w:rPr>
                <w:sz w:val="16"/>
              </w:rPr>
              <w:t>Income</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Other Income group (OI)</w:t>
            </w:r>
          </w:p>
        </w:tc>
        <w:tc>
          <w:tcPr>
            <w:tcW w:type="dxa" w:w="3547"/>
            <w:tcMar>
              <w:top w:w="20" w:type="dxa"/>
              <w:left w:w="60" w:type="dxa"/>
              <w:bottom w:w="20" w:type="dxa"/>
              <w:right w:w="60" w:type="dxa"/>
            </w:tcMar>
            <w:vAlign w:val="top"/>
          </w:tcPr>
          <w:p>
            <w:pPr>
              <w:spacing w:after="10" w:before="0" w:line="240" w:lineRule="auto"/>
            </w:pPr>
            <w:r>
              <w:rPr>
                <w:sz w:val="16"/>
              </w:rPr>
              <w:t>Not read by any code. Income outside the direct groups is other income.</w:t>
            </w:r>
          </w:p>
        </w:tc>
        <w:tc>
          <w:tcPr>
            <w:tcW w:type="dxa" w:w="2592"/>
            <w:tcMar>
              <w:top w:w="20" w:type="dxa"/>
              <w:left w:w="60" w:type="dxa"/>
              <w:bottom w:w="20" w:type="dxa"/>
              <w:right w:w="60" w:type="dxa"/>
            </w:tcMar>
            <w:vAlign w:val="top"/>
          </w:tcPr>
          <w:p>
            <w:pPr>
              <w:spacing w:after="10" w:before="0" w:line="240" w:lineRule="auto"/>
            </w:pPr>
            <w:r>
              <w:rPr>
                <w:sz w:val="16"/>
              </w:rPr>
              <w:t>Nothing.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direct-expense-group</w:t>
            </w:r>
          </w:p>
        </w:tc>
        <w:tc>
          <w:tcPr>
            <w:tcW w:type="dxa" w:w="1842"/>
            <w:tcMar>
              <w:top w:w="20" w:type="dxa"/>
              <w:left w:w="60" w:type="dxa"/>
              <w:bottom w:w="20" w:type="dxa"/>
              <w:right w:w="60" w:type="dxa"/>
            </w:tcMar>
            <w:vAlign w:val="top"/>
          </w:tcPr>
          <w:p>
            <w:pPr>
              <w:spacing w:after="10" w:before="0" w:line="240" w:lineRule="auto"/>
            </w:pPr>
            <w:r>
              <w:rPr>
                <w:sz w:val="16"/>
              </w:rPr>
              <w:t>Direct expenses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Cost of Goods Sold group (COGS)</w:t>
            </w:r>
          </w:p>
        </w:tc>
        <w:tc>
          <w:tcPr>
            <w:tcW w:type="dxa" w:w="3547"/>
            <w:tcMar>
              <w:top w:w="20" w:type="dxa"/>
              <w:left w:w="60" w:type="dxa"/>
              <w:bottom w:w="20" w:type="dxa"/>
              <w:right w:w="60" w:type="dxa"/>
            </w:tcMar>
            <w:vAlign w:val="top"/>
          </w:tcPr>
          <w:p>
            <w:pPr>
              <w:spacing w:after="10" w:before="0" w:line="240" w:lineRule="auto"/>
            </w:pPr>
            <w:r>
              <w:rPr>
                <w:sz w:val="16"/>
              </w:rPr>
              <w:t>Added to purchase-expense-group when deciding what is a direct cost.</w:t>
            </w:r>
          </w:p>
        </w:tc>
        <w:tc>
          <w:tcPr>
            <w:tcW w:type="dxa" w:w="2592"/>
            <w:tcMar>
              <w:top w:w="20" w:type="dxa"/>
              <w:left w:w="60" w:type="dxa"/>
              <w:bottom w:w="20" w:type="dxa"/>
              <w:right w:w="60" w:type="dxa"/>
            </w:tcMar>
            <w:vAlign w:val="top"/>
          </w:tcPr>
          <w:p>
            <w:pPr>
              <w:spacing w:after="10" w:before="0" w:line="240" w:lineRule="auto"/>
            </w:pPr>
            <w:r>
              <w:rPr>
                <w:sz w:val="16"/>
              </w:rPr>
              <w:t>Nothing, if purchase-expense-group is mapped.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indirect-expense-group</w:t>
            </w:r>
          </w:p>
        </w:tc>
        <w:tc>
          <w:tcPr>
            <w:tcW w:type="dxa" w:w="1842"/>
            <w:tcMar>
              <w:top w:w="20" w:type="dxa"/>
              <w:left w:w="60" w:type="dxa"/>
              <w:bottom w:w="20" w:type="dxa"/>
              <w:right w:w="60" w:type="dxa"/>
            </w:tcMar>
            <w:vAlign w:val="top"/>
          </w:tcPr>
          <w:p>
            <w:pPr>
              <w:spacing w:after="10" w:before="0" w:line="240" w:lineRule="auto"/>
            </w:pPr>
            <w:r>
              <w:rPr>
                <w:sz w:val="16"/>
              </w:rPr>
              <w:t>Indirect expenses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Operating Expenses group (OPEX)</w:t>
            </w:r>
          </w:p>
        </w:tc>
        <w:tc>
          <w:tcPr>
            <w:tcW w:type="dxa" w:w="3547"/>
            <w:tcMar>
              <w:top w:w="20" w:type="dxa"/>
              <w:left w:w="60" w:type="dxa"/>
              <w:bottom w:w="20" w:type="dxa"/>
              <w:right w:w="60" w:type="dxa"/>
            </w:tcMar>
            <w:vAlign w:val="top"/>
          </w:tcPr>
          <w:p>
            <w:pPr>
              <w:spacing w:after="10" w:before="0" w:line="240" w:lineRule="auto"/>
            </w:pPr>
            <w:r>
              <w:rPr>
                <w:sz w:val="16"/>
              </w:rPr>
              <w:t>Not read by any code. Expenses outside the direct groups are operating expenses.</w:t>
            </w:r>
          </w:p>
        </w:tc>
        <w:tc>
          <w:tcPr>
            <w:tcW w:type="dxa" w:w="2592"/>
            <w:tcMar>
              <w:top w:w="20" w:type="dxa"/>
              <w:left w:w="60" w:type="dxa"/>
              <w:bottom w:w="20" w:type="dxa"/>
              <w:right w:w="60" w:type="dxa"/>
            </w:tcMar>
            <w:vAlign w:val="top"/>
          </w:tcPr>
          <w:p>
            <w:pPr>
              <w:spacing w:after="10" w:before="0" w:line="240" w:lineRule="auto"/>
            </w:pPr>
            <w:r>
              <w:rPr>
                <w:sz w:val="16"/>
              </w:rPr>
              <w:t>Nothing.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share-capital-group</w:t>
            </w:r>
          </w:p>
        </w:tc>
        <w:tc>
          <w:tcPr>
            <w:tcW w:type="dxa" w:w="1842"/>
            <w:tcMar>
              <w:top w:w="20" w:type="dxa"/>
              <w:left w:w="60" w:type="dxa"/>
              <w:bottom w:w="20" w:type="dxa"/>
              <w:right w:w="60" w:type="dxa"/>
            </w:tcMar>
            <w:vAlign w:val="top"/>
          </w:tcPr>
          <w:p>
            <w:pPr>
              <w:spacing w:after="10" w:before="0" w:line="240" w:lineRule="auto"/>
            </w:pPr>
            <w:r>
              <w:rPr>
                <w:sz w:val="16"/>
              </w:rPr>
              <w:t>Share capital &amp; equity</w:t>
            </w:r>
          </w:p>
        </w:tc>
        <w:tc>
          <w:tcPr>
            <w:tcW w:type="dxa" w:w="955"/>
            <w:tcMar>
              <w:top w:w="20" w:type="dxa"/>
              <w:left w:w="60" w:type="dxa"/>
              <w:bottom w:w="20" w:type="dxa"/>
              <w:right w:w="60" w:type="dxa"/>
            </w:tcMar>
            <w:vAlign w:val="top"/>
          </w:tcPr>
          <w:p>
            <w:pPr>
              <w:spacing w:after="10" w:before="0" w:line="240" w:lineRule="auto"/>
            </w:pPr>
            <w:r>
              <w:rPr>
                <w:sz w:val="16"/>
              </w:rPr>
              <w:t>Equity</w:t>
            </w:r>
          </w:p>
        </w:tc>
        <w:tc>
          <w:tcPr>
            <w:tcW w:type="dxa" w:w="750"/>
            <w:tcMar>
              <w:top w:w="20" w:type="dxa"/>
              <w:left w:w="60" w:type="dxa"/>
              <w:bottom w:w="20" w:type="dxa"/>
              <w:right w:w="60" w:type="dxa"/>
            </w:tcMar>
            <w:vAlign w:val="top"/>
          </w:tcPr>
          <w:p>
            <w:pPr>
              <w:spacing w:after="10" w:before="0" w:line="240" w:lineRule="auto"/>
            </w:pPr>
            <w:r>
              <w:rPr>
                <w:sz w:val="16"/>
              </w:rPr>
              <w:t>none</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none (header)</w:t>
            </w:r>
          </w:p>
        </w:tc>
        <w:tc>
          <w:tcPr>
            <w:tcW w:type="dxa" w:w="3547"/>
            <w:tcMar>
              <w:top w:w="20" w:type="dxa"/>
              <w:left w:w="60" w:type="dxa"/>
              <w:bottom w:w="20" w:type="dxa"/>
              <w:right w:w="60" w:type="dxa"/>
            </w:tcMar>
            <w:vAlign w:val="top"/>
          </w:tcPr>
          <w:p>
            <w:pPr>
              <w:spacing w:after="10" w:before="0" w:line="240" w:lineRule="auto"/>
            </w:pPr>
            <w:r>
              <w:rPr>
                <w:sz w:val="16"/>
              </w:rPr>
              <w:t>Header only. Equity is recognised by category.</w:t>
            </w:r>
          </w:p>
        </w:tc>
        <w:tc>
          <w:tcPr>
            <w:tcW w:type="dxa" w:w="2592"/>
            <w:tcMar>
              <w:top w:w="20" w:type="dxa"/>
              <w:left w:w="60" w:type="dxa"/>
              <w:bottom w:w="20" w:type="dxa"/>
              <w:right w:w="60" w:type="dxa"/>
            </w:tcMar>
            <w:vAlign w:val="top"/>
          </w:tcPr>
          <w:p>
            <w:pPr>
              <w:spacing w:after="10" w:before="0" w:line="240" w:lineRule="auto"/>
            </w:pPr>
            <w:r>
              <w:rPr>
                <w:sz w:val="16"/>
              </w:rPr>
              <w:t>Cannot be mapped (NOT_MAPPABLE).</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pdc-receipt-group</w:t>
            </w:r>
          </w:p>
        </w:tc>
        <w:tc>
          <w:tcPr>
            <w:tcW w:type="dxa" w:w="1842"/>
            <w:tcMar>
              <w:top w:w="20" w:type="dxa"/>
              <w:left w:w="60" w:type="dxa"/>
              <w:bottom w:w="20" w:type="dxa"/>
              <w:right w:w="60" w:type="dxa"/>
            </w:tcMar>
            <w:vAlign w:val="top"/>
          </w:tcPr>
          <w:p>
            <w:pPr>
              <w:spacing w:after="10" w:before="0" w:line="240" w:lineRule="auto"/>
            </w:pPr>
            <w:r>
              <w:rPr>
                <w:sz w:val="16"/>
              </w:rPr>
              <w:t>Post-dated cheques received</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Post-dated Cheques Received group (PDCR)</w:t>
            </w:r>
          </w:p>
        </w:tc>
        <w:tc>
          <w:tcPr>
            <w:tcW w:type="dxa" w:w="3547"/>
            <w:tcMar>
              <w:top w:w="20" w:type="dxa"/>
              <w:left w:w="60" w:type="dxa"/>
              <w:bottom w:w="20" w:type="dxa"/>
              <w:right w:w="60" w:type="dxa"/>
            </w:tcMar>
            <w:vAlign w:val="top"/>
          </w:tcPr>
          <w:p>
            <w:pPr>
              <w:spacing w:after="10" w:before="0" w:line="240" w:lineRule="auto"/>
            </w:pPr>
            <w:r>
              <w:rPr>
                <w:sz w:val="16"/>
              </w:rPr>
              <w:t>Not read by any code. The default Cheques in Hand account sits in this group.</w:t>
            </w:r>
          </w:p>
        </w:tc>
        <w:tc>
          <w:tcPr>
            <w:tcW w:type="dxa" w:w="2592"/>
            <w:tcMar>
              <w:top w:w="20" w:type="dxa"/>
              <w:left w:w="60" w:type="dxa"/>
              <w:bottom w:w="20" w:type="dxa"/>
              <w:right w:w="60" w:type="dxa"/>
            </w:tcMar>
            <w:vAlign w:val="top"/>
          </w:tcPr>
          <w:p>
            <w:pPr>
              <w:spacing w:after="10" w:before="0" w:line="240" w:lineRule="auto"/>
            </w:pPr>
            <w:r>
              <w:rPr>
                <w:sz w:val="16"/>
              </w:rPr>
              <w:t>Nothing.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pdc-issue-group</w:t>
            </w:r>
          </w:p>
        </w:tc>
        <w:tc>
          <w:tcPr>
            <w:tcW w:type="dxa" w:w="1842"/>
            <w:tcMar>
              <w:top w:w="20" w:type="dxa"/>
              <w:left w:w="60" w:type="dxa"/>
              <w:bottom w:w="20" w:type="dxa"/>
              <w:right w:w="60" w:type="dxa"/>
            </w:tcMar>
            <w:vAlign w:val="top"/>
          </w:tcPr>
          <w:p>
            <w:pPr>
              <w:spacing w:after="10" w:before="0" w:line="240" w:lineRule="auto"/>
            </w:pPr>
            <w:r>
              <w:rPr>
                <w:sz w:val="16"/>
              </w:rPr>
              <w:t>Post-dated cheques issued</w:t>
            </w:r>
          </w:p>
        </w:tc>
        <w:tc>
          <w:tcPr>
            <w:tcW w:type="dxa" w:w="955"/>
            <w:tcMar>
              <w:top w:w="20" w:type="dxa"/>
              <w:left w:w="60" w:type="dxa"/>
              <w:bottom w:w="20" w:type="dxa"/>
              <w:right w:w="60" w:type="dxa"/>
            </w:tcMar>
            <w:vAlign w:val="top"/>
          </w:tcPr>
          <w:p>
            <w:pPr>
              <w:spacing w:after="10" w:before="0" w:line="240" w:lineRule="auto"/>
            </w:pPr>
            <w:r>
              <w:rPr>
                <w:sz w:val="16"/>
              </w:rPr>
              <w:t>Liability</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Post-dated Cheques Issued group (PDCI)</w:t>
            </w:r>
          </w:p>
        </w:tc>
        <w:tc>
          <w:tcPr>
            <w:tcW w:type="dxa" w:w="3547"/>
            <w:tcMar>
              <w:top w:w="20" w:type="dxa"/>
              <w:left w:w="60" w:type="dxa"/>
              <w:bottom w:w="20" w:type="dxa"/>
              <w:right w:w="60" w:type="dxa"/>
            </w:tcMar>
            <w:vAlign w:val="top"/>
          </w:tcPr>
          <w:p>
            <w:pPr>
              <w:spacing w:after="10" w:before="0" w:line="240" w:lineRule="auto"/>
            </w:pPr>
            <w:r>
              <w:rPr>
                <w:sz w:val="16"/>
              </w:rPr>
              <w:t>Not read by any code. The default Cheques Issued account sits in this group.</w:t>
            </w:r>
          </w:p>
        </w:tc>
        <w:tc>
          <w:tcPr>
            <w:tcW w:type="dxa" w:w="2592"/>
            <w:tcMar>
              <w:top w:w="20" w:type="dxa"/>
              <w:left w:w="60" w:type="dxa"/>
              <w:bottom w:w="20" w:type="dxa"/>
              <w:right w:w="60" w:type="dxa"/>
            </w:tcMar>
            <w:vAlign w:val="top"/>
          </w:tcPr>
          <w:p>
            <w:pPr>
              <w:spacing w:after="10" w:before="0" w:line="240" w:lineRule="auto"/>
            </w:pPr>
            <w:r>
              <w:rPr>
                <w:sz w:val="16"/>
              </w:rPr>
              <w:t>Nothing.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credit-card-group</w:t>
            </w:r>
          </w:p>
        </w:tc>
        <w:tc>
          <w:tcPr>
            <w:tcW w:type="dxa" w:w="1842"/>
            <w:tcMar>
              <w:top w:w="20" w:type="dxa"/>
              <w:left w:w="60" w:type="dxa"/>
              <w:bottom w:w="20" w:type="dxa"/>
              <w:right w:w="60" w:type="dxa"/>
            </w:tcMar>
            <w:vAlign w:val="top"/>
          </w:tcPr>
          <w:p>
            <w:pPr>
              <w:spacing w:after="10" w:before="0" w:line="240" w:lineRule="auto"/>
            </w:pPr>
            <w:r>
              <w:rPr>
                <w:sz w:val="16"/>
              </w:rPr>
              <w:t>Company credit cards</w:t>
            </w:r>
          </w:p>
        </w:tc>
        <w:tc>
          <w:tcPr>
            <w:tcW w:type="dxa" w:w="955"/>
            <w:tcMar>
              <w:top w:w="20" w:type="dxa"/>
              <w:left w:w="60" w:type="dxa"/>
              <w:bottom w:w="20" w:type="dxa"/>
              <w:right w:w="60" w:type="dxa"/>
            </w:tcMar>
            <w:vAlign w:val="top"/>
          </w:tcPr>
          <w:p>
            <w:pPr>
              <w:spacing w:after="10" w:before="0" w:line="240" w:lineRule="auto"/>
            </w:pPr>
            <w:r>
              <w:rPr>
                <w:sz w:val="16"/>
              </w:rPr>
              <w:t>Liability</w:t>
            </w:r>
          </w:p>
        </w:tc>
        <w:tc>
          <w:tcPr>
            <w:tcW w:type="dxa" w:w="750"/>
            <w:tcMar>
              <w:top w:w="20" w:type="dxa"/>
              <w:left w:w="60" w:type="dxa"/>
              <w:bottom w:w="20" w:type="dxa"/>
              <w:right w:w="60" w:type="dxa"/>
            </w:tcMar>
            <w:vAlign w:val="top"/>
          </w:tcPr>
          <w:p>
            <w:pPr>
              <w:spacing w:after="10" w:before="0" w:line="240" w:lineRule="auto"/>
            </w:pPr>
            <w:r>
              <w:rPr>
                <w:sz w:val="16"/>
              </w:rPr>
              <w:t>group</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Credit Cards group (CC)</w:t>
            </w:r>
          </w:p>
        </w:tc>
        <w:tc>
          <w:tcPr>
            <w:tcW w:type="dxa" w:w="3547"/>
            <w:tcMar>
              <w:top w:w="20" w:type="dxa"/>
              <w:left w:w="60" w:type="dxa"/>
              <w:bottom w:w="20" w:type="dxa"/>
              <w:right w:w="60" w:type="dxa"/>
            </w:tcMar>
            <w:vAlign w:val="top"/>
          </w:tcPr>
          <w:p>
            <w:pPr>
              <w:spacing w:after="10" w:before="0" w:line="240" w:lineRule="auto"/>
            </w:pPr>
            <w:r>
              <w:rPr>
                <w:sz w:val="16"/>
              </w:rPr>
              <w:t>Card master: a credit card's liability account 'Credit Card - label' is created here; the 'creditCard' role.</w:t>
            </w:r>
          </w:p>
        </w:tc>
        <w:tc>
          <w:tcPr>
            <w:tcW w:type="dxa" w:w="2592"/>
            <w:tcMar>
              <w:top w:w="20" w:type="dxa"/>
              <w:left w:w="60" w:type="dxa"/>
              <w:bottom w:w="20" w:type="dxa"/>
              <w:right w:w="60" w:type="dxa"/>
            </w:tcMar>
            <w:vAlign w:val="top"/>
          </w:tcPr>
          <w:p>
            <w:pPr>
              <w:spacing w:after="10" w:before="0" w:line="240" w:lineRule="auto"/>
            </w:pPr>
            <w:r>
              <w:rPr>
                <w:sz w:val="16"/>
              </w:rPr>
              <w:t>A credit card cannot be added (ACCOUNT_NOT_CONFIGURED after one retry).</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pdc-receipt</w:t>
            </w:r>
          </w:p>
        </w:tc>
        <w:tc>
          <w:tcPr>
            <w:tcW w:type="dxa" w:w="1842"/>
            <w:tcMar>
              <w:top w:w="20" w:type="dxa"/>
              <w:left w:w="60" w:type="dxa"/>
              <w:bottom w:w="20" w:type="dxa"/>
              <w:right w:w="60" w:type="dxa"/>
            </w:tcMar>
            <w:vAlign w:val="top"/>
          </w:tcPr>
          <w:p>
            <w:pPr>
              <w:spacing w:after="10" w:before="0" w:line="240" w:lineRule="auto"/>
            </w:pPr>
            <w:r>
              <w:rPr>
                <w:sz w:val="16"/>
              </w:rPr>
              <w:t>Cheques in hand (received, not yet cleared)</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Cheques in Hand (PDCR0001)</w:t>
            </w:r>
          </w:p>
        </w:tc>
        <w:tc>
          <w:tcPr>
            <w:tcW w:type="dxa" w:w="3547"/>
            <w:tcMar>
              <w:top w:w="20" w:type="dxa"/>
              <w:left w:w="60" w:type="dxa"/>
              <w:bottom w:w="20" w:type="dxa"/>
              <w:right w:w="60" w:type="dxa"/>
            </w:tcMar>
            <w:vAlign w:val="top"/>
          </w:tcPr>
          <w:p>
            <w:pPr>
              <w:spacing w:after="10" w:before="0" w:line="240" w:lineRule="auto"/>
            </w:pPr>
            <w:r>
              <w:rPr>
                <w:sz w:val="16"/>
              </w:rPr>
              <w:t>Cheque received: debited here until it clears; clearing, bounce and cancel.</w:t>
            </w:r>
          </w:p>
        </w:tc>
        <w:tc>
          <w:tcPr>
            <w:tcW w:type="dxa" w:w="2592"/>
            <w:tcMar>
              <w:top w:w="20" w:type="dxa"/>
              <w:left w:w="60" w:type="dxa"/>
              <w:bottom w:w="20" w:type="dxa"/>
              <w:right w:w="60" w:type="dxa"/>
            </w:tcMar>
            <w:vAlign w:val="top"/>
          </w:tcPr>
          <w:p>
            <w:pPr>
              <w:spacing w:after="10" w:before="0" w:line="240" w:lineRule="auto"/>
            </w:pPr>
            <w:r>
              <w:rPr>
                <w:sz w:val="16"/>
              </w:rPr>
              <w:t>Cheque receipts and clearings fail (after one attempt to restore the defaults).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pdc-issue</w:t>
            </w:r>
          </w:p>
        </w:tc>
        <w:tc>
          <w:tcPr>
            <w:tcW w:type="dxa" w:w="1842"/>
            <w:tcMar>
              <w:top w:w="20" w:type="dxa"/>
              <w:left w:w="60" w:type="dxa"/>
              <w:bottom w:w="20" w:type="dxa"/>
              <w:right w:w="60" w:type="dxa"/>
            </w:tcMar>
            <w:vAlign w:val="top"/>
          </w:tcPr>
          <w:p>
            <w:pPr>
              <w:spacing w:after="10" w:before="0" w:line="240" w:lineRule="auto"/>
            </w:pPr>
            <w:r>
              <w:rPr>
                <w:sz w:val="16"/>
              </w:rPr>
              <w:t>Cheques issued (not yet cleared)</w:t>
            </w:r>
          </w:p>
        </w:tc>
        <w:tc>
          <w:tcPr>
            <w:tcW w:type="dxa" w:w="955"/>
            <w:tcMar>
              <w:top w:w="20" w:type="dxa"/>
              <w:left w:w="60" w:type="dxa"/>
              <w:bottom w:w="20" w:type="dxa"/>
              <w:right w:w="60" w:type="dxa"/>
            </w:tcMar>
            <w:vAlign w:val="top"/>
          </w:tcPr>
          <w:p>
            <w:pPr>
              <w:spacing w:after="10" w:before="0" w:line="240" w:lineRule="auto"/>
            </w:pPr>
            <w:r>
              <w:rPr>
                <w:sz w:val="16"/>
              </w:rPr>
              <w:t>Liability</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Cheques Issued (PDCI0001)</w:t>
            </w:r>
          </w:p>
        </w:tc>
        <w:tc>
          <w:tcPr>
            <w:tcW w:type="dxa" w:w="3547"/>
            <w:tcMar>
              <w:top w:w="20" w:type="dxa"/>
              <w:left w:w="60" w:type="dxa"/>
              <w:bottom w:w="20" w:type="dxa"/>
              <w:right w:w="60" w:type="dxa"/>
            </w:tcMar>
            <w:vAlign w:val="top"/>
          </w:tcPr>
          <w:p>
            <w:pPr>
              <w:spacing w:after="10" w:before="0" w:line="240" w:lineRule="auto"/>
            </w:pPr>
            <w:r>
              <w:rPr>
                <w:sz w:val="16"/>
              </w:rPr>
              <w:t>Cheque issued: credited here until it clears.</w:t>
            </w:r>
          </w:p>
        </w:tc>
        <w:tc>
          <w:tcPr>
            <w:tcW w:type="dxa" w:w="2592"/>
            <w:tcMar>
              <w:top w:w="20" w:type="dxa"/>
              <w:left w:w="60" w:type="dxa"/>
              <w:bottom w:w="20" w:type="dxa"/>
              <w:right w:w="60" w:type="dxa"/>
            </w:tcMar>
            <w:vAlign w:val="top"/>
          </w:tcPr>
          <w:p>
            <w:pPr>
              <w:spacing w:after="10" w:before="0" w:line="240" w:lineRule="auto"/>
            </w:pPr>
            <w:r>
              <w:rPr>
                <w:sz w:val="16"/>
              </w:rPr>
              <w:t>Cheque payments and clearings fail (after one attempt to restore the defaults).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card-charges</w:t>
            </w:r>
          </w:p>
        </w:tc>
        <w:tc>
          <w:tcPr>
            <w:tcW w:type="dxa" w:w="1842"/>
            <w:tcMar>
              <w:top w:w="20" w:type="dxa"/>
              <w:left w:w="60" w:type="dxa"/>
              <w:bottom w:w="20" w:type="dxa"/>
              <w:right w:w="60" w:type="dxa"/>
            </w:tcMar>
            <w:vAlign w:val="top"/>
          </w:tcPr>
          <w:p>
            <w:pPr>
              <w:spacing w:after="10" w:before="0" w:line="240" w:lineRule="auto"/>
            </w:pPr>
            <w:r>
              <w:rPr>
                <w:sz w:val="16"/>
              </w:rPr>
              <w:t>Card processing fees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Card Processing Fees (OPEX0009)</w:t>
            </w:r>
          </w:p>
        </w:tc>
        <w:tc>
          <w:tcPr>
            <w:tcW w:type="dxa" w:w="3547"/>
            <w:tcMar>
              <w:top w:w="20" w:type="dxa"/>
              <w:left w:w="60" w:type="dxa"/>
              <w:bottom w:w="20" w:type="dxa"/>
              <w:right w:w="60" w:type="dxa"/>
            </w:tcMar>
            <w:vAlign w:val="top"/>
          </w:tcPr>
          <w:p>
            <w:pPr>
              <w:spacing w:after="10" w:before="0" w:line="240" w:lineRule="auto"/>
            </w:pPr>
            <w:r>
              <w:rPr>
                <w:sz w:val="16"/>
              </w:rPr>
              <w:t>Card receipt on a terminal whose fee is above zero: the fee is debited here.</w:t>
            </w:r>
          </w:p>
        </w:tc>
        <w:tc>
          <w:tcPr>
            <w:tcW w:type="dxa" w:w="2592"/>
            <w:tcMar>
              <w:top w:w="20" w:type="dxa"/>
              <w:left w:w="60" w:type="dxa"/>
              <w:bottom w:w="20" w:type="dxa"/>
              <w:right w:w="60" w:type="dxa"/>
            </w:tcMar>
            <w:vAlign w:val="top"/>
          </w:tcPr>
          <w:p>
            <w:pPr>
              <w:spacing w:after="10" w:before="0" w:line="240" w:lineRule="auto"/>
            </w:pPr>
            <w:r>
              <w:rPr>
                <w:sz w:val="16"/>
              </w:rPr>
              <w:t>A card receipt with a fee fails; a zero fee needs no account.</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stock-adjustment</w:t>
            </w:r>
          </w:p>
        </w:tc>
        <w:tc>
          <w:tcPr>
            <w:tcW w:type="dxa" w:w="1842"/>
            <w:tcMar>
              <w:top w:w="20" w:type="dxa"/>
              <w:left w:w="60" w:type="dxa"/>
              <w:bottom w:w="20" w:type="dxa"/>
              <w:right w:w="60" w:type="dxa"/>
            </w:tcMar>
            <w:vAlign w:val="top"/>
          </w:tcPr>
          <w:p>
            <w:pPr>
              <w:spacing w:after="10" w:before="0" w:line="240" w:lineRule="auto"/>
            </w:pPr>
            <w:r>
              <w:rPr>
                <w:sz w:val="16"/>
              </w:rPr>
              <w:t>Stock adjustment</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Stock Adjustment (COGS0003)</w:t>
            </w:r>
          </w:p>
        </w:tc>
        <w:tc>
          <w:tcPr>
            <w:tcW w:type="dxa" w:w="3547"/>
            <w:tcMar>
              <w:top w:w="20" w:type="dxa"/>
              <w:left w:w="60" w:type="dxa"/>
              <w:bottom w:w="20" w:type="dxa"/>
              <w:right w:w="60" w:type="dxa"/>
            </w:tcMar>
            <w:vAlign w:val="top"/>
          </w:tcPr>
          <w:p>
            <w:pPr>
              <w:spacing w:after="10" w:before="0" w:line="240" w:lineRule="auto"/>
            </w:pPr>
            <w:r>
              <w:rPr>
                <w:sz w:val="16"/>
              </w:rPr>
              <w:t>Manual stock adjustments: the other side of Inventory. A gain credits it, a loss debits it (section 3.14).</w:t>
            </w:r>
          </w:p>
        </w:tc>
        <w:tc>
          <w:tcPr>
            <w:tcW w:type="dxa" w:w="2592"/>
            <w:tcMar>
              <w:top w:w="20" w:type="dxa"/>
              <w:left w:w="60" w:type="dxa"/>
              <w:bottom w:w="20" w:type="dxa"/>
              <w:right w:w="60" w:type="dxa"/>
            </w:tcMar>
            <w:vAlign w:val="top"/>
          </w:tcPr>
          <w:p>
            <w:pPr>
              <w:spacing w:after="10" w:before="0" w:line="240" w:lineRule="auto"/>
            </w:pPr>
            <w:r>
              <w:rPr>
                <w:sz w:val="16"/>
              </w:rPr>
              <w:t>A manual quantity change that carries a cost fails while posting is on.</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inventory-asset</w:t>
            </w:r>
          </w:p>
        </w:tc>
        <w:tc>
          <w:tcPr>
            <w:tcW w:type="dxa" w:w="1842"/>
            <w:tcMar>
              <w:top w:w="20" w:type="dxa"/>
              <w:left w:w="60" w:type="dxa"/>
              <w:bottom w:w="20" w:type="dxa"/>
              <w:right w:w="60" w:type="dxa"/>
            </w:tcMar>
            <w:vAlign w:val="top"/>
          </w:tcPr>
          <w:p>
            <w:pPr>
              <w:spacing w:after="10" w:before="0" w:line="240" w:lineRule="auto"/>
            </w:pPr>
            <w:r>
              <w:rPr>
                <w:sz w:val="16"/>
              </w:rPr>
              <w:t>Inventory (stock on hand)</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Inventory Stock (INV0001)</w:t>
            </w:r>
          </w:p>
        </w:tc>
        <w:tc>
          <w:tcPr>
            <w:tcW w:type="dxa" w:w="3547"/>
            <w:tcMar>
              <w:top w:w="20" w:type="dxa"/>
              <w:left w:w="60" w:type="dxa"/>
              <w:bottom w:w="20" w:type="dxa"/>
              <w:right w:w="60" w:type="dxa"/>
            </w:tcMar>
            <w:vAlign w:val="top"/>
          </w:tcPr>
          <w:p>
            <w:pPr>
              <w:spacing w:after="10" w:before="0" w:line="240" w:lineRule="auto"/>
            </w:pPr>
            <w:r>
              <w:rPr>
                <w:sz w:val="16"/>
              </w:rPr>
              <w:t>Purchase and return; stock leg of sales and returns; re-cost; write-off; manual stock adjustment; opening stock; valuation reconciliation; day book; dashboard.</w:t>
            </w:r>
          </w:p>
        </w:tc>
        <w:tc>
          <w:tcPr>
            <w:tcW w:type="dxa" w:w="2592"/>
            <w:tcMar>
              <w:top w:w="20" w:type="dxa"/>
              <w:left w:w="60" w:type="dxa"/>
              <w:bottom w:w="20" w:type="dxa"/>
              <w:right w:w="60" w:type="dxa"/>
            </w:tcMar>
            <w:vAlign w:val="top"/>
          </w:tcPr>
          <w:p>
            <w:pPr>
              <w:spacing w:after="10" w:before="0" w:line="240" w:lineRule="auto"/>
            </w:pPr>
            <w:r>
              <w:rPr>
                <w:sz w:val="16"/>
              </w:rPr>
              <w:t>Every purchase approval fails; every sale that moves stock fails; valuation cannot be compared with the ledger.</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opening-balance-equity</w:t>
            </w:r>
          </w:p>
        </w:tc>
        <w:tc>
          <w:tcPr>
            <w:tcW w:type="dxa" w:w="1842"/>
            <w:tcMar>
              <w:top w:w="20" w:type="dxa"/>
              <w:left w:w="60" w:type="dxa"/>
              <w:bottom w:w="20" w:type="dxa"/>
              <w:right w:w="60" w:type="dxa"/>
            </w:tcMar>
            <w:vAlign w:val="top"/>
          </w:tcPr>
          <w:p>
            <w:pPr>
              <w:spacing w:after="10" w:before="0" w:line="240" w:lineRule="auto"/>
            </w:pPr>
            <w:r>
              <w:rPr>
                <w:sz w:val="16"/>
              </w:rPr>
              <w:t>Opening balance equity</w:t>
            </w:r>
          </w:p>
        </w:tc>
        <w:tc>
          <w:tcPr>
            <w:tcW w:type="dxa" w:w="955"/>
            <w:tcMar>
              <w:top w:w="20" w:type="dxa"/>
              <w:left w:w="60" w:type="dxa"/>
              <w:bottom w:w="20" w:type="dxa"/>
              <w:right w:w="60" w:type="dxa"/>
            </w:tcMar>
            <w:vAlign w:val="top"/>
          </w:tcPr>
          <w:p>
            <w:pPr>
              <w:spacing w:after="10" w:before="0" w:line="240" w:lineRule="auto"/>
            </w:pPr>
            <w:r>
              <w:rPr>
                <w:sz w:val="16"/>
              </w:rPr>
              <w:t>Equity</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Opening Balance Equity (EQ0003)</w:t>
            </w:r>
          </w:p>
        </w:tc>
        <w:tc>
          <w:tcPr>
            <w:tcW w:type="dxa" w:w="3547"/>
            <w:tcMar>
              <w:top w:w="20" w:type="dxa"/>
              <w:left w:w="60" w:type="dxa"/>
              <w:bottom w:w="20" w:type="dxa"/>
              <w:right w:w="60" w:type="dxa"/>
            </w:tcMar>
            <w:vAlign w:val="top"/>
          </w:tcPr>
          <w:p>
            <w:pPr>
              <w:spacing w:after="10" w:before="0" w:line="240" w:lineRule="auto"/>
            </w:pPr>
            <w:r>
              <w:rPr>
                <w:sz w:val="16"/>
              </w:rPr>
              <w:t>Opening balances (accounts, customers, vendors, stock) and the balance entered when an account is created.</w:t>
            </w:r>
          </w:p>
        </w:tc>
        <w:tc>
          <w:tcPr>
            <w:tcW w:type="dxa" w:w="2592"/>
            <w:tcMar>
              <w:top w:w="20" w:type="dxa"/>
              <w:left w:w="60" w:type="dxa"/>
              <w:bottom w:w="20" w:type="dxa"/>
              <w:right w:w="60" w:type="dxa"/>
            </w:tcMar>
            <w:vAlign w:val="top"/>
          </w:tcPr>
          <w:p>
            <w:pPr>
              <w:spacing w:after="10" w:before="0" w:line="240" w:lineRule="auto"/>
            </w:pPr>
            <w:r>
              <w:rPr>
                <w:sz w:val="16"/>
              </w:rPr>
              <w:t>Opening entries are refused; creating an account with an opening balance fails while posting is on.</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842"/>
            <w:tcMar>
              <w:top w:w="20" w:type="dxa"/>
              <w:left w:w="60" w:type="dxa"/>
              <w:bottom w:w="20" w:type="dxa"/>
              <w:right w:w="60" w:type="dxa"/>
            </w:tcMar>
            <w:vAlign w:val="top"/>
          </w:tcPr>
          <w:p>
            <w:pPr>
              <w:spacing w:after="10" w:before="0" w:line="240" w:lineRule="auto"/>
            </w:pPr>
            <w:r>
              <w:rPr>
                <w:sz w:val="16"/>
              </w:rPr>
              <w:t>Purchase postings</w:t>
            </w:r>
          </w:p>
        </w:tc>
        <w:tc>
          <w:tcPr>
            <w:tcW w:type="dxa" w:w="955"/>
            <w:tcMar>
              <w:top w:w="20" w:type="dxa"/>
              <w:left w:w="60" w:type="dxa"/>
              <w:bottom w:w="20" w:type="dxa"/>
              <w:right w:w="60" w:type="dxa"/>
            </w:tcMar>
            <w:vAlign w:val="top"/>
          </w:tcPr>
          <w:p>
            <w:pPr>
              <w:spacing w:after="10" w:before="0" w:line="240" w:lineRule="auto"/>
            </w:pPr>
            <w:r>
              <w:rPr>
                <w:sz w:val="16"/>
              </w:rPr>
              <w:t>none</w:t>
            </w:r>
          </w:p>
        </w:tc>
        <w:tc>
          <w:tcPr>
            <w:tcW w:type="dxa" w:w="750"/>
            <w:tcMar>
              <w:top w:w="20" w:type="dxa"/>
              <w:left w:w="60" w:type="dxa"/>
              <w:bottom w:w="20" w:type="dxa"/>
              <w:right w:w="60" w:type="dxa"/>
            </w:tcMar>
            <w:vAlign w:val="top"/>
          </w:tcPr>
          <w:p>
            <w:pPr>
              <w:spacing w:after="10" w:before="0" w:line="240" w:lineRule="auto"/>
            </w:pPr>
            <w:r>
              <w:rPr>
                <w:sz w:val="16"/>
              </w:rPr>
              <w:t>none</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none (header)</w:t>
            </w:r>
          </w:p>
        </w:tc>
        <w:tc>
          <w:tcPr>
            <w:tcW w:type="dxa" w:w="3547"/>
            <w:tcMar>
              <w:top w:w="20" w:type="dxa"/>
              <w:left w:w="60" w:type="dxa"/>
              <w:bottom w:w="20" w:type="dxa"/>
              <w:right w:w="60" w:type="dxa"/>
            </w:tcMar>
            <w:vAlign w:val="top"/>
          </w:tcPr>
          <w:p>
            <w:pPr>
              <w:spacing w:after="10" w:before="0" w:line="240" w:lineRule="auto"/>
            </w:pPr>
            <w:r>
              <w:rPr>
                <w:sz w:val="16"/>
              </w:rPr>
              <w:t>Header only.</w:t>
            </w:r>
          </w:p>
        </w:tc>
        <w:tc>
          <w:tcPr>
            <w:tcW w:type="dxa" w:w="2592"/>
            <w:tcMar>
              <w:top w:w="20" w:type="dxa"/>
              <w:left w:w="60" w:type="dxa"/>
              <w:bottom w:w="20" w:type="dxa"/>
              <w:right w:w="60" w:type="dxa"/>
            </w:tcMar>
            <w:vAlign w:val="top"/>
          </w:tcPr>
          <w:p>
            <w:pPr>
              <w:spacing w:after="10" w:before="0" w:line="240" w:lineRule="auto"/>
            </w:pPr>
            <w:r>
              <w:rPr>
                <w:sz w:val="16"/>
              </w:rPr>
              <w:t>Cannot be mapped.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vat-purchase</w:t>
            </w:r>
          </w:p>
        </w:tc>
        <w:tc>
          <w:tcPr>
            <w:tcW w:type="dxa" w:w="1842"/>
            <w:tcMar>
              <w:top w:w="20" w:type="dxa"/>
              <w:left w:w="60" w:type="dxa"/>
              <w:bottom w:w="20" w:type="dxa"/>
              <w:right w:w="60" w:type="dxa"/>
            </w:tcMar>
            <w:vAlign w:val="top"/>
          </w:tcPr>
          <w:p>
            <w:pPr>
              <w:spacing w:after="10" w:before="0" w:line="240" w:lineRule="auto"/>
            </w:pPr>
            <w:r>
              <w:rPr>
                <w:sz w:val="16"/>
              </w:rPr>
              <w:t>Input VAT</w:t>
            </w:r>
          </w:p>
        </w:tc>
        <w:tc>
          <w:tcPr>
            <w:tcW w:type="dxa" w:w="955"/>
            <w:tcMar>
              <w:top w:w="20" w:type="dxa"/>
              <w:left w:w="60" w:type="dxa"/>
              <w:bottom w:w="20" w:type="dxa"/>
              <w:right w:w="60" w:type="dxa"/>
            </w:tcMar>
            <w:vAlign w:val="top"/>
          </w:tcPr>
          <w:p>
            <w:pPr>
              <w:spacing w:after="10" w:before="0" w:line="240" w:lineRule="auto"/>
            </w:pPr>
            <w:r>
              <w:rPr>
                <w:sz w:val="16"/>
              </w:rPr>
              <w:t>Asset</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910"/>
            <w:tcMar>
              <w:top w:w="20" w:type="dxa"/>
              <w:left w:w="60" w:type="dxa"/>
              <w:bottom w:w="20" w:type="dxa"/>
              <w:right w:w="60" w:type="dxa"/>
            </w:tcMar>
            <w:vAlign w:val="top"/>
          </w:tcPr>
          <w:p>
            <w:pPr>
              <w:spacing w:after="10" w:before="0" w:line="240" w:lineRule="auto"/>
            </w:pPr>
            <w:r>
              <w:rPr>
                <w:sz w:val="16"/>
              </w:rPr>
              <w:t>Input VAT (TAXA0001)</w:t>
            </w:r>
          </w:p>
        </w:tc>
        <w:tc>
          <w:tcPr>
            <w:tcW w:type="dxa" w:w="3547"/>
            <w:tcMar>
              <w:top w:w="20" w:type="dxa"/>
              <w:left w:w="60" w:type="dxa"/>
              <w:bottom w:w="20" w:type="dxa"/>
              <w:right w:w="60" w:type="dxa"/>
            </w:tcMar>
            <w:vAlign w:val="top"/>
          </w:tcPr>
          <w:p>
            <w:pPr>
              <w:spacing w:after="10" w:before="0" w:line="240" w:lineRule="auto"/>
            </w:pPr>
            <w:r>
              <w:rPr>
                <w:sz w:val="16"/>
              </w:rPr>
              <w:t>Input VAT on purchases, purchase returns, expense vouchers and vendor notes; VAT reconciliation; IFRS notes.</w:t>
            </w:r>
          </w:p>
        </w:tc>
        <w:tc>
          <w:tcPr>
            <w:tcW w:type="dxa" w:w="2592"/>
            <w:tcMar>
              <w:top w:w="20" w:type="dxa"/>
              <w:left w:w="60" w:type="dxa"/>
              <w:bottom w:w="20" w:type="dxa"/>
              <w:right w:w="60" w:type="dxa"/>
            </w:tcMar>
            <w:vAlign w:val="top"/>
          </w:tcPr>
          <w:p>
            <w:pPr>
              <w:spacing w:after="10" w:before="0" w:line="240" w:lineRule="auto"/>
            </w:pPr>
            <w:r>
              <w:rPr>
                <w:sz w:val="16"/>
              </w:rPr>
              <w:t>Purchases, returns and expenses that carry VAT fail; the reconciliation reports 'not mapped'.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rcm-purchase</w:t>
            </w:r>
          </w:p>
        </w:tc>
        <w:tc>
          <w:tcPr>
            <w:tcW w:type="dxa" w:w="1842"/>
            <w:tcMar>
              <w:top w:w="20" w:type="dxa"/>
              <w:left w:w="60" w:type="dxa"/>
              <w:bottom w:w="20" w:type="dxa"/>
              <w:right w:w="60" w:type="dxa"/>
            </w:tcMar>
            <w:vAlign w:val="top"/>
          </w:tcPr>
          <w:p>
            <w:pPr>
              <w:spacing w:after="10" w:before="0" w:line="240" w:lineRule="auto"/>
            </w:pPr>
            <w:r>
              <w:rPr>
                <w:sz w:val="16"/>
              </w:rPr>
              <w:t>Reverse-charge VAT (purchases)</w:t>
            </w:r>
          </w:p>
        </w:tc>
        <w:tc>
          <w:tcPr>
            <w:tcW w:type="dxa" w:w="955"/>
            <w:tcMar>
              <w:top w:w="20" w:type="dxa"/>
              <w:left w:w="60" w:type="dxa"/>
              <w:bottom w:w="20" w:type="dxa"/>
              <w:right w:w="60" w:type="dxa"/>
            </w:tcMar>
            <w:vAlign w:val="top"/>
          </w:tcPr>
          <w:p>
            <w:pPr>
              <w:spacing w:after="10" w:before="0" w:line="240" w:lineRule="auto"/>
            </w:pPr>
            <w:r>
              <w:rPr>
                <w:sz w:val="16"/>
              </w:rPr>
              <w:t>Liability</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910"/>
            <w:tcMar>
              <w:top w:w="20" w:type="dxa"/>
              <w:left w:w="60" w:type="dxa"/>
              <w:bottom w:w="20" w:type="dxa"/>
              <w:right w:w="60" w:type="dxa"/>
            </w:tcMar>
            <w:vAlign w:val="top"/>
          </w:tcPr>
          <w:p>
            <w:pPr>
              <w:spacing w:after="10" w:before="0" w:line="240" w:lineRule="auto"/>
            </w:pPr>
            <w:r>
              <w:rPr>
                <w:sz w:val="16"/>
              </w:rPr>
              <w:t>Reverse-charge VAT (TAXL0002)</w:t>
            </w:r>
          </w:p>
        </w:tc>
        <w:tc>
          <w:tcPr>
            <w:tcW w:type="dxa" w:w="3547"/>
            <w:tcMar>
              <w:top w:w="20" w:type="dxa"/>
              <w:left w:w="60" w:type="dxa"/>
              <w:bottom w:w="20" w:type="dxa"/>
              <w:right w:w="60" w:type="dxa"/>
            </w:tcMar>
            <w:vAlign w:val="top"/>
          </w:tcPr>
          <w:p>
            <w:pPr>
              <w:spacing w:after="10" w:before="0" w:line="240" w:lineRule="auto"/>
            </w:pPr>
            <w:r>
              <w:rPr>
                <w:sz w:val="16"/>
              </w:rPr>
              <w:t>Not read by any code. Reverse-charge VAT is reported on the VAT return but not posted.</w:t>
            </w:r>
          </w:p>
        </w:tc>
        <w:tc>
          <w:tcPr>
            <w:tcW w:type="dxa" w:w="2592"/>
            <w:tcMar>
              <w:top w:w="20" w:type="dxa"/>
              <w:left w:w="60" w:type="dxa"/>
              <w:bottom w:w="20" w:type="dxa"/>
              <w:right w:w="60" w:type="dxa"/>
            </w:tcMar>
            <w:vAlign w:val="top"/>
          </w:tcPr>
          <w:p>
            <w:pPr>
              <w:spacing w:after="10" w:before="0" w:line="240" w:lineRule="auto"/>
            </w:pPr>
            <w:r>
              <w:rPr>
                <w:sz w:val="16"/>
              </w:rPr>
              <w:t>Nothing.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discount-purchase</w:t>
            </w:r>
          </w:p>
        </w:tc>
        <w:tc>
          <w:tcPr>
            <w:tcW w:type="dxa" w:w="1842"/>
            <w:tcMar>
              <w:top w:w="20" w:type="dxa"/>
              <w:left w:w="60" w:type="dxa"/>
              <w:bottom w:w="20" w:type="dxa"/>
              <w:right w:w="60" w:type="dxa"/>
            </w:tcMar>
            <w:vAlign w:val="top"/>
          </w:tcPr>
          <w:p>
            <w:pPr>
              <w:spacing w:after="10" w:before="0" w:line="240" w:lineRule="auto"/>
            </w:pPr>
            <w:r>
              <w:rPr>
                <w:sz w:val="16"/>
              </w:rPr>
              <w:t>Purchase discounts received</w:t>
            </w:r>
          </w:p>
        </w:tc>
        <w:tc>
          <w:tcPr>
            <w:tcW w:type="dxa" w:w="955"/>
            <w:tcMar>
              <w:top w:w="20" w:type="dxa"/>
              <w:left w:w="60" w:type="dxa"/>
              <w:bottom w:w="20" w:type="dxa"/>
              <w:right w:w="60" w:type="dxa"/>
            </w:tcMar>
            <w:vAlign w:val="top"/>
          </w:tcPr>
          <w:p>
            <w:pPr>
              <w:spacing w:after="10" w:before="0" w:line="240" w:lineRule="auto"/>
            </w:pPr>
            <w:r>
              <w:rPr>
                <w:sz w:val="16"/>
              </w:rPr>
              <w:t>Income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910"/>
            <w:tcMar>
              <w:top w:w="20" w:type="dxa"/>
              <w:left w:w="60" w:type="dxa"/>
              <w:bottom w:w="20" w:type="dxa"/>
              <w:right w:w="60" w:type="dxa"/>
            </w:tcMar>
            <w:vAlign w:val="top"/>
          </w:tcPr>
          <w:p>
            <w:pPr>
              <w:spacing w:after="10" w:before="0" w:line="240" w:lineRule="auto"/>
            </w:pPr>
            <w:r>
              <w:rPr>
                <w:sz w:val="16"/>
              </w:rPr>
              <w:t>Purchase Discounts Received (OI0002)</w:t>
            </w:r>
          </w:p>
        </w:tc>
        <w:tc>
          <w:tcPr>
            <w:tcW w:type="dxa" w:w="3547"/>
            <w:tcMar>
              <w:top w:w="20" w:type="dxa"/>
              <w:left w:w="60" w:type="dxa"/>
              <w:bottom w:w="20" w:type="dxa"/>
              <w:right w:w="60" w:type="dxa"/>
            </w:tcMar>
            <w:vAlign w:val="top"/>
          </w:tcPr>
          <w:p>
            <w:pPr>
              <w:spacing w:after="10" w:before="0" w:line="240" w:lineRule="auto"/>
            </w:pPr>
            <w:r>
              <w:rPr>
                <w:sz w:val="16"/>
              </w:rPr>
              <w:t>Header (settlement) discount on a purchase: credited here.</w:t>
            </w:r>
          </w:p>
        </w:tc>
        <w:tc>
          <w:tcPr>
            <w:tcW w:type="dxa" w:w="2592"/>
            <w:tcMar>
              <w:top w:w="20" w:type="dxa"/>
              <w:left w:w="60" w:type="dxa"/>
              <w:bottom w:w="20" w:type="dxa"/>
              <w:right w:w="60" w:type="dxa"/>
            </w:tcMar>
            <w:vAlign w:val="top"/>
          </w:tcPr>
          <w:p>
            <w:pPr>
              <w:spacing w:after="10" w:before="0" w:line="240" w:lineRule="auto"/>
            </w:pPr>
            <w:r>
              <w:rPr>
                <w:sz w:val="16"/>
              </w:rPr>
              <w:t>Fails only for a purchase with a header discount.</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freight-purchase</w:t>
            </w:r>
          </w:p>
        </w:tc>
        <w:tc>
          <w:tcPr>
            <w:tcW w:type="dxa" w:w="1842"/>
            <w:tcMar>
              <w:top w:w="20" w:type="dxa"/>
              <w:left w:w="60" w:type="dxa"/>
              <w:bottom w:w="20" w:type="dxa"/>
              <w:right w:w="60" w:type="dxa"/>
            </w:tcMar>
            <w:vAlign w:val="top"/>
          </w:tcPr>
          <w:p>
            <w:pPr>
              <w:spacing w:after="10" w:before="0" w:line="240" w:lineRule="auto"/>
            </w:pPr>
            <w:r>
              <w:rPr>
                <w:sz w:val="16"/>
              </w:rPr>
              <w:t>Freight &amp; handling on purchases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910"/>
            <w:tcMar>
              <w:top w:w="20" w:type="dxa"/>
              <w:left w:w="60" w:type="dxa"/>
              <w:bottom w:w="20" w:type="dxa"/>
              <w:right w:w="60" w:type="dxa"/>
            </w:tcMar>
            <w:vAlign w:val="top"/>
          </w:tcPr>
          <w:p>
            <w:pPr>
              <w:spacing w:after="10" w:before="0" w:line="240" w:lineRule="auto"/>
            </w:pPr>
            <w:r>
              <w:rPr>
                <w:sz w:val="16"/>
              </w:rPr>
              <w:t>Freight on Purchases (OPEX0002)</w:t>
            </w:r>
          </w:p>
        </w:tc>
        <w:tc>
          <w:tcPr>
            <w:tcW w:type="dxa" w:w="3547"/>
            <w:tcMar>
              <w:top w:w="20" w:type="dxa"/>
              <w:left w:w="60" w:type="dxa"/>
              <w:bottom w:w="20" w:type="dxa"/>
              <w:right w:w="60" w:type="dxa"/>
            </w:tcMar>
            <w:vAlign w:val="top"/>
          </w:tcPr>
          <w:p>
            <w:pPr>
              <w:spacing w:after="10" w:before="0" w:line="240" w:lineRule="auto"/>
            </w:pPr>
            <w:r>
              <w:rPr>
                <w:sz w:val="16"/>
              </w:rPr>
              <w:t>Header charges on a purchase (freight, handling): debited here.</w:t>
            </w:r>
          </w:p>
        </w:tc>
        <w:tc>
          <w:tcPr>
            <w:tcW w:type="dxa" w:w="2592"/>
            <w:tcMar>
              <w:top w:w="20" w:type="dxa"/>
              <w:left w:w="60" w:type="dxa"/>
              <w:bottom w:w="20" w:type="dxa"/>
              <w:right w:w="60" w:type="dxa"/>
            </w:tcMar>
            <w:vAlign w:val="top"/>
          </w:tcPr>
          <w:p>
            <w:pPr>
              <w:spacing w:after="10" w:before="0" w:line="240" w:lineRule="auto"/>
            </w:pPr>
            <w:r>
              <w:rPr>
                <w:sz w:val="16"/>
              </w:rPr>
              <w:t>Fails only for a purchase with header charges.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round-off-purchase</w:t>
            </w:r>
          </w:p>
        </w:tc>
        <w:tc>
          <w:tcPr>
            <w:tcW w:type="dxa" w:w="1842"/>
            <w:tcMar>
              <w:top w:w="20" w:type="dxa"/>
              <w:left w:w="60" w:type="dxa"/>
              <w:bottom w:w="20" w:type="dxa"/>
              <w:right w:w="60" w:type="dxa"/>
            </w:tcMar>
            <w:vAlign w:val="top"/>
          </w:tcPr>
          <w:p>
            <w:pPr>
              <w:spacing w:after="10" w:before="0" w:line="240" w:lineRule="auto"/>
            </w:pPr>
            <w:r>
              <w:rPr>
                <w:sz w:val="16"/>
              </w:rPr>
              <w:t>Round-off (purchases)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910"/>
            <w:tcMar>
              <w:top w:w="20" w:type="dxa"/>
              <w:left w:w="60" w:type="dxa"/>
              <w:bottom w:w="20" w:type="dxa"/>
              <w:right w:w="60" w:type="dxa"/>
            </w:tcMar>
            <w:vAlign w:val="top"/>
          </w:tcPr>
          <w:p>
            <w:pPr>
              <w:spacing w:after="10" w:before="0" w:line="240" w:lineRule="auto"/>
            </w:pPr>
            <w:r>
              <w:rPr>
                <w:sz w:val="16"/>
              </w:rPr>
              <w:t>Round-off Expense (Purchases) (OPEX0003)</w:t>
            </w:r>
          </w:p>
        </w:tc>
        <w:tc>
          <w:tcPr>
            <w:tcW w:type="dxa" w:w="3547"/>
            <w:tcMar>
              <w:top w:w="20" w:type="dxa"/>
              <w:left w:w="60" w:type="dxa"/>
              <w:bottom w:w="20" w:type="dxa"/>
              <w:right w:w="60" w:type="dxa"/>
            </w:tcMar>
            <w:vAlign w:val="top"/>
          </w:tcPr>
          <w:p>
            <w:pPr>
              <w:spacing w:after="10" w:before="0" w:line="240" w:lineRule="auto"/>
            </w:pPr>
            <w:r>
              <w:rPr>
                <w:sz w:val="16"/>
              </w:rPr>
              <w:t>Round-off on a purchase invoice or return.</w:t>
            </w:r>
          </w:p>
        </w:tc>
        <w:tc>
          <w:tcPr>
            <w:tcW w:type="dxa" w:w="2592"/>
            <w:tcMar>
              <w:top w:w="20" w:type="dxa"/>
              <w:left w:w="60" w:type="dxa"/>
              <w:bottom w:w="20" w:type="dxa"/>
              <w:right w:w="60" w:type="dxa"/>
            </w:tcMar>
            <w:vAlign w:val="top"/>
          </w:tcPr>
          <w:p>
            <w:pPr>
              <w:spacing w:after="10" w:before="0" w:line="240" w:lineRule="auto"/>
            </w:pPr>
            <w:r>
              <w:rPr>
                <w:sz w:val="16"/>
              </w:rPr>
              <w:t>Fails only for a document with a round-off.</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purchase-variance</w:t>
            </w:r>
          </w:p>
        </w:tc>
        <w:tc>
          <w:tcPr>
            <w:tcW w:type="dxa" w:w="1842"/>
            <w:tcMar>
              <w:top w:w="20" w:type="dxa"/>
              <w:left w:w="60" w:type="dxa"/>
              <w:bottom w:w="20" w:type="dxa"/>
              <w:right w:w="60" w:type="dxa"/>
            </w:tcMar>
            <w:vAlign w:val="top"/>
          </w:tcPr>
          <w:p>
            <w:pPr>
              <w:spacing w:after="10" w:before="0" w:line="240" w:lineRule="auto"/>
            </w:pPr>
            <w:r>
              <w:rPr>
                <w:sz w:val="16"/>
              </w:rPr>
              <w:t>Purchase price / quality variance</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purchase-group</w:t>
            </w:r>
          </w:p>
        </w:tc>
        <w:tc>
          <w:tcPr>
            <w:tcW w:type="dxa" w:w="1910"/>
            <w:tcMar>
              <w:top w:w="20" w:type="dxa"/>
              <w:left w:w="60" w:type="dxa"/>
              <w:bottom w:w="20" w:type="dxa"/>
              <w:right w:w="60" w:type="dxa"/>
            </w:tcMar>
            <w:vAlign w:val="top"/>
          </w:tcPr>
          <w:p>
            <w:pPr>
              <w:spacing w:after="10" w:before="0" w:line="240" w:lineRule="auto"/>
            </w:pPr>
            <w:r>
              <w:rPr>
                <w:sz w:val="16"/>
              </w:rPr>
              <w:t>Purchase Variance (COGS0002)</w:t>
            </w:r>
          </w:p>
        </w:tc>
        <w:tc>
          <w:tcPr>
            <w:tcW w:type="dxa" w:w="3547"/>
            <w:tcMar>
              <w:top w:w="20" w:type="dxa"/>
              <w:left w:w="60" w:type="dxa"/>
              <w:bottom w:w="20" w:type="dxa"/>
              <w:right w:w="60" w:type="dxa"/>
            </w:tcMar>
            <w:vAlign w:val="top"/>
          </w:tcPr>
          <w:p>
            <w:pPr>
              <w:spacing w:after="10" w:before="0" w:line="240" w:lineRule="auto"/>
            </w:pPr>
            <w:r>
              <w:rPr>
                <w:sz w:val="16"/>
              </w:rPr>
              <w:t>Not read by any code; an ordinary expense account a note may use.</w:t>
            </w:r>
          </w:p>
        </w:tc>
        <w:tc>
          <w:tcPr>
            <w:tcW w:type="dxa" w:w="2592"/>
            <w:tcMar>
              <w:top w:w="20" w:type="dxa"/>
              <w:left w:w="60" w:type="dxa"/>
              <w:bottom w:w="20" w:type="dxa"/>
              <w:right w:w="60" w:type="dxa"/>
            </w:tcMar>
            <w:vAlign w:val="top"/>
          </w:tcPr>
          <w:p>
            <w:pPr>
              <w:spacing w:after="10" w:before="0" w:line="240" w:lineRule="auto"/>
            </w:pPr>
            <w:r>
              <w:rPr>
                <w:sz w:val="16"/>
              </w:rPr>
              <w:t>Nothing.</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842"/>
            <w:tcMar>
              <w:top w:w="20" w:type="dxa"/>
              <w:left w:w="60" w:type="dxa"/>
              <w:bottom w:w="20" w:type="dxa"/>
              <w:right w:w="60" w:type="dxa"/>
            </w:tcMar>
            <w:vAlign w:val="top"/>
          </w:tcPr>
          <w:p>
            <w:pPr>
              <w:spacing w:after="10" w:before="0" w:line="240" w:lineRule="auto"/>
            </w:pPr>
            <w:r>
              <w:rPr>
                <w:sz w:val="16"/>
              </w:rPr>
              <w:t>Sales postings</w:t>
            </w:r>
          </w:p>
        </w:tc>
        <w:tc>
          <w:tcPr>
            <w:tcW w:type="dxa" w:w="955"/>
            <w:tcMar>
              <w:top w:w="20" w:type="dxa"/>
              <w:left w:w="60" w:type="dxa"/>
              <w:bottom w:w="20" w:type="dxa"/>
              <w:right w:w="60" w:type="dxa"/>
            </w:tcMar>
            <w:vAlign w:val="top"/>
          </w:tcPr>
          <w:p>
            <w:pPr>
              <w:spacing w:after="10" w:before="0" w:line="240" w:lineRule="auto"/>
            </w:pPr>
            <w:r>
              <w:rPr>
                <w:sz w:val="16"/>
              </w:rPr>
              <w:t>none</w:t>
            </w:r>
          </w:p>
        </w:tc>
        <w:tc>
          <w:tcPr>
            <w:tcW w:type="dxa" w:w="750"/>
            <w:tcMar>
              <w:top w:w="20" w:type="dxa"/>
              <w:left w:w="60" w:type="dxa"/>
              <w:bottom w:w="20" w:type="dxa"/>
              <w:right w:w="60" w:type="dxa"/>
            </w:tcMar>
            <w:vAlign w:val="top"/>
          </w:tcPr>
          <w:p>
            <w:pPr>
              <w:spacing w:after="10" w:before="0" w:line="240" w:lineRule="auto"/>
            </w:pPr>
            <w:r>
              <w:rPr>
                <w:sz w:val="16"/>
              </w:rPr>
              <w:t>none</w:t>
            </w:r>
          </w:p>
        </w:tc>
        <w:tc>
          <w:tcPr>
            <w:tcW w:type="dxa" w:w="1091"/>
            <w:tcMar>
              <w:top w:w="20" w:type="dxa"/>
              <w:left w:w="60" w:type="dxa"/>
              <w:bottom w:w="20" w:type="dxa"/>
              <w:right w:w="60" w:type="dxa"/>
            </w:tcMar>
            <w:vAlign w:val="top"/>
          </w:tcPr>
          <w:p>
            <w:pPr>
              <w:spacing w:after="10" w:before="0" w:line="240" w:lineRule="auto"/>
            </w:pPr>
          </w:p>
        </w:tc>
        <w:tc>
          <w:tcPr>
            <w:tcW w:type="dxa" w:w="1910"/>
            <w:tcMar>
              <w:top w:w="20" w:type="dxa"/>
              <w:left w:w="60" w:type="dxa"/>
              <w:bottom w:w="20" w:type="dxa"/>
              <w:right w:w="60" w:type="dxa"/>
            </w:tcMar>
            <w:vAlign w:val="top"/>
          </w:tcPr>
          <w:p>
            <w:pPr>
              <w:spacing w:after="10" w:before="0" w:line="240" w:lineRule="auto"/>
            </w:pPr>
            <w:r>
              <w:rPr>
                <w:sz w:val="16"/>
              </w:rPr>
              <w:t>none (header)</w:t>
            </w:r>
          </w:p>
        </w:tc>
        <w:tc>
          <w:tcPr>
            <w:tcW w:type="dxa" w:w="3547"/>
            <w:tcMar>
              <w:top w:w="20" w:type="dxa"/>
              <w:left w:w="60" w:type="dxa"/>
              <w:bottom w:w="20" w:type="dxa"/>
              <w:right w:w="60" w:type="dxa"/>
            </w:tcMar>
            <w:vAlign w:val="top"/>
          </w:tcPr>
          <w:p>
            <w:pPr>
              <w:spacing w:after="10" w:before="0" w:line="240" w:lineRule="auto"/>
            </w:pPr>
            <w:r>
              <w:rPr>
                <w:sz w:val="16"/>
              </w:rPr>
              <w:t>Header only.</w:t>
            </w:r>
          </w:p>
        </w:tc>
        <w:tc>
          <w:tcPr>
            <w:tcW w:type="dxa" w:w="2592"/>
            <w:tcMar>
              <w:top w:w="20" w:type="dxa"/>
              <w:left w:w="60" w:type="dxa"/>
              <w:bottom w:w="20" w:type="dxa"/>
              <w:right w:w="60" w:type="dxa"/>
            </w:tcMar>
            <w:vAlign w:val="top"/>
          </w:tcPr>
          <w:p>
            <w:pPr>
              <w:spacing w:after="10" w:before="0" w:line="240" w:lineRule="auto"/>
            </w:pPr>
            <w:r>
              <w:rPr>
                <w:sz w:val="16"/>
              </w:rPr>
              <w:t>Cannot be mapped.</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sales-revenue</w:t>
            </w:r>
          </w:p>
        </w:tc>
        <w:tc>
          <w:tcPr>
            <w:tcW w:type="dxa" w:w="1842"/>
            <w:tcMar>
              <w:top w:w="20" w:type="dxa"/>
              <w:left w:w="60" w:type="dxa"/>
              <w:bottom w:w="20" w:type="dxa"/>
              <w:right w:w="60" w:type="dxa"/>
            </w:tcMar>
            <w:vAlign w:val="top"/>
          </w:tcPr>
          <w:p>
            <w:pPr>
              <w:spacing w:after="10" w:before="0" w:line="240" w:lineRule="auto"/>
            </w:pPr>
            <w:r>
              <w:rPr>
                <w:sz w:val="16"/>
              </w:rPr>
              <w:t>Sales revenue</w:t>
            </w:r>
          </w:p>
        </w:tc>
        <w:tc>
          <w:tcPr>
            <w:tcW w:type="dxa" w:w="955"/>
            <w:tcMar>
              <w:top w:w="20" w:type="dxa"/>
              <w:left w:w="60" w:type="dxa"/>
              <w:bottom w:w="20" w:type="dxa"/>
              <w:right w:w="60" w:type="dxa"/>
            </w:tcMar>
            <w:vAlign w:val="top"/>
          </w:tcPr>
          <w:p>
            <w:pPr>
              <w:spacing w:after="10" w:before="0" w:line="240" w:lineRule="auto"/>
            </w:pPr>
            <w:r>
              <w:rPr>
                <w:sz w:val="16"/>
              </w:rPr>
              <w:t>Income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Sales Revenue (SAL0001)</w:t>
            </w:r>
          </w:p>
        </w:tc>
        <w:tc>
          <w:tcPr>
            <w:tcW w:type="dxa" w:w="3547"/>
            <w:tcMar>
              <w:top w:w="20" w:type="dxa"/>
              <w:left w:w="60" w:type="dxa"/>
              <w:bottom w:w="20" w:type="dxa"/>
              <w:right w:w="60" w:type="dxa"/>
            </w:tcMar>
            <w:vAlign w:val="top"/>
          </w:tcPr>
          <w:p>
            <w:pPr>
              <w:spacing w:after="10" w:before="0" w:line="240" w:lineRule="auto"/>
            </w:pPr>
            <w:r>
              <w:rPr>
                <w:sz w:val="16"/>
              </w:rPr>
              <w:t>Revenue on a sales invoice (gross, before discounts); reversed by a sales return.</w:t>
            </w:r>
          </w:p>
        </w:tc>
        <w:tc>
          <w:tcPr>
            <w:tcW w:type="dxa" w:w="2592"/>
            <w:tcMar>
              <w:top w:w="20" w:type="dxa"/>
              <w:left w:w="60" w:type="dxa"/>
              <w:bottom w:w="20" w:type="dxa"/>
              <w:right w:w="60" w:type="dxa"/>
            </w:tcMar>
            <w:vAlign w:val="top"/>
          </w:tcPr>
          <w:p>
            <w:pPr>
              <w:spacing w:after="10" w:before="0" w:line="240" w:lineRule="auto"/>
            </w:pPr>
            <w:r>
              <w:rPr>
                <w:sz w:val="16"/>
              </w:rPr>
              <w:t>Every sale approval fails.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vat-sales</w:t>
            </w:r>
          </w:p>
        </w:tc>
        <w:tc>
          <w:tcPr>
            <w:tcW w:type="dxa" w:w="1842"/>
            <w:tcMar>
              <w:top w:w="20" w:type="dxa"/>
              <w:left w:w="60" w:type="dxa"/>
              <w:bottom w:w="20" w:type="dxa"/>
              <w:right w:w="60" w:type="dxa"/>
            </w:tcMar>
            <w:vAlign w:val="top"/>
          </w:tcPr>
          <w:p>
            <w:pPr>
              <w:spacing w:after="10" w:before="0" w:line="240" w:lineRule="auto"/>
            </w:pPr>
            <w:r>
              <w:rPr>
                <w:sz w:val="16"/>
              </w:rPr>
              <w:t>Output VAT</w:t>
            </w:r>
          </w:p>
        </w:tc>
        <w:tc>
          <w:tcPr>
            <w:tcW w:type="dxa" w:w="955"/>
            <w:tcMar>
              <w:top w:w="20" w:type="dxa"/>
              <w:left w:w="60" w:type="dxa"/>
              <w:bottom w:w="20" w:type="dxa"/>
              <w:right w:w="60" w:type="dxa"/>
            </w:tcMar>
            <w:vAlign w:val="top"/>
          </w:tcPr>
          <w:p>
            <w:pPr>
              <w:spacing w:after="10" w:before="0" w:line="240" w:lineRule="auto"/>
            </w:pPr>
            <w:r>
              <w:rPr>
                <w:sz w:val="16"/>
              </w:rPr>
              <w:t>Liability</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Output VAT (TAXL0001)</w:t>
            </w:r>
          </w:p>
        </w:tc>
        <w:tc>
          <w:tcPr>
            <w:tcW w:type="dxa" w:w="3547"/>
            <w:tcMar>
              <w:top w:w="20" w:type="dxa"/>
              <w:left w:w="60" w:type="dxa"/>
              <w:bottom w:w="20" w:type="dxa"/>
              <w:right w:w="60" w:type="dxa"/>
            </w:tcMar>
            <w:vAlign w:val="top"/>
          </w:tcPr>
          <w:p>
            <w:pPr>
              <w:spacing w:after="10" w:before="0" w:line="240" w:lineRule="auto"/>
            </w:pPr>
            <w:r>
              <w:rPr>
                <w:sz w:val="16"/>
              </w:rPr>
              <w:t>Output VAT on sales and returns; customer notes; VAT reconciliation; IFRS notes; dashboard VAT series.</w:t>
            </w:r>
          </w:p>
        </w:tc>
        <w:tc>
          <w:tcPr>
            <w:tcW w:type="dxa" w:w="2592"/>
            <w:tcMar>
              <w:top w:w="20" w:type="dxa"/>
              <w:left w:w="60" w:type="dxa"/>
              <w:bottom w:w="20" w:type="dxa"/>
              <w:right w:w="60" w:type="dxa"/>
            </w:tcMar>
            <w:vAlign w:val="top"/>
          </w:tcPr>
          <w:p>
            <w:pPr>
              <w:spacing w:after="10" w:before="0" w:line="240" w:lineRule="auto"/>
            </w:pPr>
            <w:r>
              <w:rPr>
                <w:sz w:val="16"/>
              </w:rPr>
              <w:t>Sales that carry VAT fail.</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discount-sales</w:t>
            </w:r>
          </w:p>
        </w:tc>
        <w:tc>
          <w:tcPr>
            <w:tcW w:type="dxa" w:w="1842"/>
            <w:tcMar>
              <w:top w:w="20" w:type="dxa"/>
              <w:left w:w="60" w:type="dxa"/>
              <w:bottom w:w="20" w:type="dxa"/>
              <w:right w:w="60" w:type="dxa"/>
            </w:tcMar>
            <w:vAlign w:val="top"/>
          </w:tcPr>
          <w:p>
            <w:pPr>
              <w:spacing w:after="10" w:before="0" w:line="240" w:lineRule="auto"/>
            </w:pPr>
            <w:r>
              <w:rPr>
                <w:sz w:val="16"/>
              </w:rPr>
              <w:t>Sales discounts given</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Sales Discounts Given (OPEX0001)</w:t>
            </w:r>
          </w:p>
        </w:tc>
        <w:tc>
          <w:tcPr>
            <w:tcW w:type="dxa" w:w="3547"/>
            <w:tcMar>
              <w:top w:w="20" w:type="dxa"/>
              <w:left w:w="60" w:type="dxa"/>
              <w:bottom w:w="20" w:type="dxa"/>
              <w:right w:w="60" w:type="dxa"/>
            </w:tcMar>
            <w:vAlign w:val="top"/>
          </w:tcPr>
          <w:p>
            <w:pPr>
              <w:spacing w:after="10" w:before="0" w:line="240" w:lineRule="auto"/>
            </w:pPr>
            <w:r>
              <w:rPr>
                <w:sz w:val="16"/>
              </w:rPr>
              <w:t>Line and header discounts on a sale: debited here.</w:t>
            </w:r>
          </w:p>
        </w:tc>
        <w:tc>
          <w:tcPr>
            <w:tcW w:type="dxa" w:w="2592"/>
            <w:tcMar>
              <w:top w:w="20" w:type="dxa"/>
              <w:left w:w="60" w:type="dxa"/>
              <w:bottom w:w="20" w:type="dxa"/>
              <w:right w:w="60" w:type="dxa"/>
            </w:tcMar>
            <w:vAlign w:val="top"/>
          </w:tcPr>
          <w:p>
            <w:pPr>
              <w:spacing w:after="10" w:before="0" w:line="240" w:lineRule="auto"/>
            </w:pPr>
            <w:r>
              <w:rPr>
                <w:sz w:val="16"/>
              </w:rPr>
              <w:t>Fails only for a sale with a discount.</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freight-sales</w:t>
            </w:r>
          </w:p>
        </w:tc>
        <w:tc>
          <w:tcPr>
            <w:tcW w:type="dxa" w:w="1842"/>
            <w:tcMar>
              <w:top w:w="20" w:type="dxa"/>
              <w:left w:w="60" w:type="dxa"/>
              <w:bottom w:w="20" w:type="dxa"/>
              <w:right w:w="60" w:type="dxa"/>
            </w:tcMar>
            <w:vAlign w:val="top"/>
          </w:tcPr>
          <w:p>
            <w:pPr>
              <w:spacing w:after="10" w:before="0" w:line="240" w:lineRule="auto"/>
            </w:pPr>
            <w:r>
              <w:rPr>
                <w:sz w:val="16"/>
              </w:rPr>
              <w:t>Freight &amp; handling recovered</w:t>
            </w:r>
          </w:p>
        </w:tc>
        <w:tc>
          <w:tcPr>
            <w:tcW w:type="dxa" w:w="955"/>
            <w:tcMar>
              <w:top w:w="20" w:type="dxa"/>
              <w:left w:w="60" w:type="dxa"/>
              <w:bottom w:w="20" w:type="dxa"/>
              <w:right w:w="60" w:type="dxa"/>
            </w:tcMar>
            <w:vAlign w:val="top"/>
          </w:tcPr>
          <w:p>
            <w:pPr>
              <w:spacing w:after="10" w:before="0" w:line="240" w:lineRule="auto"/>
            </w:pPr>
            <w:r>
              <w:rPr>
                <w:sz w:val="16"/>
              </w:rPr>
              <w:t>Income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Freight Recovered (OI0001)</w:t>
            </w:r>
          </w:p>
        </w:tc>
        <w:tc>
          <w:tcPr>
            <w:tcW w:type="dxa" w:w="3547"/>
            <w:tcMar>
              <w:top w:w="20" w:type="dxa"/>
              <w:left w:w="60" w:type="dxa"/>
              <w:bottom w:w="20" w:type="dxa"/>
              <w:right w:w="60" w:type="dxa"/>
            </w:tcMar>
            <w:vAlign w:val="top"/>
          </w:tcPr>
          <w:p>
            <w:pPr>
              <w:spacing w:after="10" w:before="0" w:line="240" w:lineRule="auto"/>
            </w:pPr>
            <w:r>
              <w:rPr>
                <w:sz w:val="16"/>
              </w:rPr>
              <w:t>Header charges on a sale: credited here.</w:t>
            </w:r>
          </w:p>
        </w:tc>
        <w:tc>
          <w:tcPr>
            <w:tcW w:type="dxa" w:w="2592"/>
            <w:tcMar>
              <w:top w:w="20" w:type="dxa"/>
              <w:left w:w="60" w:type="dxa"/>
              <w:bottom w:w="20" w:type="dxa"/>
              <w:right w:w="60" w:type="dxa"/>
            </w:tcMar>
            <w:vAlign w:val="top"/>
          </w:tcPr>
          <w:p>
            <w:pPr>
              <w:spacing w:after="10" w:before="0" w:line="240" w:lineRule="auto"/>
            </w:pPr>
            <w:r>
              <w:rPr>
                <w:sz w:val="16"/>
              </w:rPr>
              <w:t>Fails only for a sale with header charges.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round-off-sales</w:t>
            </w:r>
          </w:p>
        </w:tc>
        <w:tc>
          <w:tcPr>
            <w:tcW w:type="dxa" w:w="1842"/>
            <w:tcMar>
              <w:top w:w="20" w:type="dxa"/>
              <w:left w:w="60" w:type="dxa"/>
              <w:bottom w:w="20" w:type="dxa"/>
              <w:right w:w="60" w:type="dxa"/>
            </w:tcMar>
            <w:vAlign w:val="top"/>
          </w:tcPr>
          <w:p>
            <w:pPr>
              <w:spacing w:after="10" w:before="0" w:line="240" w:lineRule="auto"/>
            </w:pPr>
            <w:r>
              <w:rPr>
                <w:sz w:val="16"/>
              </w:rPr>
              <w:t>Round-off (sales)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Round-off Expense (Sales) (OPEX0004)</w:t>
            </w:r>
          </w:p>
        </w:tc>
        <w:tc>
          <w:tcPr>
            <w:tcW w:type="dxa" w:w="3547"/>
            <w:tcMar>
              <w:top w:w="20" w:type="dxa"/>
              <w:left w:w="60" w:type="dxa"/>
              <w:bottom w:w="20" w:type="dxa"/>
              <w:right w:w="60" w:type="dxa"/>
            </w:tcMar>
            <w:vAlign w:val="top"/>
          </w:tcPr>
          <w:p>
            <w:pPr>
              <w:spacing w:after="10" w:before="0" w:line="240" w:lineRule="auto"/>
            </w:pPr>
            <w:r>
              <w:rPr>
                <w:sz w:val="16"/>
              </w:rPr>
              <w:t>Round-off on a sales invoice or return.</w:t>
            </w:r>
          </w:p>
        </w:tc>
        <w:tc>
          <w:tcPr>
            <w:tcW w:type="dxa" w:w="2592"/>
            <w:tcMar>
              <w:top w:w="20" w:type="dxa"/>
              <w:left w:w="60" w:type="dxa"/>
              <w:bottom w:w="20" w:type="dxa"/>
              <w:right w:w="60" w:type="dxa"/>
            </w:tcMar>
            <w:vAlign w:val="top"/>
          </w:tcPr>
          <w:p>
            <w:pPr>
              <w:spacing w:after="10" w:before="0" w:line="240" w:lineRule="auto"/>
            </w:pPr>
            <w:r>
              <w:rPr>
                <w:sz w:val="16"/>
              </w:rPr>
              <w:t>Fails only for a document with a round-off.</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cogs</w:t>
            </w:r>
          </w:p>
        </w:tc>
        <w:tc>
          <w:tcPr>
            <w:tcW w:type="dxa" w:w="1842"/>
            <w:tcMar>
              <w:top w:w="20" w:type="dxa"/>
              <w:left w:w="60" w:type="dxa"/>
              <w:bottom w:w="20" w:type="dxa"/>
              <w:right w:w="60" w:type="dxa"/>
            </w:tcMar>
            <w:vAlign w:val="top"/>
          </w:tcPr>
          <w:p>
            <w:pPr>
              <w:spacing w:after="10" w:before="0" w:line="240" w:lineRule="auto"/>
            </w:pPr>
            <w:r>
              <w:rPr>
                <w:sz w:val="16"/>
              </w:rPr>
              <w:t>Cost of goods sold</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Cost of Goods Sold (COGS0001)</w:t>
            </w:r>
          </w:p>
        </w:tc>
        <w:tc>
          <w:tcPr>
            <w:tcW w:type="dxa" w:w="3547"/>
            <w:tcMar>
              <w:top w:w="20" w:type="dxa"/>
              <w:left w:w="60" w:type="dxa"/>
              <w:bottom w:w="20" w:type="dxa"/>
              <w:right w:w="60" w:type="dxa"/>
            </w:tcMar>
            <w:vAlign w:val="top"/>
          </w:tcPr>
          <w:p>
            <w:pPr>
              <w:spacing w:after="10" w:before="0" w:line="240" w:lineRule="auto"/>
            </w:pPr>
            <w:r>
              <w:rPr>
                <w:sz w:val="16"/>
              </w:rPr>
              <w:t>Cost-of-goods leg of a sale and its reversal on a return; re-cost after a back-dated purchase; left out of the day book amount.</w:t>
            </w:r>
          </w:p>
        </w:tc>
        <w:tc>
          <w:tcPr>
            <w:tcW w:type="dxa" w:w="2592"/>
            <w:tcMar>
              <w:top w:w="20" w:type="dxa"/>
              <w:left w:w="60" w:type="dxa"/>
              <w:bottom w:w="20" w:type="dxa"/>
              <w:right w:w="60" w:type="dxa"/>
            </w:tcMar>
            <w:vAlign w:val="top"/>
          </w:tcPr>
          <w:p>
            <w:pPr>
              <w:spacing w:after="10" w:before="0" w:line="240" w:lineRule="auto"/>
            </w:pPr>
            <w:r>
              <w:rPr>
                <w:sz w:val="16"/>
              </w:rPr>
              <w:t>Every sale that moves stock fails.</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write-off-expiry</w:t>
            </w:r>
          </w:p>
        </w:tc>
        <w:tc>
          <w:tcPr>
            <w:tcW w:type="dxa" w:w="1842"/>
            <w:tcMar>
              <w:top w:w="20" w:type="dxa"/>
              <w:left w:w="60" w:type="dxa"/>
              <w:bottom w:w="20" w:type="dxa"/>
              <w:right w:w="60" w:type="dxa"/>
            </w:tcMar>
            <w:vAlign w:val="top"/>
          </w:tcPr>
          <w:p>
            <w:pPr>
              <w:spacing w:after="10" w:before="0" w:line="240" w:lineRule="auto"/>
            </w:pPr>
            <w:r>
              <w:rPr>
                <w:sz w:val="16"/>
              </w:rPr>
              <w:t>Stock written off - expiry</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Stock Write-off - Expiry (COGS0004)</w:t>
            </w:r>
          </w:p>
        </w:tc>
        <w:tc>
          <w:tcPr>
            <w:tcW w:type="dxa" w:w="3547"/>
            <w:tcMar>
              <w:top w:w="20" w:type="dxa"/>
              <w:left w:w="60" w:type="dxa"/>
              <w:bottom w:w="20" w:type="dxa"/>
              <w:right w:w="60" w:type="dxa"/>
            </w:tcMar>
            <w:vAlign w:val="top"/>
          </w:tcPr>
          <w:p>
            <w:pPr>
              <w:spacing w:after="10" w:before="0" w:line="240" w:lineRule="auto"/>
            </w:pPr>
            <w:r>
              <w:rPr>
                <w:sz w:val="16"/>
              </w:rPr>
              <w:t>Stock write-off for expiry: debited here.</w:t>
            </w:r>
          </w:p>
        </w:tc>
        <w:tc>
          <w:tcPr>
            <w:tcW w:type="dxa" w:w="2592"/>
            <w:tcMar>
              <w:top w:w="20" w:type="dxa"/>
              <w:left w:w="60" w:type="dxa"/>
              <w:bottom w:w="20" w:type="dxa"/>
              <w:right w:w="60" w:type="dxa"/>
            </w:tcMar>
            <w:vAlign w:val="top"/>
          </w:tcPr>
          <w:p>
            <w:pPr>
              <w:spacing w:after="10" w:before="0" w:line="240" w:lineRule="auto"/>
            </w:pPr>
            <w:r>
              <w:rPr>
                <w:sz w:val="16"/>
              </w:rPr>
              <w:t>A write-off for expiry fails while posting is on (its stock movement is rolled back).</w:t>
            </w:r>
          </w:p>
        </w:tc>
      </w:tr>
      <w:tr>
        <w:trPr>
          <w:cantSplit w:val="true"/>
        </w:trPr>
        <w:tc>
          <w:tcPr>
            <w:tcW w:type="dxa" w:w="1842"/>
            <w:tcMar>
              <w:top w:w="20" w:type="dxa"/>
              <w:left w:w="60" w:type="dxa"/>
              <w:bottom w:w="20" w:type="dxa"/>
              <w:right w:w="60" w:type="dxa"/>
            </w:tcMar>
            <w:vAlign w:val="top"/>
          </w:tcPr>
          <w:p>
            <w:pPr>
              <w:spacing w:after="10" w:before="0" w:line="240" w:lineRule="auto"/>
            </w:pPr>
            <w:r>
              <w:rPr>
                <w:rFonts w:ascii="Consolas" w:hAnsi="Consolas" w:eastAsia="Consolas"/>
                <w:sz w:val="15"/>
              </w:rPr>
              <w:t>damage-loss</w:t>
            </w:r>
          </w:p>
        </w:tc>
        <w:tc>
          <w:tcPr>
            <w:tcW w:type="dxa" w:w="1842"/>
            <w:tcMar>
              <w:top w:w="20" w:type="dxa"/>
              <w:left w:w="60" w:type="dxa"/>
              <w:bottom w:w="20" w:type="dxa"/>
              <w:right w:w="60" w:type="dxa"/>
            </w:tcMar>
            <w:vAlign w:val="top"/>
          </w:tcPr>
          <w:p>
            <w:pPr>
              <w:spacing w:after="10" w:before="0" w:line="240" w:lineRule="auto"/>
            </w:pPr>
            <w:r>
              <w:rPr>
                <w:sz w:val="16"/>
              </w:rPr>
              <w:t>Stock written off - damage / loss</w:t>
            </w:r>
          </w:p>
        </w:tc>
        <w:tc>
          <w:tcPr>
            <w:tcW w:type="dxa" w:w="955"/>
            <w:tcMar>
              <w:top w:w="20" w:type="dxa"/>
              <w:left w:w="60" w:type="dxa"/>
              <w:bottom w:w="20" w:type="dxa"/>
              <w:right w:w="60" w:type="dxa"/>
            </w:tcMar>
            <w:vAlign w:val="top"/>
          </w:tcPr>
          <w:p>
            <w:pPr>
              <w:spacing w:after="10" w:before="0" w:line="240" w:lineRule="auto"/>
            </w:pPr>
            <w:r>
              <w:rPr>
                <w:sz w:val="16"/>
              </w:rPr>
              <w:t>Expense</w:t>
            </w:r>
          </w:p>
        </w:tc>
        <w:tc>
          <w:tcPr>
            <w:tcW w:type="dxa" w:w="750"/>
            <w:tcMar>
              <w:top w:w="20" w:type="dxa"/>
              <w:left w:w="60" w:type="dxa"/>
              <w:bottom w:w="20" w:type="dxa"/>
              <w:right w:w="60" w:type="dxa"/>
            </w:tcMar>
            <w:vAlign w:val="top"/>
          </w:tcPr>
          <w:p>
            <w:pPr>
              <w:spacing w:after="10" w:before="0" w:line="240" w:lineRule="auto"/>
            </w:pPr>
            <w:r>
              <w:rPr>
                <w:sz w:val="16"/>
              </w:rPr>
              <w:t>account</w:t>
            </w:r>
          </w:p>
        </w:tc>
        <w:tc>
          <w:tcPr>
            <w:tcW w:type="dxa" w:w="1091"/>
            <w:tcMar>
              <w:top w:w="20" w:type="dxa"/>
              <w:left w:w="60" w:type="dxa"/>
              <w:bottom w:w="20" w:type="dxa"/>
              <w:right w:w="60" w:type="dxa"/>
            </w:tcMar>
            <w:vAlign w:val="top"/>
          </w:tcPr>
          <w:p>
            <w:pPr>
              <w:spacing w:after="10" w:before="0" w:line="240" w:lineRule="auto"/>
            </w:pPr>
            <w:r>
              <w:rPr>
                <w:rFonts w:ascii="Consolas" w:hAnsi="Consolas" w:eastAsia="Consolas"/>
                <w:sz w:val="15"/>
              </w:rPr>
              <w:t>sales-group</w:t>
            </w:r>
          </w:p>
        </w:tc>
        <w:tc>
          <w:tcPr>
            <w:tcW w:type="dxa" w:w="1910"/>
            <w:tcMar>
              <w:top w:w="20" w:type="dxa"/>
              <w:left w:w="60" w:type="dxa"/>
              <w:bottom w:w="20" w:type="dxa"/>
              <w:right w:w="60" w:type="dxa"/>
            </w:tcMar>
            <w:vAlign w:val="top"/>
          </w:tcPr>
          <w:p>
            <w:pPr>
              <w:spacing w:after="10" w:before="0" w:line="240" w:lineRule="auto"/>
            </w:pPr>
            <w:r>
              <w:rPr>
                <w:sz w:val="16"/>
              </w:rPr>
              <w:t>Stock Write-off - Damage (COGS0005)</w:t>
            </w:r>
          </w:p>
        </w:tc>
        <w:tc>
          <w:tcPr>
            <w:tcW w:type="dxa" w:w="3547"/>
            <w:tcMar>
              <w:top w:w="20" w:type="dxa"/>
              <w:left w:w="60" w:type="dxa"/>
              <w:bottom w:w="20" w:type="dxa"/>
              <w:right w:w="60" w:type="dxa"/>
            </w:tcMar>
            <w:vAlign w:val="top"/>
          </w:tcPr>
          <w:p>
            <w:pPr>
              <w:spacing w:after="10" w:before="0" w:line="240" w:lineRule="auto"/>
            </w:pPr>
            <w:r>
              <w:rPr>
                <w:sz w:val="16"/>
              </w:rPr>
              <w:t>Stock write-off for damage: debited here.</w:t>
            </w:r>
          </w:p>
        </w:tc>
        <w:tc>
          <w:tcPr>
            <w:tcW w:type="dxa" w:w="2592"/>
            <w:tcMar>
              <w:top w:w="20" w:type="dxa"/>
              <w:left w:w="60" w:type="dxa"/>
              <w:bottom w:w="20" w:type="dxa"/>
              <w:right w:w="60" w:type="dxa"/>
            </w:tcMar>
            <w:vAlign w:val="top"/>
          </w:tcPr>
          <w:p>
            <w:pPr>
              <w:spacing w:after="10" w:before="0" w:line="240" w:lineRule="auto"/>
            </w:pPr>
            <w:r>
              <w:rPr>
                <w:sz w:val="16"/>
              </w:rPr>
              <w:t>A write-off for damage fails while posting is on.</w:t>
            </w:r>
          </w:p>
        </w:tc>
      </w:tr>
    </w:tbl>
    <w:p>
      <w:pPr>
        <w:spacing w:after="0" w:before="0"/>
        <w:rPr>
          <w:sz w:val="6"/>
        </w:rPr>
      </w:pPr>
    </w:p>
    <w:p>
      <w:pPr>
        <w:spacing w:after="0" w:before="0" w:lineRule="exact" w:line="20"/>
        <w:sectPr>
          <w:headerReference w:type="default" r:id="rId11"/>
          <w:footerReference w:type="default" r:id="rId12"/>
          <w:pgSz w:w="16834" w:h="11909" w:orient="landscape"/>
          <w:pgMar w:top="1224" w:right="1152" w:bottom="1152" w:left="1152" w:header="504" w:footer="504" w:gutter="0"/>
          <w:cols w:space="720"/>
          <w:docGrid w:linePitch="360"/>
        </w:sectPr>
      </w:pPr>
    </w:p>
    <w:p>
      <w:pPr>
        <w:pStyle w:val="Heading2"/>
      </w:pPr>
      <w:r>
        <w:t>2.3 The default chart of accounts</w:t>
      </w:r>
    </w:p>
    <w:p>
      <w:r>
        <w:t>A new company starts from this chart (utils/defaultChart.js). It has five categories (Assets, Liabilities, Equity, Income, Expenses). Categories hold groups, groups can hold groups, and groups hold accounts, for example Assets &gt; Current Assets &gt; Bank &gt; Bank Account. Customer and vendor accounts are not listed; they are created per party (section 2.4).</w:t>
      </w:r>
    </w:p>
    <w:p>
      <w:pPr>
        <w:pStyle w:val="Caption"/>
      </w:pPr>
      <w:r>
        <w:t>Table 7. The 19 default groups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473"/>
        <w:gridCol w:w="873"/>
        <w:gridCol w:w="1309"/>
        <w:gridCol w:w="2037"/>
        <w:gridCol w:w="2910"/>
      </w:tblGrid>
      <w:tr>
        <w:trPr>
          <w:tblHeader w:val="true"/>
          <w:cantSplit w:val="true"/>
        </w:trPr>
        <w:tc>
          <w:tcPr>
            <w:tcW w:type="dxa" w:w="2474"/>
            <w:shd w:val="clear" w:color="auto" w:fill="1F3A5F"/>
            <w:tcMar>
              <w:top w:w="20" w:type="dxa"/>
              <w:left w:w="60" w:type="dxa"/>
              <w:bottom w:w="20" w:type="dxa"/>
              <w:right w:w="60" w:type="dxa"/>
            </w:tcMar>
            <w:vAlign w:val="center"/>
          </w:tcPr>
          <w:p>
            <w:pPr>
              <w:spacing w:after="10" w:before="0" w:line="240" w:lineRule="auto"/>
            </w:pPr>
            <w:r>
              <w:rPr>
                <w:b/>
                <w:color w:val="FFFFFF"/>
                <w:sz w:val="17"/>
              </w:rPr>
              <w:t>Group</w:t>
            </w:r>
          </w:p>
        </w:tc>
        <w:tc>
          <w:tcPr>
            <w:tcW w:type="dxa" w:w="873"/>
            <w:shd w:val="clear" w:color="auto" w:fill="1F3A5F"/>
            <w:tcMar>
              <w:top w:w="20" w:type="dxa"/>
              <w:left w:w="60" w:type="dxa"/>
              <w:bottom w:w="20" w:type="dxa"/>
              <w:right w:w="60" w:type="dxa"/>
            </w:tcMar>
            <w:vAlign w:val="center"/>
          </w:tcPr>
          <w:p>
            <w:pPr>
              <w:spacing w:after="10" w:before="0" w:line="240" w:lineRule="auto"/>
            </w:pPr>
            <w:r>
              <w:rPr>
                <w:b/>
                <w:color w:val="FFFFFF"/>
                <w:sz w:val="17"/>
              </w:rPr>
              <w:t>Prefix</w:t>
            </w:r>
          </w:p>
        </w:tc>
        <w:tc>
          <w:tcPr>
            <w:tcW w:type="dxa" w:w="1310"/>
            <w:shd w:val="clear" w:color="auto" w:fill="1F3A5F"/>
            <w:tcMar>
              <w:top w:w="20" w:type="dxa"/>
              <w:left w:w="60" w:type="dxa"/>
              <w:bottom w:w="20" w:type="dxa"/>
              <w:right w:w="60" w:type="dxa"/>
            </w:tcMar>
            <w:vAlign w:val="center"/>
          </w:tcPr>
          <w:p>
            <w:pPr>
              <w:spacing w:after="10" w:before="0" w:line="240" w:lineRule="auto"/>
            </w:pPr>
            <w:r>
              <w:rPr>
                <w:b/>
                <w:color w:val="FFFFFF"/>
                <w:sz w:val="17"/>
              </w:rPr>
              <w:t>Category</w:t>
            </w:r>
          </w:p>
        </w:tc>
        <w:tc>
          <w:tcPr>
            <w:tcW w:type="dxa" w:w="2037"/>
            <w:shd w:val="clear" w:color="auto" w:fill="1F3A5F"/>
            <w:tcMar>
              <w:top w:w="20" w:type="dxa"/>
              <w:left w:w="60" w:type="dxa"/>
              <w:bottom w:w="20" w:type="dxa"/>
              <w:right w:w="60" w:type="dxa"/>
            </w:tcMar>
            <w:vAlign w:val="center"/>
          </w:tcPr>
          <w:p>
            <w:pPr>
              <w:spacing w:after="10" w:before="0" w:line="240" w:lineRule="auto"/>
            </w:pPr>
            <w:r>
              <w:rPr>
                <w:b/>
                <w:color w:val="FFFFFF"/>
                <w:sz w:val="17"/>
              </w:rPr>
              <w:t>Parent group</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Posting-map keys that point at it</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Current Assets</w:t>
            </w:r>
          </w:p>
        </w:tc>
        <w:tc>
          <w:tcPr>
            <w:tcW w:type="dxa" w:w="873"/>
            <w:tcMar>
              <w:top w:w="20" w:type="dxa"/>
              <w:left w:w="60" w:type="dxa"/>
              <w:bottom w:w="20" w:type="dxa"/>
              <w:right w:w="60" w:type="dxa"/>
            </w:tcMar>
            <w:vAlign w:val="top"/>
          </w:tcPr>
          <w:p>
            <w:pPr>
              <w:spacing w:after="10" w:before="0" w:line="240" w:lineRule="auto"/>
            </w:pPr>
            <w:r>
              <w:rPr>
                <w:sz w:val="17"/>
              </w:rPr>
              <w:t>CA</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Cash</w:t>
            </w:r>
          </w:p>
        </w:tc>
        <w:tc>
          <w:tcPr>
            <w:tcW w:type="dxa" w:w="873"/>
            <w:tcMar>
              <w:top w:w="20" w:type="dxa"/>
              <w:left w:w="60" w:type="dxa"/>
              <w:bottom w:w="20" w:type="dxa"/>
              <w:right w:w="60" w:type="dxa"/>
            </w:tcMar>
            <w:vAlign w:val="top"/>
          </w:tcPr>
          <w:p>
            <w:pPr>
              <w:spacing w:after="10" w:before="0" w:line="240" w:lineRule="auto"/>
            </w:pPr>
            <w:r>
              <w:rPr>
                <w:sz w:val="17"/>
              </w:rPr>
              <w:t>CASH</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r>
              <w:rPr>
                <w:sz w:val="17"/>
              </w:rPr>
              <w:t>Current Assets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cash-account-group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Bank</w:t>
            </w:r>
          </w:p>
        </w:tc>
        <w:tc>
          <w:tcPr>
            <w:tcW w:type="dxa" w:w="873"/>
            <w:tcMar>
              <w:top w:w="20" w:type="dxa"/>
              <w:left w:w="60" w:type="dxa"/>
              <w:bottom w:w="20" w:type="dxa"/>
              <w:right w:w="60" w:type="dxa"/>
            </w:tcMar>
            <w:vAlign w:val="top"/>
          </w:tcPr>
          <w:p>
            <w:pPr>
              <w:spacing w:after="10" w:before="0" w:line="240" w:lineRule="auto"/>
            </w:pPr>
            <w:r>
              <w:rPr>
                <w:sz w:val="17"/>
              </w:rPr>
              <w:t>BANK</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r>
              <w:rPr>
                <w:sz w:val="17"/>
              </w:rPr>
              <w:t>Current Assets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bank-account-group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Accounts Receivable</w:t>
            </w:r>
          </w:p>
        </w:tc>
        <w:tc>
          <w:tcPr>
            <w:tcW w:type="dxa" w:w="873"/>
            <w:tcMar>
              <w:top w:w="20" w:type="dxa"/>
              <w:left w:w="60" w:type="dxa"/>
              <w:bottom w:w="20" w:type="dxa"/>
              <w:right w:w="60" w:type="dxa"/>
            </w:tcMar>
            <w:vAlign w:val="top"/>
          </w:tcPr>
          <w:p>
            <w:pPr>
              <w:spacing w:after="10" w:before="0" w:line="240" w:lineRule="auto"/>
            </w:pPr>
            <w:r>
              <w:rPr>
                <w:sz w:val="17"/>
              </w:rPr>
              <w:t>AR</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r>
              <w:rPr>
                <w:sz w:val="17"/>
              </w:rPr>
              <w:t>Current Assets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account-receivable-group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Inventory</w:t>
            </w:r>
          </w:p>
        </w:tc>
        <w:tc>
          <w:tcPr>
            <w:tcW w:type="dxa" w:w="873"/>
            <w:tcMar>
              <w:top w:w="20" w:type="dxa"/>
              <w:left w:w="60" w:type="dxa"/>
              <w:bottom w:w="20" w:type="dxa"/>
              <w:right w:w="60" w:type="dxa"/>
            </w:tcMar>
            <w:vAlign w:val="top"/>
          </w:tcPr>
          <w:p>
            <w:pPr>
              <w:spacing w:after="10" w:before="0" w:line="240" w:lineRule="auto"/>
            </w:pPr>
            <w:r>
              <w:rPr>
                <w:sz w:val="17"/>
              </w:rPr>
              <w:t>INV</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r>
              <w:rPr>
                <w:sz w:val="17"/>
              </w:rPr>
              <w:t>Current Assets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inventory-asset-group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Tax Receivable</w:t>
            </w:r>
          </w:p>
        </w:tc>
        <w:tc>
          <w:tcPr>
            <w:tcW w:type="dxa" w:w="873"/>
            <w:tcMar>
              <w:top w:w="20" w:type="dxa"/>
              <w:left w:w="60" w:type="dxa"/>
              <w:bottom w:w="20" w:type="dxa"/>
              <w:right w:w="60" w:type="dxa"/>
            </w:tcMar>
            <w:vAlign w:val="top"/>
          </w:tcPr>
          <w:p>
            <w:pPr>
              <w:spacing w:after="10" w:before="0" w:line="240" w:lineRule="auto"/>
            </w:pPr>
            <w:r>
              <w:rPr>
                <w:sz w:val="17"/>
              </w:rPr>
              <w:t>TAXA</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r>
              <w:rPr>
                <w:sz w:val="17"/>
              </w:rPr>
              <w:t>Current Assets</w:t>
            </w: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Post-dated Cheques Received</w:t>
            </w:r>
          </w:p>
        </w:tc>
        <w:tc>
          <w:tcPr>
            <w:tcW w:type="dxa" w:w="873"/>
            <w:tcMar>
              <w:top w:w="20" w:type="dxa"/>
              <w:left w:w="60" w:type="dxa"/>
              <w:bottom w:w="20" w:type="dxa"/>
              <w:right w:w="60" w:type="dxa"/>
            </w:tcMar>
            <w:vAlign w:val="top"/>
          </w:tcPr>
          <w:p>
            <w:pPr>
              <w:spacing w:after="10" w:before="0" w:line="240" w:lineRule="auto"/>
            </w:pPr>
            <w:r>
              <w:rPr>
                <w:sz w:val="17"/>
              </w:rPr>
              <w:t>PDCR</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r>
              <w:rPr>
                <w:sz w:val="17"/>
              </w:rPr>
              <w:t>Current Assets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pdc-receipt-group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Fixed Assets</w:t>
            </w:r>
          </w:p>
        </w:tc>
        <w:tc>
          <w:tcPr>
            <w:tcW w:type="dxa" w:w="873"/>
            <w:tcMar>
              <w:top w:w="20" w:type="dxa"/>
              <w:left w:w="60" w:type="dxa"/>
              <w:bottom w:w="20" w:type="dxa"/>
              <w:right w:w="60" w:type="dxa"/>
            </w:tcMar>
            <w:vAlign w:val="top"/>
          </w:tcPr>
          <w:p>
            <w:pPr>
              <w:spacing w:after="10" w:before="0" w:line="240" w:lineRule="auto"/>
            </w:pPr>
            <w:r>
              <w:rPr>
                <w:sz w:val="17"/>
              </w:rPr>
              <w:t>FA</w:t>
            </w:r>
          </w:p>
        </w:tc>
        <w:tc>
          <w:tcPr>
            <w:tcW w:type="dxa" w:w="1310"/>
            <w:tcMar>
              <w:top w:w="20" w:type="dxa"/>
              <w:left w:w="60" w:type="dxa"/>
              <w:bottom w:w="20" w:type="dxa"/>
              <w:right w:w="60" w:type="dxa"/>
            </w:tcMar>
            <w:vAlign w:val="top"/>
          </w:tcPr>
          <w:p>
            <w:pPr>
              <w:spacing w:after="10" w:before="0" w:line="240" w:lineRule="auto"/>
            </w:pPr>
            <w:r>
              <w:rPr>
                <w:sz w:val="17"/>
              </w:rPr>
              <w:t>Asset</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Current Liabilities</w:t>
            </w:r>
          </w:p>
        </w:tc>
        <w:tc>
          <w:tcPr>
            <w:tcW w:type="dxa" w:w="873"/>
            <w:tcMar>
              <w:top w:w="20" w:type="dxa"/>
              <w:left w:w="60" w:type="dxa"/>
              <w:bottom w:w="20" w:type="dxa"/>
              <w:right w:w="60" w:type="dxa"/>
            </w:tcMar>
            <w:vAlign w:val="top"/>
          </w:tcPr>
          <w:p>
            <w:pPr>
              <w:spacing w:after="10" w:before="0" w:line="240" w:lineRule="auto"/>
            </w:pPr>
            <w:r>
              <w:rPr>
                <w:sz w:val="17"/>
              </w:rPr>
              <w:t>CL</w:t>
            </w:r>
          </w:p>
        </w:tc>
        <w:tc>
          <w:tcPr>
            <w:tcW w:type="dxa" w:w="1310"/>
            <w:tcMar>
              <w:top w:w="20" w:type="dxa"/>
              <w:left w:w="60" w:type="dxa"/>
              <w:bottom w:w="20" w:type="dxa"/>
              <w:right w:w="60" w:type="dxa"/>
            </w:tcMar>
            <w:vAlign w:val="top"/>
          </w:tcPr>
          <w:p>
            <w:pPr>
              <w:spacing w:after="10" w:before="0" w:line="240" w:lineRule="auto"/>
            </w:pPr>
            <w:r>
              <w:rPr>
                <w:sz w:val="17"/>
              </w:rPr>
              <w:t>Liability</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Accounts Payable</w:t>
            </w:r>
          </w:p>
        </w:tc>
        <w:tc>
          <w:tcPr>
            <w:tcW w:type="dxa" w:w="873"/>
            <w:tcMar>
              <w:top w:w="20" w:type="dxa"/>
              <w:left w:w="60" w:type="dxa"/>
              <w:bottom w:w="20" w:type="dxa"/>
              <w:right w:w="60" w:type="dxa"/>
            </w:tcMar>
            <w:vAlign w:val="top"/>
          </w:tcPr>
          <w:p>
            <w:pPr>
              <w:spacing w:after="10" w:before="0" w:line="240" w:lineRule="auto"/>
            </w:pPr>
            <w:r>
              <w:rPr>
                <w:sz w:val="17"/>
              </w:rPr>
              <w:t>AP</w:t>
            </w:r>
          </w:p>
        </w:tc>
        <w:tc>
          <w:tcPr>
            <w:tcW w:type="dxa" w:w="1310"/>
            <w:tcMar>
              <w:top w:w="20" w:type="dxa"/>
              <w:left w:w="60" w:type="dxa"/>
              <w:bottom w:w="20" w:type="dxa"/>
              <w:right w:w="60" w:type="dxa"/>
            </w:tcMar>
            <w:vAlign w:val="top"/>
          </w:tcPr>
          <w:p>
            <w:pPr>
              <w:spacing w:after="10" w:before="0" w:line="240" w:lineRule="auto"/>
            </w:pPr>
            <w:r>
              <w:rPr>
                <w:sz w:val="17"/>
              </w:rPr>
              <w:t>Liability</w:t>
            </w:r>
          </w:p>
        </w:tc>
        <w:tc>
          <w:tcPr>
            <w:tcW w:type="dxa" w:w="2037"/>
            <w:tcMar>
              <w:top w:w="20" w:type="dxa"/>
              <w:left w:w="60" w:type="dxa"/>
              <w:bottom w:w="20" w:type="dxa"/>
              <w:right w:w="60" w:type="dxa"/>
            </w:tcMar>
            <w:vAlign w:val="top"/>
          </w:tcPr>
          <w:p>
            <w:pPr>
              <w:spacing w:after="10" w:before="0" w:line="240" w:lineRule="auto"/>
            </w:pPr>
            <w:r>
              <w:rPr>
                <w:sz w:val="17"/>
              </w:rPr>
              <w:t>Current Liabilities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account-payable-group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Tax Payable</w:t>
            </w:r>
          </w:p>
        </w:tc>
        <w:tc>
          <w:tcPr>
            <w:tcW w:type="dxa" w:w="873"/>
            <w:tcMar>
              <w:top w:w="20" w:type="dxa"/>
              <w:left w:w="60" w:type="dxa"/>
              <w:bottom w:w="20" w:type="dxa"/>
              <w:right w:w="60" w:type="dxa"/>
            </w:tcMar>
            <w:vAlign w:val="top"/>
          </w:tcPr>
          <w:p>
            <w:pPr>
              <w:spacing w:after="10" w:before="0" w:line="240" w:lineRule="auto"/>
            </w:pPr>
            <w:r>
              <w:rPr>
                <w:sz w:val="17"/>
              </w:rPr>
              <w:t>TAXL</w:t>
            </w:r>
          </w:p>
        </w:tc>
        <w:tc>
          <w:tcPr>
            <w:tcW w:type="dxa" w:w="1310"/>
            <w:tcMar>
              <w:top w:w="20" w:type="dxa"/>
              <w:left w:w="60" w:type="dxa"/>
              <w:bottom w:w="20" w:type="dxa"/>
              <w:right w:w="60" w:type="dxa"/>
            </w:tcMar>
            <w:vAlign w:val="top"/>
          </w:tcPr>
          <w:p>
            <w:pPr>
              <w:spacing w:after="10" w:before="0" w:line="240" w:lineRule="auto"/>
            </w:pPr>
            <w:r>
              <w:rPr>
                <w:sz w:val="17"/>
              </w:rPr>
              <w:t>Liability</w:t>
            </w:r>
          </w:p>
        </w:tc>
        <w:tc>
          <w:tcPr>
            <w:tcW w:type="dxa" w:w="2037"/>
            <w:tcMar>
              <w:top w:w="20" w:type="dxa"/>
              <w:left w:w="60" w:type="dxa"/>
              <w:bottom w:w="20" w:type="dxa"/>
              <w:right w:w="60" w:type="dxa"/>
            </w:tcMar>
            <w:vAlign w:val="top"/>
          </w:tcPr>
          <w:p>
            <w:pPr>
              <w:spacing w:after="10" w:before="0" w:line="240" w:lineRule="auto"/>
            </w:pPr>
            <w:r>
              <w:rPr>
                <w:sz w:val="17"/>
              </w:rPr>
              <w:t>Current Liabilities</w:t>
            </w: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Post-dated Cheques Issued</w:t>
            </w:r>
          </w:p>
        </w:tc>
        <w:tc>
          <w:tcPr>
            <w:tcW w:type="dxa" w:w="873"/>
            <w:tcMar>
              <w:top w:w="20" w:type="dxa"/>
              <w:left w:w="60" w:type="dxa"/>
              <w:bottom w:w="20" w:type="dxa"/>
              <w:right w:w="60" w:type="dxa"/>
            </w:tcMar>
            <w:vAlign w:val="top"/>
          </w:tcPr>
          <w:p>
            <w:pPr>
              <w:spacing w:after="10" w:before="0" w:line="240" w:lineRule="auto"/>
            </w:pPr>
            <w:r>
              <w:rPr>
                <w:sz w:val="17"/>
              </w:rPr>
              <w:t>PDCI</w:t>
            </w:r>
          </w:p>
        </w:tc>
        <w:tc>
          <w:tcPr>
            <w:tcW w:type="dxa" w:w="1310"/>
            <w:tcMar>
              <w:top w:w="20" w:type="dxa"/>
              <w:left w:w="60" w:type="dxa"/>
              <w:bottom w:w="20" w:type="dxa"/>
              <w:right w:w="60" w:type="dxa"/>
            </w:tcMar>
            <w:vAlign w:val="top"/>
          </w:tcPr>
          <w:p>
            <w:pPr>
              <w:spacing w:after="10" w:before="0" w:line="240" w:lineRule="auto"/>
            </w:pPr>
            <w:r>
              <w:rPr>
                <w:sz w:val="17"/>
              </w:rPr>
              <w:t>Liability</w:t>
            </w:r>
          </w:p>
        </w:tc>
        <w:tc>
          <w:tcPr>
            <w:tcW w:type="dxa" w:w="2037"/>
            <w:tcMar>
              <w:top w:w="20" w:type="dxa"/>
              <w:left w:w="60" w:type="dxa"/>
              <w:bottom w:w="20" w:type="dxa"/>
              <w:right w:w="60" w:type="dxa"/>
            </w:tcMar>
            <w:vAlign w:val="top"/>
          </w:tcPr>
          <w:p>
            <w:pPr>
              <w:spacing w:after="10" w:before="0" w:line="240" w:lineRule="auto"/>
            </w:pPr>
            <w:r>
              <w:rPr>
                <w:sz w:val="17"/>
              </w:rPr>
              <w:t>Current Liabilities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pdc-issue-group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Credit Cards</w:t>
            </w:r>
          </w:p>
        </w:tc>
        <w:tc>
          <w:tcPr>
            <w:tcW w:type="dxa" w:w="873"/>
            <w:tcMar>
              <w:top w:w="20" w:type="dxa"/>
              <w:left w:w="60" w:type="dxa"/>
              <w:bottom w:w="20" w:type="dxa"/>
              <w:right w:w="60" w:type="dxa"/>
            </w:tcMar>
            <w:vAlign w:val="top"/>
          </w:tcPr>
          <w:p>
            <w:pPr>
              <w:spacing w:after="10" w:before="0" w:line="240" w:lineRule="auto"/>
            </w:pPr>
            <w:r>
              <w:rPr>
                <w:sz w:val="17"/>
              </w:rPr>
              <w:t>CC</w:t>
            </w:r>
          </w:p>
        </w:tc>
        <w:tc>
          <w:tcPr>
            <w:tcW w:type="dxa" w:w="1310"/>
            <w:tcMar>
              <w:top w:w="20" w:type="dxa"/>
              <w:left w:w="60" w:type="dxa"/>
              <w:bottom w:w="20" w:type="dxa"/>
              <w:right w:w="60" w:type="dxa"/>
            </w:tcMar>
            <w:vAlign w:val="top"/>
          </w:tcPr>
          <w:p>
            <w:pPr>
              <w:spacing w:after="10" w:before="0" w:line="240" w:lineRule="auto"/>
            </w:pPr>
            <w:r>
              <w:rPr>
                <w:sz w:val="17"/>
              </w:rPr>
              <w:t>Liability</w:t>
            </w:r>
          </w:p>
        </w:tc>
        <w:tc>
          <w:tcPr>
            <w:tcW w:type="dxa" w:w="2037"/>
            <w:tcMar>
              <w:top w:w="20" w:type="dxa"/>
              <w:left w:w="60" w:type="dxa"/>
              <w:bottom w:w="20" w:type="dxa"/>
              <w:right w:w="60" w:type="dxa"/>
            </w:tcMar>
            <w:vAlign w:val="top"/>
          </w:tcPr>
          <w:p>
            <w:pPr>
              <w:spacing w:after="10" w:before="0" w:line="240" w:lineRule="auto"/>
            </w:pPr>
            <w:r>
              <w:rPr>
                <w:sz w:val="17"/>
              </w:rPr>
              <w:t>Current Liabilities</w:t>
            </w: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credit-card-group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Long-term Liabilities</w:t>
            </w:r>
          </w:p>
        </w:tc>
        <w:tc>
          <w:tcPr>
            <w:tcW w:type="dxa" w:w="873"/>
            <w:tcMar>
              <w:top w:w="20" w:type="dxa"/>
              <w:left w:w="60" w:type="dxa"/>
              <w:bottom w:w="20" w:type="dxa"/>
              <w:right w:w="60" w:type="dxa"/>
            </w:tcMar>
            <w:vAlign w:val="top"/>
          </w:tcPr>
          <w:p>
            <w:pPr>
              <w:spacing w:after="10" w:before="0" w:line="240" w:lineRule="auto"/>
            </w:pPr>
            <w:r>
              <w:rPr>
                <w:sz w:val="17"/>
              </w:rPr>
              <w:t>LTL</w:t>
            </w:r>
          </w:p>
        </w:tc>
        <w:tc>
          <w:tcPr>
            <w:tcW w:type="dxa" w:w="1310"/>
            <w:tcMar>
              <w:top w:w="20" w:type="dxa"/>
              <w:left w:w="60" w:type="dxa"/>
              <w:bottom w:w="20" w:type="dxa"/>
              <w:right w:w="60" w:type="dxa"/>
            </w:tcMar>
            <w:vAlign w:val="top"/>
          </w:tcPr>
          <w:p>
            <w:pPr>
              <w:spacing w:after="10" w:before="0" w:line="240" w:lineRule="auto"/>
            </w:pPr>
            <w:r>
              <w:rPr>
                <w:sz w:val="17"/>
              </w:rPr>
              <w:t>Liability</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Equity</w:t>
            </w:r>
          </w:p>
        </w:tc>
        <w:tc>
          <w:tcPr>
            <w:tcW w:type="dxa" w:w="873"/>
            <w:tcMar>
              <w:top w:w="20" w:type="dxa"/>
              <w:left w:w="60" w:type="dxa"/>
              <w:bottom w:w="20" w:type="dxa"/>
              <w:right w:w="60" w:type="dxa"/>
            </w:tcMar>
            <w:vAlign w:val="top"/>
          </w:tcPr>
          <w:p>
            <w:pPr>
              <w:spacing w:after="10" w:before="0" w:line="240" w:lineRule="auto"/>
            </w:pPr>
            <w:r>
              <w:rPr>
                <w:sz w:val="17"/>
              </w:rPr>
              <w:t>EQ</w:t>
            </w:r>
          </w:p>
        </w:tc>
        <w:tc>
          <w:tcPr>
            <w:tcW w:type="dxa" w:w="1310"/>
            <w:tcMar>
              <w:top w:w="20" w:type="dxa"/>
              <w:left w:w="60" w:type="dxa"/>
              <w:bottom w:w="20" w:type="dxa"/>
              <w:right w:w="60" w:type="dxa"/>
            </w:tcMar>
            <w:vAlign w:val="top"/>
          </w:tcPr>
          <w:p>
            <w:pPr>
              <w:spacing w:after="10" w:before="0" w:line="240" w:lineRule="auto"/>
            </w:pPr>
            <w:r>
              <w:rPr>
                <w:sz w:val="17"/>
              </w:rPr>
              <w:t>Equity</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Sales Income</w:t>
            </w:r>
          </w:p>
        </w:tc>
        <w:tc>
          <w:tcPr>
            <w:tcW w:type="dxa" w:w="873"/>
            <w:tcMar>
              <w:top w:w="20" w:type="dxa"/>
              <w:left w:w="60" w:type="dxa"/>
              <w:bottom w:w="20" w:type="dxa"/>
              <w:right w:w="60" w:type="dxa"/>
            </w:tcMar>
            <w:vAlign w:val="top"/>
          </w:tcPr>
          <w:p>
            <w:pPr>
              <w:spacing w:after="10" w:before="0" w:line="240" w:lineRule="auto"/>
            </w:pPr>
            <w:r>
              <w:rPr>
                <w:sz w:val="17"/>
              </w:rPr>
              <w:t>SAL</w:t>
            </w:r>
          </w:p>
        </w:tc>
        <w:tc>
          <w:tcPr>
            <w:tcW w:type="dxa" w:w="1310"/>
            <w:tcMar>
              <w:top w:w="20" w:type="dxa"/>
              <w:left w:w="60" w:type="dxa"/>
              <w:bottom w:w="20" w:type="dxa"/>
              <w:right w:w="60" w:type="dxa"/>
            </w:tcMar>
            <w:vAlign w:val="top"/>
          </w:tcPr>
          <w:p>
            <w:pPr>
              <w:spacing w:after="10" w:before="0" w:line="240" w:lineRule="auto"/>
            </w:pPr>
            <w:r>
              <w:rPr>
                <w:sz w:val="17"/>
              </w:rPr>
              <w:t>Income</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sales-income-group</w:t>
            </w:r>
            <w:r>
              <w:rPr>
                <w:sz w:val="17"/>
              </w:rPr>
              <w:t xml:space="preserve">, </w:t>
            </w:r>
            <w:r>
              <w:rPr>
                <w:rFonts w:ascii="Consolas" w:hAnsi="Consolas" w:eastAsia="Consolas"/>
                <w:sz w:val="16"/>
              </w:rPr>
              <w:t>direct-income-group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Other Income</w:t>
            </w:r>
          </w:p>
        </w:tc>
        <w:tc>
          <w:tcPr>
            <w:tcW w:type="dxa" w:w="873"/>
            <w:tcMar>
              <w:top w:w="20" w:type="dxa"/>
              <w:left w:w="60" w:type="dxa"/>
              <w:bottom w:w="20" w:type="dxa"/>
              <w:right w:w="60" w:type="dxa"/>
            </w:tcMar>
            <w:vAlign w:val="top"/>
          </w:tcPr>
          <w:p>
            <w:pPr>
              <w:spacing w:after="10" w:before="0" w:line="240" w:lineRule="auto"/>
            </w:pPr>
            <w:r>
              <w:rPr>
                <w:sz w:val="17"/>
              </w:rPr>
              <w:t>OI</w:t>
            </w:r>
          </w:p>
        </w:tc>
        <w:tc>
          <w:tcPr>
            <w:tcW w:type="dxa" w:w="1310"/>
            <w:tcMar>
              <w:top w:w="20" w:type="dxa"/>
              <w:left w:w="60" w:type="dxa"/>
              <w:bottom w:w="20" w:type="dxa"/>
              <w:right w:w="60" w:type="dxa"/>
            </w:tcMar>
            <w:vAlign w:val="top"/>
          </w:tcPr>
          <w:p>
            <w:pPr>
              <w:spacing w:after="10" w:before="0" w:line="240" w:lineRule="auto"/>
            </w:pPr>
            <w:r>
              <w:rPr>
                <w:sz w:val="17"/>
              </w:rPr>
              <w:t>Income</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indirect-income-group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Cost of Goods Sold</w:t>
            </w:r>
          </w:p>
        </w:tc>
        <w:tc>
          <w:tcPr>
            <w:tcW w:type="dxa" w:w="873"/>
            <w:tcMar>
              <w:top w:w="20" w:type="dxa"/>
              <w:left w:w="60" w:type="dxa"/>
              <w:bottom w:w="20" w:type="dxa"/>
              <w:right w:w="60" w:type="dxa"/>
            </w:tcMar>
            <w:vAlign w:val="top"/>
          </w:tcPr>
          <w:p>
            <w:pPr>
              <w:spacing w:after="10" w:before="0" w:line="240" w:lineRule="auto"/>
            </w:pPr>
            <w:r>
              <w:rPr>
                <w:sz w:val="17"/>
              </w:rPr>
              <w:t>COGS</w:t>
            </w:r>
          </w:p>
        </w:tc>
        <w:tc>
          <w:tcPr>
            <w:tcW w:type="dxa" w:w="1310"/>
            <w:tcMar>
              <w:top w:w="20" w:type="dxa"/>
              <w:left w:w="60" w:type="dxa"/>
              <w:bottom w:w="20" w:type="dxa"/>
              <w:right w:w="60" w:type="dxa"/>
            </w:tcMar>
            <w:vAlign w:val="top"/>
          </w:tcPr>
          <w:p>
            <w:pPr>
              <w:spacing w:after="10" w:before="0" w:line="240" w:lineRule="auto"/>
            </w:pPr>
            <w:r>
              <w:rPr>
                <w:sz w:val="17"/>
              </w:rPr>
              <w:t>Expense</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purchase-expense-group</w:t>
            </w:r>
            <w:r>
              <w:rPr>
                <w:sz w:val="17"/>
              </w:rPr>
              <w:t xml:space="preserve">, </w:t>
            </w:r>
            <w:r>
              <w:rPr>
                <w:rFonts w:ascii="Consolas" w:hAnsi="Consolas" w:eastAsia="Consolas"/>
                <w:sz w:val="16"/>
              </w:rPr>
              <w:t>direct-expense-group</w:t>
            </w:r>
          </w:p>
        </w:tc>
      </w:tr>
      <w:tr>
        <w:trPr>
          <w:cantSplit w:val="true"/>
        </w:trPr>
        <w:tc>
          <w:tcPr>
            <w:tcW w:type="dxa" w:w="2474"/>
            <w:tcMar>
              <w:top w:w="20" w:type="dxa"/>
              <w:left w:w="60" w:type="dxa"/>
              <w:bottom w:w="20" w:type="dxa"/>
              <w:right w:w="60" w:type="dxa"/>
            </w:tcMar>
            <w:vAlign w:val="top"/>
          </w:tcPr>
          <w:p>
            <w:pPr>
              <w:spacing w:after="10" w:before="0" w:line="240" w:lineRule="auto"/>
            </w:pPr>
            <w:r>
              <w:rPr>
                <w:b/>
                <w:sz w:val="17"/>
              </w:rPr>
              <w:t>Operating Expenses</w:t>
            </w:r>
          </w:p>
        </w:tc>
        <w:tc>
          <w:tcPr>
            <w:tcW w:type="dxa" w:w="873"/>
            <w:tcMar>
              <w:top w:w="20" w:type="dxa"/>
              <w:left w:w="60" w:type="dxa"/>
              <w:bottom w:w="20" w:type="dxa"/>
              <w:right w:w="60" w:type="dxa"/>
            </w:tcMar>
            <w:vAlign w:val="top"/>
          </w:tcPr>
          <w:p>
            <w:pPr>
              <w:spacing w:after="10" w:before="0" w:line="240" w:lineRule="auto"/>
            </w:pPr>
            <w:r>
              <w:rPr>
                <w:sz w:val="17"/>
              </w:rPr>
              <w:t>OPEX</w:t>
            </w:r>
          </w:p>
        </w:tc>
        <w:tc>
          <w:tcPr>
            <w:tcW w:type="dxa" w:w="1310"/>
            <w:tcMar>
              <w:top w:w="20" w:type="dxa"/>
              <w:left w:w="60" w:type="dxa"/>
              <w:bottom w:w="20" w:type="dxa"/>
              <w:right w:w="60" w:type="dxa"/>
            </w:tcMar>
            <w:vAlign w:val="top"/>
          </w:tcPr>
          <w:p>
            <w:pPr>
              <w:spacing w:after="10" w:before="0" w:line="240" w:lineRule="auto"/>
            </w:pPr>
            <w:r>
              <w:rPr>
                <w:sz w:val="17"/>
              </w:rPr>
              <w:t>Expense</w:t>
            </w:r>
          </w:p>
        </w:tc>
        <w:tc>
          <w:tcPr>
            <w:tcW w:type="dxa" w:w="2037"/>
            <w:tcMar>
              <w:top w:w="20" w:type="dxa"/>
              <w:left w:w="60" w:type="dxa"/>
              <w:bottom w:w="20" w:type="dxa"/>
              <w:right w:w="60" w:type="dxa"/>
            </w:tcMar>
            <w:vAlign w:val="top"/>
          </w:tcPr>
          <w:p>
            <w:pPr>
              <w:spacing w:after="10" w:before="0" w:line="240" w:lineRule="auto"/>
            </w:pPr>
          </w:p>
        </w:tc>
        <w:tc>
          <w:tcPr>
            <w:tcW w:type="dxa" w:w="2911"/>
            <w:tcMar>
              <w:top w:w="20" w:type="dxa"/>
              <w:left w:w="60" w:type="dxa"/>
              <w:bottom w:w="20" w:type="dxa"/>
              <w:right w:w="60" w:type="dxa"/>
            </w:tcMar>
            <w:vAlign w:val="top"/>
          </w:tcPr>
          <w:p>
            <w:pPr>
              <w:spacing w:after="10" w:before="0" w:line="240" w:lineRule="auto"/>
            </w:pPr>
            <w:r>
              <w:rPr>
                <w:rFonts w:ascii="Consolas" w:hAnsi="Consolas" w:eastAsia="Consolas"/>
                <w:sz w:val="16"/>
              </w:rPr>
              <w:t>indirect-expense-group</w:t>
            </w:r>
          </w:p>
        </w:tc>
      </w:tr>
    </w:tbl>
    <w:p>
      <w:pPr>
        <w:spacing w:after="0" w:before="0"/>
        <w:rPr>
          <w:sz w:val="6"/>
        </w:rPr>
      </w:pPr>
    </w:p>
    <w:p>
      <w:pPr>
        <w:pStyle w:val="Caption"/>
      </w:pPr>
      <w:r>
        <w:t>Table 8. The 33 default accounts (codes as created on a fresh company)</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082"/>
        <w:gridCol w:w="2976"/>
        <w:gridCol w:w="2299"/>
        <w:gridCol w:w="1082"/>
        <w:gridCol w:w="2164"/>
      </w:tblGrid>
      <w:tr>
        <w:trPr>
          <w:tblHeader w:val="true"/>
          <w:cantSplit w:val="true"/>
        </w:trPr>
        <w:tc>
          <w:tcPr>
            <w:tcW w:type="dxa" w:w="1082"/>
            <w:shd w:val="clear" w:color="auto" w:fill="1F3A5F"/>
            <w:tcMar>
              <w:top w:w="20" w:type="dxa"/>
              <w:left w:w="60" w:type="dxa"/>
              <w:bottom w:w="20" w:type="dxa"/>
              <w:right w:w="60" w:type="dxa"/>
            </w:tcMar>
            <w:vAlign w:val="center"/>
          </w:tcPr>
          <w:p>
            <w:pPr>
              <w:spacing w:after="10" w:before="0" w:line="240" w:lineRule="auto"/>
            </w:pPr>
            <w:r>
              <w:rPr>
                <w:b/>
                <w:color w:val="FFFFFF"/>
                <w:sz w:val="17"/>
              </w:rPr>
              <w:t>Code</w:t>
            </w:r>
          </w:p>
        </w:tc>
        <w:tc>
          <w:tcPr>
            <w:tcW w:type="dxa" w:w="2976"/>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2300"/>
            <w:shd w:val="clear" w:color="auto" w:fill="1F3A5F"/>
            <w:tcMar>
              <w:top w:w="20" w:type="dxa"/>
              <w:left w:w="60" w:type="dxa"/>
              <w:bottom w:w="20" w:type="dxa"/>
              <w:right w:w="60" w:type="dxa"/>
            </w:tcMar>
            <w:vAlign w:val="center"/>
          </w:tcPr>
          <w:p>
            <w:pPr>
              <w:spacing w:after="10" w:before="0" w:line="240" w:lineRule="auto"/>
            </w:pPr>
            <w:r>
              <w:rPr>
                <w:b/>
                <w:color w:val="FFFFFF"/>
                <w:sz w:val="17"/>
              </w:rPr>
              <w:t>Group</w:t>
            </w:r>
          </w:p>
        </w:tc>
        <w:tc>
          <w:tcPr>
            <w:tcW w:type="dxa" w:w="1082"/>
            <w:shd w:val="clear" w:color="auto" w:fill="1F3A5F"/>
            <w:tcMar>
              <w:top w:w="20" w:type="dxa"/>
              <w:left w:w="60" w:type="dxa"/>
              <w:bottom w:w="20" w:type="dxa"/>
              <w:right w:w="60" w:type="dxa"/>
            </w:tcMar>
            <w:vAlign w:val="center"/>
          </w:tcPr>
          <w:p>
            <w:pPr>
              <w:spacing w:after="10" w:before="0" w:line="240" w:lineRule="auto"/>
            </w:pPr>
            <w:r>
              <w:rPr>
                <w:b/>
                <w:color w:val="FFFFFF"/>
                <w:sz w:val="17"/>
              </w:rPr>
              <w:t>Category</w:t>
            </w:r>
          </w:p>
        </w:tc>
        <w:tc>
          <w:tcPr>
            <w:tcW w:type="dxa" w:w="2164"/>
            <w:shd w:val="clear" w:color="auto" w:fill="1F3A5F"/>
            <w:tcMar>
              <w:top w:w="20" w:type="dxa"/>
              <w:left w:w="60" w:type="dxa"/>
              <w:bottom w:w="20" w:type="dxa"/>
              <w:right w:w="60" w:type="dxa"/>
            </w:tcMar>
            <w:vAlign w:val="center"/>
          </w:tcPr>
          <w:p>
            <w:pPr>
              <w:spacing w:after="10" w:before="0" w:line="240" w:lineRule="auto"/>
            </w:pPr>
            <w:r>
              <w:rPr>
                <w:b/>
                <w:color w:val="FFFFFF"/>
                <w:sz w:val="17"/>
              </w:rPr>
              <w:t>Backs key</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CASH0001</w:t>
            </w:r>
          </w:p>
        </w:tc>
        <w:tc>
          <w:tcPr>
            <w:tcW w:type="dxa" w:w="2976"/>
            <w:tcMar>
              <w:top w:w="20" w:type="dxa"/>
              <w:left w:w="60" w:type="dxa"/>
              <w:bottom w:w="20" w:type="dxa"/>
              <w:right w:w="60" w:type="dxa"/>
            </w:tcMar>
            <w:vAlign w:val="top"/>
          </w:tcPr>
          <w:p>
            <w:pPr>
              <w:spacing w:after="10" w:before="0" w:line="240" w:lineRule="auto"/>
            </w:pPr>
            <w:r>
              <w:rPr>
                <w:sz w:val="17"/>
              </w:rPr>
              <w:t>Cash in Hand</w:t>
            </w:r>
          </w:p>
        </w:tc>
        <w:tc>
          <w:tcPr>
            <w:tcW w:type="dxa" w:w="2300"/>
            <w:tcMar>
              <w:top w:w="20" w:type="dxa"/>
              <w:left w:w="60" w:type="dxa"/>
              <w:bottom w:w="20" w:type="dxa"/>
              <w:right w:w="60" w:type="dxa"/>
            </w:tcMar>
            <w:vAlign w:val="top"/>
          </w:tcPr>
          <w:p>
            <w:pPr>
              <w:spacing w:after="10" w:before="0" w:line="240" w:lineRule="auto"/>
            </w:pPr>
            <w:r>
              <w:rPr>
                <w:sz w:val="17"/>
              </w:rPr>
              <w:t>Cash</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CASH0002</w:t>
            </w:r>
          </w:p>
        </w:tc>
        <w:tc>
          <w:tcPr>
            <w:tcW w:type="dxa" w:w="2976"/>
            <w:tcMar>
              <w:top w:w="20" w:type="dxa"/>
              <w:left w:w="60" w:type="dxa"/>
              <w:bottom w:w="20" w:type="dxa"/>
              <w:right w:w="60" w:type="dxa"/>
            </w:tcMar>
            <w:vAlign w:val="top"/>
          </w:tcPr>
          <w:p>
            <w:pPr>
              <w:spacing w:after="10" w:before="0" w:line="240" w:lineRule="auto"/>
            </w:pPr>
            <w:r>
              <w:rPr>
                <w:sz w:val="17"/>
              </w:rPr>
              <w:t>Petty Cash</w:t>
            </w:r>
          </w:p>
        </w:tc>
        <w:tc>
          <w:tcPr>
            <w:tcW w:type="dxa" w:w="2300"/>
            <w:tcMar>
              <w:top w:w="20" w:type="dxa"/>
              <w:left w:w="60" w:type="dxa"/>
              <w:bottom w:w="20" w:type="dxa"/>
              <w:right w:w="60" w:type="dxa"/>
            </w:tcMar>
            <w:vAlign w:val="top"/>
          </w:tcPr>
          <w:p>
            <w:pPr>
              <w:spacing w:after="10" w:before="0" w:line="240" w:lineRule="auto"/>
            </w:pPr>
            <w:r>
              <w:rPr>
                <w:sz w:val="17"/>
              </w:rPr>
              <w:t>Cash</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BANK0001</w:t>
            </w:r>
          </w:p>
        </w:tc>
        <w:tc>
          <w:tcPr>
            <w:tcW w:type="dxa" w:w="2976"/>
            <w:tcMar>
              <w:top w:w="20" w:type="dxa"/>
              <w:left w:w="60" w:type="dxa"/>
              <w:bottom w:w="20" w:type="dxa"/>
              <w:right w:w="60" w:type="dxa"/>
            </w:tcMar>
            <w:vAlign w:val="top"/>
          </w:tcPr>
          <w:p>
            <w:pPr>
              <w:spacing w:after="10" w:before="0" w:line="240" w:lineRule="auto"/>
            </w:pPr>
            <w:r>
              <w:rPr>
                <w:sz w:val="17"/>
              </w:rPr>
              <w:t>Bank Account</w:t>
            </w:r>
          </w:p>
        </w:tc>
        <w:tc>
          <w:tcPr>
            <w:tcW w:type="dxa" w:w="2300"/>
            <w:tcMar>
              <w:top w:w="20" w:type="dxa"/>
              <w:left w:w="60" w:type="dxa"/>
              <w:bottom w:w="20" w:type="dxa"/>
              <w:right w:w="60" w:type="dxa"/>
            </w:tcMar>
            <w:vAlign w:val="top"/>
          </w:tcPr>
          <w:p>
            <w:pPr>
              <w:spacing w:after="10" w:before="0" w:line="240" w:lineRule="auto"/>
            </w:pPr>
            <w:r>
              <w:rPr>
                <w:sz w:val="17"/>
              </w:rPr>
              <w:t>Bank</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INV0001</w:t>
            </w:r>
          </w:p>
        </w:tc>
        <w:tc>
          <w:tcPr>
            <w:tcW w:type="dxa" w:w="2976"/>
            <w:tcMar>
              <w:top w:w="20" w:type="dxa"/>
              <w:left w:w="60" w:type="dxa"/>
              <w:bottom w:w="20" w:type="dxa"/>
              <w:right w:w="60" w:type="dxa"/>
            </w:tcMar>
            <w:vAlign w:val="top"/>
          </w:tcPr>
          <w:p>
            <w:pPr>
              <w:spacing w:after="10" w:before="0" w:line="240" w:lineRule="auto"/>
            </w:pPr>
            <w:r>
              <w:rPr>
                <w:sz w:val="17"/>
              </w:rPr>
              <w:t>Inventory Stock</w:t>
            </w:r>
          </w:p>
        </w:tc>
        <w:tc>
          <w:tcPr>
            <w:tcW w:type="dxa" w:w="2300"/>
            <w:tcMar>
              <w:top w:w="20" w:type="dxa"/>
              <w:left w:w="60" w:type="dxa"/>
              <w:bottom w:w="20" w:type="dxa"/>
              <w:right w:w="60" w:type="dxa"/>
            </w:tcMar>
            <w:vAlign w:val="top"/>
          </w:tcPr>
          <w:p>
            <w:pPr>
              <w:spacing w:after="10" w:before="0" w:line="240" w:lineRule="auto"/>
            </w:pPr>
            <w:r>
              <w:rPr>
                <w:sz w:val="17"/>
              </w:rPr>
              <w:t>Inventory</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inventory-asset</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TAXA0001</w:t>
            </w:r>
          </w:p>
        </w:tc>
        <w:tc>
          <w:tcPr>
            <w:tcW w:type="dxa" w:w="2976"/>
            <w:tcMar>
              <w:top w:w="20" w:type="dxa"/>
              <w:left w:w="60" w:type="dxa"/>
              <w:bottom w:w="20" w:type="dxa"/>
              <w:right w:w="60" w:type="dxa"/>
            </w:tcMar>
            <w:vAlign w:val="top"/>
          </w:tcPr>
          <w:p>
            <w:pPr>
              <w:spacing w:after="10" w:before="0" w:line="240" w:lineRule="auto"/>
            </w:pPr>
            <w:r>
              <w:rPr>
                <w:sz w:val="17"/>
              </w:rPr>
              <w:t>Input VAT</w:t>
            </w:r>
          </w:p>
        </w:tc>
        <w:tc>
          <w:tcPr>
            <w:tcW w:type="dxa" w:w="2300"/>
            <w:tcMar>
              <w:top w:w="20" w:type="dxa"/>
              <w:left w:w="60" w:type="dxa"/>
              <w:bottom w:w="20" w:type="dxa"/>
              <w:right w:w="60" w:type="dxa"/>
            </w:tcMar>
            <w:vAlign w:val="top"/>
          </w:tcPr>
          <w:p>
            <w:pPr>
              <w:spacing w:after="10" w:before="0" w:line="240" w:lineRule="auto"/>
            </w:pPr>
            <w:r>
              <w:rPr>
                <w:sz w:val="17"/>
              </w:rPr>
              <w:t>Tax Receivable</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vat-purchase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PDCR0001</w:t>
            </w:r>
          </w:p>
        </w:tc>
        <w:tc>
          <w:tcPr>
            <w:tcW w:type="dxa" w:w="2976"/>
            <w:tcMar>
              <w:top w:w="20" w:type="dxa"/>
              <w:left w:w="60" w:type="dxa"/>
              <w:bottom w:w="20" w:type="dxa"/>
              <w:right w:w="60" w:type="dxa"/>
            </w:tcMar>
            <w:vAlign w:val="top"/>
          </w:tcPr>
          <w:p>
            <w:pPr>
              <w:spacing w:after="10" w:before="0" w:line="240" w:lineRule="auto"/>
            </w:pPr>
            <w:r>
              <w:rPr>
                <w:sz w:val="17"/>
              </w:rPr>
              <w:t>Cheques in Hand</w:t>
            </w:r>
          </w:p>
        </w:tc>
        <w:tc>
          <w:tcPr>
            <w:tcW w:type="dxa" w:w="2300"/>
            <w:tcMar>
              <w:top w:w="20" w:type="dxa"/>
              <w:left w:w="60" w:type="dxa"/>
              <w:bottom w:w="20" w:type="dxa"/>
              <w:right w:w="60" w:type="dxa"/>
            </w:tcMar>
            <w:vAlign w:val="top"/>
          </w:tcPr>
          <w:p>
            <w:pPr>
              <w:spacing w:after="10" w:before="0" w:line="240" w:lineRule="auto"/>
            </w:pPr>
            <w:r>
              <w:rPr>
                <w:sz w:val="17"/>
              </w:rPr>
              <w:t>Post-dated Cheques Received</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pdc-receipt</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FA0001</w:t>
            </w:r>
          </w:p>
        </w:tc>
        <w:tc>
          <w:tcPr>
            <w:tcW w:type="dxa" w:w="2976"/>
            <w:tcMar>
              <w:top w:w="20" w:type="dxa"/>
              <w:left w:w="60" w:type="dxa"/>
              <w:bottom w:w="20" w:type="dxa"/>
              <w:right w:w="60" w:type="dxa"/>
            </w:tcMar>
            <w:vAlign w:val="top"/>
          </w:tcPr>
          <w:p>
            <w:pPr>
              <w:spacing w:after="10" w:before="0" w:line="240" w:lineRule="auto"/>
            </w:pPr>
            <w:r>
              <w:rPr>
                <w:sz w:val="17"/>
              </w:rPr>
              <w:t>Furniture &amp; Equipment</w:t>
            </w:r>
          </w:p>
        </w:tc>
        <w:tc>
          <w:tcPr>
            <w:tcW w:type="dxa" w:w="2300"/>
            <w:tcMar>
              <w:top w:w="20" w:type="dxa"/>
              <w:left w:w="60" w:type="dxa"/>
              <w:bottom w:w="20" w:type="dxa"/>
              <w:right w:w="60" w:type="dxa"/>
            </w:tcMar>
            <w:vAlign w:val="top"/>
          </w:tcPr>
          <w:p>
            <w:pPr>
              <w:spacing w:after="10" w:before="0" w:line="240" w:lineRule="auto"/>
            </w:pPr>
            <w:r>
              <w:rPr>
                <w:sz w:val="17"/>
              </w:rPr>
              <w:t>Fixed Assets</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FA0002</w:t>
            </w:r>
          </w:p>
        </w:tc>
        <w:tc>
          <w:tcPr>
            <w:tcW w:type="dxa" w:w="2976"/>
            <w:tcMar>
              <w:top w:w="20" w:type="dxa"/>
              <w:left w:w="60" w:type="dxa"/>
              <w:bottom w:w="20" w:type="dxa"/>
              <w:right w:w="60" w:type="dxa"/>
            </w:tcMar>
            <w:vAlign w:val="top"/>
          </w:tcPr>
          <w:p>
            <w:pPr>
              <w:spacing w:after="10" w:before="0" w:line="240" w:lineRule="auto"/>
            </w:pPr>
            <w:r>
              <w:rPr>
                <w:sz w:val="17"/>
              </w:rPr>
              <w:t>Vehicles</w:t>
            </w:r>
          </w:p>
        </w:tc>
        <w:tc>
          <w:tcPr>
            <w:tcW w:type="dxa" w:w="2300"/>
            <w:tcMar>
              <w:top w:w="20" w:type="dxa"/>
              <w:left w:w="60" w:type="dxa"/>
              <w:bottom w:w="20" w:type="dxa"/>
              <w:right w:w="60" w:type="dxa"/>
            </w:tcMar>
            <w:vAlign w:val="top"/>
          </w:tcPr>
          <w:p>
            <w:pPr>
              <w:spacing w:after="10" w:before="0" w:line="240" w:lineRule="auto"/>
            </w:pPr>
            <w:r>
              <w:rPr>
                <w:sz w:val="17"/>
              </w:rPr>
              <w:t>Fixed Assets</w:t>
            </w:r>
          </w:p>
        </w:tc>
        <w:tc>
          <w:tcPr>
            <w:tcW w:type="dxa" w:w="1082"/>
            <w:tcMar>
              <w:top w:w="20" w:type="dxa"/>
              <w:left w:w="60" w:type="dxa"/>
              <w:bottom w:w="20" w:type="dxa"/>
              <w:right w:w="60" w:type="dxa"/>
            </w:tcMar>
            <w:vAlign w:val="top"/>
          </w:tcPr>
          <w:p>
            <w:pPr>
              <w:spacing w:after="10" w:before="0" w:line="240" w:lineRule="auto"/>
            </w:pPr>
            <w:r>
              <w:rPr>
                <w:sz w:val="17"/>
              </w:rPr>
              <w:t>Asset</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TAXL0001</w:t>
            </w:r>
          </w:p>
        </w:tc>
        <w:tc>
          <w:tcPr>
            <w:tcW w:type="dxa" w:w="2976"/>
            <w:tcMar>
              <w:top w:w="20" w:type="dxa"/>
              <w:left w:w="60" w:type="dxa"/>
              <w:bottom w:w="20" w:type="dxa"/>
              <w:right w:w="60" w:type="dxa"/>
            </w:tcMar>
            <w:vAlign w:val="top"/>
          </w:tcPr>
          <w:p>
            <w:pPr>
              <w:spacing w:after="10" w:before="0" w:line="240" w:lineRule="auto"/>
            </w:pPr>
            <w:r>
              <w:rPr>
                <w:sz w:val="17"/>
              </w:rPr>
              <w:t>Output VAT</w:t>
            </w:r>
          </w:p>
        </w:tc>
        <w:tc>
          <w:tcPr>
            <w:tcW w:type="dxa" w:w="2300"/>
            <w:tcMar>
              <w:top w:w="20" w:type="dxa"/>
              <w:left w:w="60" w:type="dxa"/>
              <w:bottom w:w="20" w:type="dxa"/>
              <w:right w:w="60" w:type="dxa"/>
            </w:tcMar>
            <w:vAlign w:val="top"/>
          </w:tcPr>
          <w:p>
            <w:pPr>
              <w:spacing w:after="10" w:before="0" w:line="240" w:lineRule="auto"/>
            </w:pPr>
            <w:r>
              <w:rPr>
                <w:sz w:val="17"/>
              </w:rPr>
              <w:t>Tax Payable</w:t>
            </w:r>
          </w:p>
        </w:tc>
        <w:tc>
          <w:tcPr>
            <w:tcW w:type="dxa" w:w="1082"/>
            <w:tcMar>
              <w:top w:w="20" w:type="dxa"/>
              <w:left w:w="60" w:type="dxa"/>
              <w:bottom w:w="20" w:type="dxa"/>
              <w:right w:w="60" w:type="dxa"/>
            </w:tcMar>
            <w:vAlign w:val="top"/>
          </w:tcPr>
          <w:p>
            <w:pPr>
              <w:spacing w:after="10" w:before="0" w:line="240" w:lineRule="auto"/>
            </w:pPr>
            <w:r>
              <w:rPr>
                <w:sz w:val="17"/>
              </w:rPr>
              <w:t>Liability</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vat-sales</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TAXL0002</w:t>
            </w:r>
          </w:p>
        </w:tc>
        <w:tc>
          <w:tcPr>
            <w:tcW w:type="dxa" w:w="2976"/>
            <w:tcMar>
              <w:top w:w="20" w:type="dxa"/>
              <w:left w:w="60" w:type="dxa"/>
              <w:bottom w:w="20" w:type="dxa"/>
              <w:right w:w="60" w:type="dxa"/>
            </w:tcMar>
            <w:vAlign w:val="top"/>
          </w:tcPr>
          <w:p>
            <w:pPr>
              <w:spacing w:after="10" w:before="0" w:line="240" w:lineRule="auto"/>
            </w:pPr>
            <w:r>
              <w:rPr>
                <w:sz w:val="17"/>
              </w:rPr>
              <w:t>Reverse-charge VAT</w:t>
            </w:r>
          </w:p>
        </w:tc>
        <w:tc>
          <w:tcPr>
            <w:tcW w:type="dxa" w:w="2300"/>
            <w:tcMar>
              <w:top w:w="20" w:type="dxa"/>
              <w:left w:w="60" w:type="dxa"/>
              <w:bottom w:w="20" w:type="dxa"/>
              <w:right w:w="60" w:type="dxa"/>
            </w:tcMar>
            <w:vAlign w:val="top"/>
          </w:tcPr>
          <w:p>
            <w:pPr>
              <w:spacing w:after="10" w:before="0" w:line="240" w:lineRule="auto"/>
            </w:pPr>
            <w:r>
              <w:rPr>
                <w:sz w:val="17"/>
              </w:rPr>
              <w:t>Tax Payable</w:t>
            </w:r>
          </w:p>
        </w:tc>
        <w:tc>
          <w:tcPr>
            <w:tcW w:type="dxa" w:w="1082"/>
            <w:tcMar>
              <w:top w:w="20" w:type="dxa"/>
              <w:left w:w="60" w:type="dxa"/>
              <w:bottom w:w="20" w:type="dxa"/>
              <w:right w:w="60" w:type="dxa"/>
            </w:tcMar>
            <w:vAlign w:val="top"/>
          </w:tcPr>
          <w:p>
            <w:pPr>
              <w:spacing w:after="10" w:before="0" w:line="240" w:lineRule="auto"/>
            </w:pPr>
            <w:r>
              <w:rPr>
                <w:sz w:val="17"/>
              </w:rPr>
              <w:t>Liability</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rcm-purchase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PDCI0001</w:t>
            </w:r>
          </w:p>
        </w:tc>
        <w:tc>
          <w:tcPr>
            <w:tcW w:type="dxa" w:w="2976"/>
            <w:tcMar>
              <w:top w:w="20" w:type="dxa"/>
              <w:left w:w="60" w:type="dxa"/>
              <w:bottom w:w="20" w:type="dxa"/>
              <w:right w:w="60" w:type="dxa"/>
            </w:tcMar>
            <w:vAlign w:val="top"/>
          </w:tcPr>
          <w:p>
            <w:pPr>
              <w:spacing w:after="10" w:before="0" w:line="240" w:lineRule="auto"/>
            </w:pPr>
            <w:r>
              <w:rPr>
                <w:sz w:val="17"/>
              </w:rPr>
              <w:t>Cheques Issued</w:t>
            </w:r>
          </w:p>
        </w:tc>
        <w:tc>
          <w:tcPr>
            <w:tcW w:type="dxa" w:w="2300"/>
            <w:tcMar>
              <w:top w:w="20" w:type="dxa"/>
              <w:left w:w="60" w:type="dxa"/>
              <w:bottom w:w="20" w:type="dxa"/>
              <w:right w:w="60" w:type="dxa"/>
            </w:tcMar>
            <w:vAlign w:val="top"/>
          </w:tcPr>
          <w:p>
            <w:pPr>
              <w:spacing w:after="10" w:before="0" w:line="240" w:lineRule="auto"/>
            </w:pPr>
            <w:r>
              <w:rPr>
                <w:sz w:val="17"/>
              </w:rPr>
              <w:t>Post-dated Cheques Issued</w:t>
            </w:r>
          </w:p>
        </w:tc>
        <w:tc>
          <w:tcPr>
            <w:tcW w:type="dxa" w:w="1082"/>
            <w:tcMar>
              <w:top w:w="20" w:type="dxa"/>
              <w:left w:w="60" w:type="dxa"/>
              <w:bottom w:w="20" w:type="dxa"/>
              <w:right w:w="60" w:type="dxa"/>
            </w:tcMar>
            <w:vAlign w:val="top"/>
          </w:tcPr>
          <w:p>
            <w:pPr>
              <w:spacing w:after="10" w:before="0" w:line="240" w:lineRule="auto"/>
            </w:pPr>
            <w:r>
              <w:rPr>
                <w:sz w:val="17"/>
              </w:rPr>
              <w:t>Liability</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pdc-issue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LTL0001</w:t>
            </w:r>
          </w:p>
        </w:tc>
        <w:tc>
          <w:tcPr>
            <w:tcW w:type="dxa" w:w="2976"/>
            <w:tcMar>
              <w:top w:w="20" w:type="dxa"/>
              <w:left w:w="60" w:type="dxa"/>
              <w:bottom w:w="20" w:type="dxa"/>
              <w:right w:w="60" w:type="dxa"/>
            </w:tcMar>
            <w:vAlign w:val="top"/>
          </w:tcPr>
          <w:p>
            <w:pPr>
              <w:spacing w:after="10" w:before="0" w:line="240" w:lineRule="auto"/>
            </w:pPr>
            <w:r>
              <w:rPr>
                <w:sz w:val="17"/>
              </w:rPr>
              <w:t>Bank Loan</w:t>
            </w:r>
          </w:p>
        </w:tc>
        <w:tc>
          <w:tcPr>
            <w:tcW w:type="dxa" w:w="2300"/>
            <w:tcMar>
              <w:top w:w="20" w:type="dxa"/>
              <w:left w:w="60" w:type="dxa"/>
              <w:bottom w:w="20" w:type="dxa"/>
              <w:right w:w="60" w:type="dxa"/>
            </w:tcMar>
            <w:vAlign w:val="top"/>
          </w:tcPr>
          <w:p>
            <w:pPr>
              <w:spacing w:after="10" w:before="0" w:line="240" w:lineRule="auto"/>
            </w:pPr>
            <w:r>
              <w:rPr>
                <w:sz w:val="17"/>
              </w:rPr>
              <w:t>Long-term Liabilities</w:t>
            </w:r>
          </w:p>
        </w:tc>
        <w:tc>
          <w:tcPr>
            <w:tcW w:type="dxa" w:w="1082"/>
            <w:tcMar>
              <w:top w:w="20" w:type="dxa"/>
              <w:left w:w="60" w:type="dxa"/>
              <w:bottom w:w="20" w:type="dxa"/>
              <w:right w:w="60" w:type="dxa"/>
            </w:tcMar>
            <w:vAlign w:val="top"/>
          </w:tcPr>
          <w:p>
            <w:pPr>
              <w:spacing w:after="10" w:before="0" w:line="240" w:lineRule="auto"/>
            </w:pPr>
            <w:r>
              <w:rPr>
                <w:sz w:val="17"/>
              </w:rPr>
              <w:t>Liability</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EQ0001</w:t>
            </w:r>
          </w:p>
        </w:tc>
        <w:tc>
          <w:tcPr>
            <w:tcW w:type="dxa" w:w="2976"/>
            <w:tcMar>
              <w:top w:w="20" w:type="dxa"/>
              <w:left w:w="60" w:type="dxa"/>
              <w:bottom w:w="20" w:type="dxa"/>
              <w:right w:w="60" w:type="dxa"/>
            </w:tcMar>
            <w:vAlign w:val="top"/>
          </w:tcPr>
          <w:p>
            <w:pPr>
              <w:spacing w:after="10" w:before="0" w:line="240" w:lineRule="auto"/>
            </w:pPr>
            <w:r>
              <w:rPr>
                <w:sz w:val="17"/>
              </w:rPr>
              <w:t>Owner's Capital</w:t>
            </w:r>
          </w:p>
        </w:tc>
        <w:tc>
          <w:tcPr>
            <w:tcW w:type="dxa" w:w="2300"/>
            <w:tcMar>
              <w:top w:w="20" w:type="dxa"/>
              <w:left w:w="60" w:type="dxa"/>
              <w:bottom w:w="20" w:type="dxa"/>
              <w:right w:w="60" w:type="dxa"/>
            </w:tcMar>
            <w:vAlign w:val="top"/>
          </w:tcPr>
          <w:p>
            <w:pPr>
              <w:spacing w:after="10" w:before="0" w:line="240" w:lineRule="auto"/>
            </w:pPr>
            <w:r>
              <w:rPr>
                <w:sz w:val="17"/>
              </w:rPr>
              <w:t>Equity</w:t>
            </w:r>
          </w:p>
        </w:tc>
        <w:tc>
          <w:tcPr>
            <w:tcW w:type="dxa" w:w="1082"/>
            <w:tcMar>
              <w:top w:w="20" w:type="dxa"/>
              <w:left w:w="60" w:type="dxa"/>
              <w:bottom w:w="20" w:type="dxa"/>
              <w:right w:w="60" w:type="dxa"/>
            </w:tcMar>
            <w:vAlign w:val="top"/>
          </w:tcPr>
          <w:p>
            <w:pPr>
              <w:spacing w:after="10" w:before="0" w:line="240" w:lineRule="auto"/>
            </w:pPr>
            <w:r>
              <w:rPr>
                <w:sz w:val="17"/>
              </w:rPr>
              <w:t>Equity</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EQ0002</w:t>
            </w:r>
          </w:p>
        </w:tc>
        <w:tc>
          <w:tcPr>
            <w:tcW w:type="dxa" w:w="2976"/>
            <w:tcMar>
              <w:top w:w="20" w:type="dxa"/>
              <w:left w:w="60" w:type="dxa"/>
              <w:bottom w:w="20" w:type="dxa"/>
              <w:right w:w="60" w:type="dxa"/>
            </w:tcMar>
            <w:vAlign w:val="top"/>
          </w:tcPr>
          <w:p>
            <w:pPr>
              <w:spacing w:after="10" w:before="0" w:line="240" w:lineRule="auto"/>
            </w:pPr>
            <w:r>
              <w:rPr>
                <w:sz w:val="17"/>
              </w:rPr>
              <w:t>Retained Earnings</w:t>
            </w:r>
          </w:p>
        </w:tc>
        <w:tc>
          <w:tcPr>
            <w:tcW w:type="dxa" w:w="2300"/>
            <w:tcMar>
              <w:top w:w="20" w:type="dxa"/>
              <w:left w:w="60" w:type="dxa"/>
              <w:bottom w:w="20" w:type="dxa"/>
              <w:right w:w="60" w:type="dxa"/>
            </w:tcMar>
            <w:vAlign w:val="top"/>
          </w:tcPr>
          <w:p>
            <w:pPr>
              <w:spacing w:after="10" w:before="0" w:line="240" w:lineRule="auto"/>
            </w:pPr>
            <w:r>
              <w:rPr>
                <w:sz w:val="17"/>
              </w:rPr>
              <w:t>Equity</w:t>
            </w:r>
          </w:p>
        </w:tc>
        <w:tc>
          <w:tcPr>
            <w:tcW w:type="dxa" w:w="1082"/>
            <w:tcMar>
              <w:top w:w="20" w:type="dxa"/>
              <w:left w:w="60" w:type="dxa"/>
              <w:bottom w:w="20" w:type="dxa"/>
              <w:right w:w="60" w:type="dxa"/>
            </w:tcMar>
            <w:vAlign w:val="top"/>
          </w:tcPr>
          <w:p>
            <w:pPr>
              <w:spacing w:after="10" w:before="0" w:line="240" w:lineRule="auto"/>
            </w:pPr>
            <w:r>
              <w:rPr>
                <w:sz w:val="17"/>
              </w:rPr>
              <w:t>Equity</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EQ0003</w:t>
            </w:r>
          </w:p>
        </w:tc>
        <w:tc>
          <w:tcPr>
            <w:tcW w:type="dxa" w:w="2976"/>
            <w:tcMar>
              <w:top w:w="20" w:type="dxa"/>
              <w:left w:w="60" w:type="dxa"/>
              <w:bottom w:w="20" w:type="dxa"/>
              <w:right w:w="60" w:type="dxa"/>
            </w:tcMar>
            <w:vAlign w:val="top"/>
          </w:tcPr>
          <w:p>
            <w:pPr>
              <w:spacing w:after="10" w:before="0" w:line="240" w:lineRule="auto"/>
            </w:pPr>
            <w:r>
              <w:rPr>
                <w:sz w:val="17"/>
              </w:rPr>
              <w:t>Opening Balance Equity</w:t>
            </w:r>
          </w:p>
        </w:tc>
        <w:tc>
          <w:tcPr>
            <w:tcW w:type="dxa" w:w="2300"/>
            <w:tcMar>
              <w:top w:w="20" w:type="dxa"/>
              <w:left w:w="60" w:type="dxa"/>
              <w:bottom w:w="20" w:type="dxa"/>
              <w:right w:w="60" w:type="dxa"/>
            </w:tcMar>
            <w:vAlign w:val="top"/>
          </w:tcPr>
          <w:p>
            <w:pPr>
              <w:spacing w:after="10" w:before="0" w:line="240" w:lineRule="auto"/>
            </w:pPr>
            <w:r>
              <w:rPr>
                <w:sz w:val="17"/>
              </w:rPr>
              <w:t>Equity</w:t>
            </w:r>
          </w:p>
        </w:tc>
        <w:tc>
          <w:tcPr>
            <w:tcW w:type="dxa" w:w="1082"/>
            <w:tcMar>
              <w:top w:w="20" w:type="dxa"/>
              <w:left w:w="60" w:type="dxa"/>
              <w:bottom w:w="20" w:type="dxa"/>
              <w:right w:w="60" w:type="dxa"/>
            </w:tcMar>
            <w:vAlign w:val="top"/>
          </w:tcPr>
          <w:p>
            <w:pPr>
              <w:spacing w:after="10" w:before="0" w:line="240" w:lineRule="auto"/>
            </w:pPr>
            <w:r>
              <w:rPr>
                <w:sz w:val="17"/>
              </w:rPr>
              <w:t>Equity</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opening-balance-equity</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SAL0001</w:t>
            </w:r>
          </w:p>
        </w:tc>
        <w:tc>
          <w:tcPr>
            <w:tcW w:type="dxa" w:w="2976"/>
            <w:tcMar>
              <w:top w:w="20" w:type="dxa"/>
              <w:left w:w="60" w:type="dxa"/>
              <w:bottom w:w="20" w:type="dxa"/>
              <w:right w:w="60" w:type="dxa"/>
            </w:tcMar>
            <w:vAlign w:val="top"/>
          </w:tcPr>
          <w:p>
            <w:pPr>
              <w:spacing w:after="10" w:before="0" w:line="240" w:lineRule="auto"/>
            </w:pPr>
            <w:r>
              <w:rPr>
                <w:sz w:val="17"/>
              </w:rPr>
              <w:t>Sales Revenue</w:t>
            </w:r>
          </w:p>
        </w:tc>
        <w:tc>
          <w:tcPr>
            <w:tcW w:type="dxa" w:w="2300"/>
            <w:tcMar>
              <w:top w:w="20" w:type="dxa"/>
              <w:left w:w="60" w:type="dxa"/>
              <w:bottom w:w="20" w:type="dxa"/>
              <w:right w:w="60" w:type="dxa"/>
            </w:tcMar>
            <w:vAlign w:val="top"/>
          </w:tcPr>
          <w:p>
            <w:pPr>
              <w:spacing w:after="10" w:before="0" w:line="240" w:lineRule="auto"/>
            </w:pPr>
            <w:r>
              <w:rPr>
                <w:sz w:val="17"/>
              </w:rPr>
              <w:t>Sales Income</w:t>
            </w:r>
          </w:p>
        </w:tc>
        <w:tc>
          <w:tcPr>
            <w:tcW w:type="dxa" w:w="1082"/>
            <w:tcMar>
              <w:top w:w="20" w:type="dxa"/>
              <w:left w:w="60" w:type="dxa"/>
              <w:bottom w:w="20" w:type="dxa"/>
              <w:right w:w="60" w:type="dxa"/>
            </w:tcMar>
            <w:vAlign w:val="top"/>
          </w:tcPr>
          <w:p>
            <w:pPr>
              <w:spacing w:after="10" w:before="0" w:line="240" w:lineRule="auto"/>
            </w:pPr>
            <w:r>
              <w:rPr>
                <w:sz w:val="17"/>
              </w:rPr>
              <w:t>Income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sales-revenue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OI0001</w:t>
            </w:r>
          </w:p>
        </w:tc>
        <w:tc>
          <w:tcPr>
            <w:tcW w:type="dxa" w:w="2976"/>
            <w:tcMar>
              <w:top w:w="20" w:type="dxa"/>
              <w:left w:w="60" w:type="dxa"/>
              <w:bottom w:w="20" w:type="dxa"/>
              <w:right w:w="60" w:type="dxa"/>
            </w:tcMar>
            <w:vAlign w:val="top"/>
          </w:tcPr>
          <w:p>
            <w:pPr>
              <w:spacing w:after="10" w:before="0" w:line="240" w:lineRule="auto"/>
            </w:pPr>
            <w:r>
              <w:rPr>
                <w:sz w:val="17"/>
              </w:rPr>
              <w:t>Freight Recovered</w:t>
            </w:r>
          </w:p>
        </w:tc>
        <w:tc>
          <w:tcPr>
            <w:tcW w:type="dxa" w:w="2300"/>
            <w:tcMar>
              <w:top w:w="20" w:type="dxa"/>
              <w:left w:w="60" w:type="dxa"/>
              <w:bottom w:w="20" w:type="dxa"/>
              <w:right w:w="60" w:type="dxa"/>
            </w:tcMar>
            <w:vAlign w:val="top"/>
          </w:tcPr>
          <w:p>
            <w:pPr>
              <w:spacing w:after="10" w:before="0" w:line="240" w:lineRule="auto"/>
            </w:pPr>
            <w:r>
              <w:rPr>
                <w:sz w:val="17"/>
              </w:rPr>
              <w:t>Other Income</w:t>
            </w:r>
          </w:p>
        </w:tc>
        <w:tc>
          <w:tcPr>
            <w:tcW w:type="dxa" w:w="1082"/>
            <w:tcMar>
              <w:top w:w="20" w:type="dxa"/>
              <w:left w:w="60" w:type="dxa"/>
              <w:bottom w:w="20" w:type="dxa"/>
              <w:right w:w="60" w:type="dxa"/>
            </w:tcMar>
            <w:vAlign w:val="top"/>
          </w:tcPr>
          <w:p>
            <w:pPr>
              <w:spacing w:after="10" w:before="0" w:line="240" w:lineRule="auto"/>
            </w:pPr>
            <w:r>
              <w:rPr>
                <w:sz w:val="17"/>
              </w:rPr>
              <w:t>Income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freight-sales</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OI0002</w:t>
            </w:r>
          </w:p>
        </w:tc>
        <w:tc>
          <w:tcPr>
            <w:tcW w:type="dxa" w:w="2976"/>
            <w:tcMar>
              <w:top w:w="20" w:type="dxa"/>
              <w:left w:w="60" w:type="dxa"/>
              <w:bottom w:w="20" w:type="dxa"/>
              <w:right w:w="60" w:type="dxa"/>
            </w:tcMar>
            <w:vAlign w:val="top"/>
          </w:tcPr>
          <w:p>
            <w:pPr>
              <w:spacing w:after="10" w:before="0" w:line="240" w:lineRule="auto"/>
            </w:pPr>
            <w:r>
              <w:rPr>
                <w:sz w:val="17"/>
              </w:rPr>
              <w:t>Purchase Discounts Received</w:t>
            </w:r>
          </w:p>
        </w:tc>
        <w:tc>
          <w:tcPr>
            <w:tcW w:type="dxa" w:w="2300"/>
            <w:tcMar>
              <w:top w:w="20" w:type="dxa"/>
              <w:left w:w="60" w:type="dxa"/>
              <w:bottom w:w="20" w:type="dxa"/>
              <w:right w:w="60" w:type="dxa"/>
            </w:tcMar>
            <w:vAlign w:val="top"/>
          </w:tcPr>
          <w:p>
            <w:pPr>
              <w:spacing w:after="10" w:before="0" w:line="240" w:lineRule="auto"/>
            </w:pPr>
            <w:r>
              <w:rPr>
                <w:sz w:val="17"/>
              </w:rPr>
              <w:t>Other Income</w:t>
            </w:r>
          </w:p>
        </w:tc>
        <w:tc>
          <w:tcPr>
            <w:tcW w:type="dxa" w:w="1082"/>
            <w:tcMar>
              <w:top w:w="20" w:type="dxa"/>
              <w:left w:w="60" w:type="dxa"/>
              <w:bottom w:w="20" w:type="dxa"/>
              <w:right w:w="60" w:type="dxa"/>
            </w:tcMar>
            <w:vAlign w:val="top"/>
          </w:tcPr>
          <w:p>
            <w:pPr>
              <w:spacing w:after="10" w:before="0" w:line="240" w:lineRule="auto"/>
            </w:pPr>
            <w:r>
              <w:rPr>
                <w:sz w:val="17"/>
              </w:rPr>
              <w:t>Income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discount-purchase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OI0003</w:t>
            </w:r>
          </w:p>
        </w:tc>
        <w:tc>
          <w:tcPr>
            <w:tcW w:type="dxa" w:w="2976"/>
            <w:tcMar>
              <w:top w:w="20" w:type="dxa"/>
              <w:left w:w="60" w:type="dxa"/>
              <w:bottom w:w="20" w:type="dxa"/>
              <w:right w:w="60" w:type="dxa"/>
            </w:tcMar>
            <w:vAlign w:val="top"/>
          </w:tcPr>
          <w:p>
            <w:pPr>
              <w:spacing w:after="10" w:before="0" w:line="240" w:lineRule="auto"/>
            </w:pPr>
            <w:r>
              <w:rPr>
                <w:sz w:val="17"/>
              </w:rPr>
              <w:t>Other Income</w:t>
            </w:r>
          </w:p>
        </w:tc>
        <w:tc>
          <w:tcPr>
            <w:tcW w:type="dxa" w:w="2300"/>
            <w:tcMar>
              <w:top w:w="20" w:type="dxa"/>
              <w:left w:w="60" w:type="dxa"/>
              <w:bottom w:w="20" w:type="dxa"/>
              <w:right w:w="60" w:type="dxa"/>
            </w:tcMar>
            <w:vAlign w:val="top"/>
          </w:tcPr>
          <w:p>
            <w:pPr>
              <w:spacing w:after="10" w:before="0" w:line="240" w:lineRule="auto"/>
            </w:pPr>
            <w:r>
              <w:rPr>
                <w:sz w:val="17"/>
              </w:rPr>
              <w:t>Other Income</w:t>
            </w:r>
          </w:p>
        </w:tc>
        <w:tc>
          <w:tcPr>
            <w:tcW w:type="dxa" w:w="1082"/>
            <w:tcMar>
              <w:top w:w="20" w:type="dxa"/>
              <w:left w:w="60" w:type="dxa"/>
              <w:bottom w:w="20" w:type="dxa"/>
              <w:right w:w="60" w:type="dxa"/>
            </w:tcMar>
            <w:vAlign w:val="top"/>
          </w:tcPr>
          <w:p>
            <w:pPr>
              <w:spacing w:after="10" w:before="0" w:line="240" w:lineRule="auto"/>
            </w:pPr>
            <w:r>
              <w:rPr>
                <w:sz w:val="17"/>
              </w:rPr>
              <w:t>Income</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COGS0001</w:t>
            </w:r>
          </w:p>
        </w:tc>
        <w:tc>
          <w:tcPr>
            <w:tcW w:type="dxa" w:w="2976"/>
            <w:tcMar>
              <w:top w:w="20" w:type="dxa"/>
              <w:left w:w="60" w:type="dxa"/>
              <w:bottom w:w="20" w:type="dxa"/>
              <w:right w:w="60" w:type="dxa"/>
            </w:tcMar>
            <w:vAlign w:val="top"/>
          </w:tcPr>
          <w:p>
            <w:pPr>
              <w:spacing w:after="10" w:before="0" w:line="240" w:lineRule="auto"/>
            </w:pPr>
            <w:r>
              <w:rPr>
                <w:sz w:val="17"/>
              </w:rPr>
              <w:t>Cost of Goods Sold</w:t>
            </w:r>
          </w:p>
        </w:tc>
        <w:tc>
          <w:tcPr>
            <w:tcW w:type="dxa" w:w="2300"/>
            <w:tcMar>
              <w:top w:w="20" w:type="dxa"/>
              <w:left w:w="60" w:type="dxa"/>
              <w:bottom w:w="20" w:type="dxa"/>
              <w:right w:w="60" w:type="dxa"/>
            </w:tcMar>
            <w:vAlign w:val="top"/>
          </w:tcPr>
          <w:p>
            <w:pPr>
              <w:spacing w:after="10" w:before="0" w:line="240" w:lineRule="auto"/>
            </w:pPr>
            <w:r>
              <w:rPr>
                <w:sz w:val="17"/>
              </w:rPr>
              <w:t>Cost of Goods Sold</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cogs</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COGS0002</w:t>
            </w:r>
          </w:p>
        </w:tc>
        <w:tc>
          <w:tcPr>
            <w:tcW w:type="dxa" w:w="2976"/>
            <w:tcMar>
              <w:top w:w="20" w:type="dxa"/>
              <w:left w:w="60" w:type="dxa"/>
              <w:bottom w:w="20" w:type="dxa"/>
              <w:right w:w="60" w:type="dxa"/>
            </w:tcMar>
            <w:vAlign w:val="top"/>
          </w:tcPr>
          <w:p>
            <w:pPr>
              <w:spacing w:after="10" w:before="0" w:line="240" w:lineRule="auto"/>
            </w:pPr>
            <w:r>
              <w:rPr>
                <w:sz w:val="17"/>
              </w:rPr>
              <w:t>Purchase Variance</w:t>
            </w:r>
          </w:p>
        </w:tc>
        <w:tc>
          <w:tcPr>
            <w:tcW w:type="dxa" w:w="2300"/>
            <w:tcMar>
              <w:top w:w="20" w:type="dxa"/>
              <w:left w:w="60" w:type="dxa"/>
              <w:bottom w:w="20" w:type="dxa"/>
              <w:right w:w="60" w:type="dxa"/>
            </w:tcMar>
            <w:vAlign w:val="top"/>
          </w:tcPr>
          <w:p>
            <w:pPr>
              <w:spacing w:after="10" w:before="0" w:line="240" w:lineRule="auto"/>
            </w:pPr>
            <w:r>
              <w:rPr>
                <w:sz w:val="17"/>
              </w:rPr>
              <w:t>Cost of Goods Sold</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purchase-variance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COGS0003</w:t>
            </w:r>
          </w:p>
        </w:tc>
        <w:tc>
          <w:tcPr>
            <w:tcW w:type="dxa" w:w="2976"/>
            <w:tcMar>
              <w:top w:w="20" w:type="dxa"/>
              <w:left w:w="60" w:type="dxa"/>
              <w:bottom w:w="20" w:type="dxa"/>
              <w:right w:w="60" w:type="dxa"/>
            </w:tcMar>
            <w:vAlign w:val="top"/>
          </w:tcPr>
          <w:p>
            <w:pPr>
              <w:spacing w:after="10" w:before="0" w:line="240" w:lineRule="auto"/>
            </w:pPr>
            <w:r>
              <w:rPr>
                <w:sz w:val="17"/>
              </w:rPr>
              <w:t>Stock Adjustment</w:t>
            </w:r>
          </w:p>
        </w:tc>
        <w:tc>
          <w:tcPr>
            <w:tcW w:type="dxa" w:w="2300"/>
            <w:tcMar>
              <w:top w:w="20" w:type="dxa"/>
              <w:left w:w="60" w:type="dxa"/>
              <w:bottom w:w="20" w:type="dxa"/>
              <w:right w:w="60" w:type="dxa"/>
            </w:tcMar>
            <w:vAlign w:val="top"/>
          </w:tcPr>
          <w:p>
            <w:pPr>
              <w:spacing w:after="10" w:before="0" w:line="240" w:lineRule="auto"/>
            </w:pPr>
            <w:r>
              <w:rPr>
                <w:sz w:val="17"/>
              </w:rPr>
              <w:t>Cost of Goods Sold</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stock-adjustment</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COGS0004</w:t>
            </w:r>
          </w:p>
        </w:tc>
        <w:tc>
          <w:tcPr>
            <w:tcW w:type="dxa" w:w="2976"/>
            <w:tcMar>
              <w:top w:w="20" w:type="dxa"/>
              <w:left w:w="60" w:type="dxa"/>
              <w:bottom w:w="20" w:type="dxa"/>
              <w:right w:w="60" w:type="dxa"/>
            </w:tcMar>
            <w:vAlign w:val="top"/>
          </w:tcPr>
          <w:p>
            <w:pPr>
              <w:spacing w:after="10" w:before="0" w:line="240" w:lineRule="auto"/>
            </w:pPr>
            <w:r>
              <w:rPr>
                <w:sz w:val="17"/>
              </w:rPr>
              <w:t>Stock Write-off - Expiry</w:t>
            </w:r>
          </w:p>
        </w:tc>
        <w:tc>
          <w:tcPr>
            <w:tcW w:type="dxa" w:w="2300"/>
            <w:tcMar>
              <w:top w:w="20" w:type="dxa"/>
              <w:left w:w="60" w:type="dxa"/>
              <w:bottom w:w="20" w:type="dxa"/>
              <w:right w:w="60" w:type="dxa"/>
            </w:tcMar>
            <w:vAlign w:val="top"/>
          </w:tcPr>
          <w:p>
            <w:pPr>
              <w:spacing w:after="10" w:before="0" w:line="240" w:lineRule="auto"/>
            </w:pPr>
            <w:r>
              <w:rPr>
                <w:sz w:val="17"/>
              </w:rPr>
              <w:t>Cost of Goods Sold</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write-off-expiry</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COGS0005</w:t>
            </w:r>
          </w:p>
        </w:tc>
        <w:tc>
          <w:tcPr>
            <w:tcW w:type="dxa" w:w="2976"/>
            <w:tcMar>
              <w:top w:w="20" w:type="dxa"/>
              <w:left w:w="60" w:type="dxa"/>
              <w:bottom w:w="20" w:type="dxa"/>
              <w:right w:w="60" w:type="dxa"/>
            </w:tcMar>
            <w:vAlign w:val="top"/>
          </w:tcPr>
          <w:p>
            <w:pPr>
              <w:spacing w:after="10" w:before="0" w:line="240" w:lineRule="auto"/>
            </w:pPr>
            <w:r>
              <w:rPr>
                <w:sz w:val="17"/>
              </w:rPr>
              <w:t>Stock Write-off - Damage</w:t>
            </w:r>
          </w:p>
        </w:tc>
        <w:tc>
          <w:tcPr>
            <w:tcW w:type="dxa" w:w="2300"/>
            <w:tcMar>
              <w:top w:w="20" w:type="dxa"/>
              <w:left w:w="60" w:type="dxa"/>
              <w:bottom w:w="20" w:type="dxa"/>
              <w:right w:w="60" w:type="dxa"/>
            </w:tcMar>
            <w:vAlign w:val="top"/>
          </w:tcPr>
          <w:p>
            <w:pPr>
              <w:spacing w:after="10" w:before="0" w:line="240" w:lineRule="auto"/>
            </w:pPr>
            <w:r>
              <w:rPr>
                <w:sz w:val="17"/>
              </w:rPr>
              <w:t>Cost of Goods Sold</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damage-loss</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OPEX0001</w:t>
            </w:r>
          </w:p>
        </w:tc>
        <w:tc>
          <w:tcPr>
            <w:tcW w:type="dxa" w:w="2976"/>
            <w:tcMar>
              <w:top w:w="20" w:type="dxa"/>
              <w:left w:w="60" w:type="dxa"/>
              <w:bottom w:w="20" w:type="dxa"/>
              <w:right w:w="60" w:type="dxa"/>
            </w:tcMar>
            <w:vAlign w:val="top"/>
          </w:tcPr>
          <w:p>
            <w:pPr>
              <w:spacing w:after="10" w:before="0" w:line="240" w:lineRule="auto"/>
            </w:pPr>
            <w:r>
              <w:rPr>
                <w:sz w:val="17"/>
              </w:rPr>
              <w:t>Sales Discounts Given</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discount-sales</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OPEX0002</w:t>
            </w:r>
          </w:p>
        </w:tc>
        <w:tc>
          <w:tcPr>
            <w:tcW w:type="dxa" w:w="2976"/>
            <w:tcMar>
              <w:top w:w="20" w:type="dxa"/>
              <w:left w:w="60" w:type="dxa"/>
              <w:bottom w:w="20" w:type="dxa"/>
              <w:right w:w="60" w:type="dxa"/>
            </w:tcMar>
            <w:vAlign w:val="top"/>
          </w:tcPr>
          <w:p>
            <w:pPr>
              <w:spacing w:after="10" w:before="0" w:line="240" w:lineRule="auto"/>
            </w:pPr>
            <w:r>
              <w:rPr>
                <w:sz w:val="17"/>
              </w:rPr>
              <w:t>Freight on Purchases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freight-purchase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OPEX0003</w:t>
            </w:r>
          </w:p>
        </w:tc>
        <w:tc>
          <w:tcPr>
            <w:tcW w:type="dxa" w:w="2976"/>
            <w:tcMar>
              <w:top w:w="20" w:type="dxa"/>
              <w:left w:w="60" w:type="dxa"/>
              <w:bottom w:w="20" w:type="dxa"/>
              <w:right w:w="60" w:type="dxa"/>
            </w:tcMar>
            <w:vAlign w:val="top"/>
          </w:tcPr>
          <w:p>
            <w:pPr>
              <w:spacing w:after="10" w:before="0" w:line="240" w:lineRule="auto"/>
            </w:pPr>
            <w:r>
              <w:rPr>
                <w:sz w:val="17"/>
              </w:rPr>
              <w:t>Round-off Expense (Purchases)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round-off-purchase</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OPEX0004</w:t>
            </w:r>
          </w:p>
        </w:tc>
        <w:tc>
          <w:tcPr>
            <w:tcW w:type="dxa" w:w="2976"/>
            <w:tcMar>
              <w:top w:w="20" w:type="dxa"/>
              <w:left w:w="60" w:type="dxa"/>
              <w:bottom w:w="20" w:type="dxa"/>
              <w:right w:w="60" w:type="dxa"/>
            </w:tcMar>
            <w:vAlign w:val="top"/>
          </w:tcPr>
          <w:p>
            <w:pPr>
              <w:spacing w:after="10" w:before="0" w:line="240" w:lineRule="auto"/>
            </w:pPr>
            <w:r>
              <w:rPr>
                <w:sz w:val="17"/>
              </w:rPr>
              <w:t>Round-off Expense (Sales)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round-off-sales</w:t>
            </w: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OPEX0005</w:t>
            </w:r>
          </w:p>
        </w:tc>
        <w:tc>
          <w:tcPr>
            <w:tcW w:type="dxa" w:w="2976"/>
            <w:tcMar>
              <w:top w:w="20" w:type="dxa"/>
              <w:left w:w="60" w:type="dxa"/>
              <w:bottom w:w="20" w:type="dxa"/>
              <w:right w:w="60" w:type="dxa"/>
            </w:tcMar>
            <w:vAlign w:val="top"/>
          </w:tcPr>
          <w:p>
            <w:pPr>
              <w:spacing w:after="10" w:before="0" w:line="240" w:lineRule="auto"/>
            </w:pPr>
            <w:r>
              <w:rPr>
                <w:sz w:val="17"/>
              </w:rPr>
              <w:t>Salaries &amp; Wages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OPEX0006</w:t>
            </w:r>
          </w:p>
        </w:tc>
        <w:tc>
          <w:tcPr>
            <w:tcW w:type="dxa" w:w="2976"/>
            <w:tcMar>
              <w:top w:w="20" w:type="dxa"/>
              <w:left w:w="60" w:type="dxa"/>
              <w:bottom w:w="20" w:type="dxa"/>
              <w:right w:w="60" w:type="dxa"/>
            </w:tcMar>
            <w:vAlign w:val="top"/>
          </w:tcPr>
          <w:p>
            <w:pPr>
              <w:spacing w:after="10" w:before="0" w:line="240" w:lineRule="auto"/>
            </w:pPr>
            <w:r>
              <w:rPr>
                <w:sz w:val="17"/>
              </w:rPr>
              <w:t>Rent Expense</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OPEX0007</w:t>
            </w:r>
          </w:p>
        </w:tc>
        <w:tc>
          <w:tcPr>
            <w:tcW w:type="dxa" w:w="2976"/>
            <w:tcMar>
              <w:top w:w="20" w:type="dxa"/>
              <w:left w:w="60" w:type="dxa"/>
              <w:bottom w:w="20" w:type="dxa"/>
              <w:right w:w="60" w:type="dxa"/>
            </w:tcMar>
            <w:vAlign w:val="top"/>
          </w:tcPr>
          <w:p>
            <w:pPr>
              <w:spacing w:after="10" w:before="0" w:line="240" w:lineRule="auto"/>
            </w:pPr>
            <w:r>
              <w:rPr>
                <w:sz w:val="17"/>
              </w:rPr>
              <w:t>Utilities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OPEX0008</w:t>
            </w:r>
          </w:p>
        </w:tc>
        <w:tc>
          <w:tcPr>
            <w:tcW w:type="dxa" w:w="2976"/>
            <w:tcMar>
              <w:top w:w="20" w:type="dxa"/>
              <w:left w:w="60" w:type="dxa"/>
              <w:bottom w:w="20" w:type="dxa"/>
              <w:right w:w="60" w:type="dxa"/>
            </w:tcMar>
            <w:vAlign w:val="top"/>
          </w:tcPr>
          <w:p>
            <w:pPr>
              <w:spacing w:after="10" w:before="0" w:line="240" w:lineRule="auto"/>
            </w:pPr>
            <w:r>
              <w:rPr>
                <w:sz w:val="17"/>
              </w:rPr>
              <w:t>Bank Charges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p>
        </w:tc>
      </w:tr>
      <w:tr>
        <w:trPr>
          <w:cantSplit w:val="true"/>
        </w:trPr>
        <w:tc>
          <w:tcPr>
            <w:tcW w:type="dxa" w:w="1082"/>
            <w:tcMar>
              <w:top w:w="20" w:type="dxa"/>
              <w:left w:w="60" w:type="dxa"/>
              <w:bottom w:w="20" w:type="dxa"/>
              <w:right w:w="60" w:type="dxa"/>
            </w:tcMar>
            <w:vAlign w:val="top"/>
          </w:tcPr>
          <w:p>
            <w:pPr>
              <w:spacing w:after="10" w:before="0" w:line="240" w:lineRule="auto"/>
            </w:pPr>
            <w:r>
              <w:rPr>
                <w:sz w:val="17"/>
              </w:rPr>
              <w:t>OPEX0009</w:t>
            </w:r>
          </w:p>
        </w:tc>
        <w:tc>
          <w:tcPr>
            <w:tcW w:type="dxa" w:w="2976"/>
            <w:tcMar>
              <w:top w:w="20" w:type="dxa"/>
              <w:left w:w="60" w:type="dxa"/>
              <w:bottom w:w="20" w:type="dxa"/>
              <w:right w:w="60" w:type="dxa"/>
            </w:tcMar>
            <w:vAlign w:val="top"/>
          </w:tcPr>
          <w:p>
            <w:pPr>
              <w:spacing w:after="10" w:before="0" w:line="240" w:lineRule="auto"/>
            </w:pPr>
            <w:r>
              <w:rPr>
                <w:sz w:val="17"/>
              </w:rPr>
              <w:t>Card Processing Fees</w:t>
            </w:r>
          </w:p>
        </w:tc>
        <w:tc>
          <w:tcPr>
            <w:tcW w:type="dxa" w:w="2300"/>
            <w:tcMar>
              <w:top w:w="20" w:type="dxa"/>
              <w:left w:w="60" w:type="dxa"/>
              <w:bottom w:w="20" w:type="dxa"/>
              <w:right w:w="60" w:type="dxa"/>
            </w:tcMar>
            <w:vAlign w:val="top"/>
          </w:tcPr>
          <w:p>
            <w:pPr>
              <w:spacing w:after="10" w:before="0" w:line="240" w:lineRule="auto"/>
            </w:pPr>
            <w:r>
              <w:rPr>
                <w:sz w:val="17"/>
              </w:rPr>
              <w:t>Operating Expenses</w:t>
            </w:r>
          </w:p>
        </w:tc>
        <w:tc>
          <w:tcPr>
            <w:tcW w:type="dxa" w:w="1082"/>
            <w:tcMar>
              <w:top w:w="20" w:type="dxa"/>
              <w:left w:w="60" w:type="dxa"/>
              <w:bottom w:w="20" w:type="dxa"/>
              <w:right w:w="60" w:type="dxa"/>
            </w:tcMar>
            <w:vAlign w:val="top"/>
          </w:tcPr>
          <w:p>
            <w:pPr>
              <w:spacing w:after="10" w:before="0" w:line="240" w:lineRule="auto"/>
            </w:pPr>
            <w:r>
              <w:rPr>
                <w:sz w:val="17"/>
              </w:rPr>
              <w:t>Expense</w:t>
            </w:r>
          </w:p>
        </w:tc>
        <w:tc>
          <w:tcPr>
            <w:tcW w:type="dxa" w:w="2164"/>
            <w:tcMar>
              <w:top w:w="20" w:type="dxa"/>
              <w:left w:w="60" w:type="dxa"/>
              <w:bottom w:w="20" w:type="dxa"/>
              <w:right w:w="60" w:type="dxa"/>
            </w:tcMar>
            <w:vAlign w:val="top"/>
          </w:tcPr>
          <w:p>
            <w:pPr>
              <w:spacing w:after="10" w:before="0" w:line="240" w:lineRule="auto"/>
            </w:pPr>
            <w:r>
              <w:rPr>
                <w:rFonts w:ascii="Consolas" w:hAnsi="Consolas" w:eastAsia="Consolas"/>
                <w:sz w:val="16"/>
              </w:rPr>
              <w:t>card-charges</w:t>
            </w:r>
          </w:p>
        </w:tc>
      </w:tr>
    </w:tbl>
    <w:p>
      <w:pPr>
        <w:spacing w:after="0" w:before="0"/>
        <w:rPr>
          <w:sz w:val="6"/>
        </w:rPr>
      </w:pPr>
    </w:p>
    <w:p>
      <w:pPr>
        <w:pStyle w:val="Heading3"/>
      </w:pPr>
      <w:r>
        <w:t>2.3.1 How the default chart is created</w:t>
      </w:r>
    </w:p>
    <w:p>
      <w:pPr>
        <w:pStyle w:val="ListBullet"/>
      </w:pPr>
      <w:r>
        <w:rPr>
          <w:b/>
        </w:rPr>
        <w:t>Idempotent.</w:t>
      </w:r>
      <w:r>
        <w:t xml:space="preserve"> Groups and accounts are matched by name. Anything that already exists is left exactly as the company has it, so the routine can be run again to restore a deleted default (route POST /accounting/chart/defaults; it adds, never changes or removes).</w:t>
      </w:r>
    </w:p>
    <w:p>
      <w:pPr>
        <w:pStyle w:val="ListBullet"/>
      </w:pPr>
      <w:r>
        <w:rPr>
          <w:b/>
        </w:rPr>
        <w:t>Codes.</w:t>
      </w:r>
      <w:r>
        <w:t xml:space="preserve"> An account code is the group prefix plus a four-digit counter kept on the group (CASH0001, BANK0001, AR0001 ...). The counter moves past the highest existing code in one update, so accounts created at the same moment get different codes and a typed code is never reissued (accountingFoundation.test.js, 'account codes').</w:t>
      </w:r>
    </w:p>
    <w:p>
      <w:pPr>
        <w:pStyle w:val="ListBullet"/>
      </w:pPr>
      <w:r>
        <w:rPr>
          <w:b/>
        </w:rPr>
        <w:t>System flag.</w:t>
      </w:r>
      <w:r>
        <w:t xml:space="preserve"> Accounts created by the routine carry </w:t>
      </w:r>
      <w:r>
        <w:rPr>
          <w:rFonts w:ascii="Consolas" w:hAnsi="Consolas" w:eastAsia="Consolas"/>
        </w:rPr>
        <w:t>isSystemAccount: true</w:t>
      </w:r>
      <w:r>
        <w:t>. All of them accept direct posting. The account's type is the lower-case category of its group; its sub-type is a convenience field that no report uses to classify an account.</w:t>
      </w:r>
    </w:p>
    <w:p>
      <w:pPr>
        <w:pStyle w:val="ListBullet"/>
      </w:pPr>
      <w:r>
        <w:rPr>
          <w:b/>
        </w:rPr>
        <w:t>What it does not do.</w:t>
      </w:r>
      <w:r>
        <w:t xml:space="preserve"> It does not create a fiscal year and does not switch ledger posting on. Those are separate steps (sections 2.5 and 3.1).</w:t>
      </w:r>
    </w:p>
    <w:p>
      <w:pPr>
        <w:pStyle w:val="ListBullet"/>
      </w:pPr>
      <w:r>
        <w:rPr>
          <w:b/>
        </w:rPr>
        <w:t>Mapping.</w:t>
      </w:r>
      <w:r>
        <w:t xml:space="preserve"> After the chart exists, every group key and account key that has no target is pointed at the default group or account in the tables above. A mapping the company already chose is never overwritten.</w:t>
      </w:r>
    </w:p>
    <w:p>
      <w:pPr>
        <w:pStyle w:val="Heading2"/>
      </w:pPr>
      <w:r>
        <w:t>2.4 Party accounts and group roles</w:t>
      </w:r>
    </w:p>
    <w:p>
      <w:r>
        <w:t>Every customer and every vendor has ledger accounts of its own. They are found or made in one place (</w:t>
      </w:r>
      <w:r>
        <w:rPr>
          <w:rFonts w:ascii="Consolas" w:hAnsi="Consolas" w:eastAsia="Consolas"/>
        </w:rPr>
        <w:t>ensurePartyAccount</w:t>
      </w:r>
      <w:r>
        <w:t>), so invoices, receipts, payments, notes and the customer form all end up with the same account. The name is the lookup key.</w:t>
      </w:r>
    </w:p>
    <w:p>
      <w:pPr>
        <w:pStyle w:val="Caption"/>
      </w:pPr>
      <w:r>
        <w:t>Table 9. The four party accounts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427"/>
        <w:gridCol w:w="1946"/>
        <w:gridCol w:w="778"/>
        <w:gridCol w:w="1817"/>
        <w:gridCol w:w="1168"/>
        <w:gridCol w:w="2466"/>
      </w:tblGrid>
      <w:tr>
        <w:trPr>
          <w:tblHeader w:val="true"/>
          <w:cantSplit w:val="true"/>
        </w:trPr>
        <w:tc>
          <w:tcPr>
            <w:tcW w:type="dxa" w:w="1428"/>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47"/>
            <w:shd w:val="clear" w:color="auto" w:fill="1F3A5F"/>
            <w:tcMar>
              <w:top w:w="20" w:type="dxa"/>
              <w:left w:w="60" w:type="dxa"/>
              <w:bottom w:w="20" w:type="dxa"/>
              <w:right w:w="60" w:type="dxa"/>
            </w:tcMar>
            <w:vAlign w:val="center"/>
          </w:tcPr>
          <w:p>
            <w:pPr>
              <w:spacing w:after="10" w:before="0" w:line="240" w:lineRule="auto"/>
            </w:pPr>
            <w:r>
              <w:rPr>
                <w:b/>
                <w:color w:val="FFFFFF"/>
                <w:sz w:val="17"/>
              </w:rPr>
              <w:t>Name pattern</w:t>
            </w:r>
          </w:p>
        </w:tc>
        <w:tc>
          <w:tcPr>
            <w:tcW w:type="dxa" w:w="779"/>
            <w:shd w:val="clear" w:color="auto" w:fill="1F3A5F"/>
            <w:tcMar>
              <w:top w:w="20" w:type="dxa"/>
              <w:left w:w="60" w:type="dxa"/>
              <w:bottom w:w="20" w:type="dxa"/>
              <w:right w:w="60" w:type="dxa"/>
            </w:tcMar>
            <w:vAlign w:val="center"/>
          </w:tcPr>
          <w:p>
            <w:pPr>
              <w:spacing w:after="10" w:before="0" w:line="240" w:lineRule="auto"/>
            </w:pPr>
            <w:r>
              <w:rPr>
                <w:b/>
                <w:color w:val="FFFFFF"/>
                <w:sz w:val="17"/>
              </w:rPr>
              <w:t>Type</w:t>
            </w:r>
          </w:p>
        </w:tc>
        <w:tc>
          <w:tcPr>
            <w:tcW w:type="dxa" w:w="1817"/>
            <w:shd w:val="clear" w:color="auto" w:fill="1F3A5F"/>
            <w:tcMar>
              <w:top w:w="20" w:type="dxa"/>
              <w:left w:w="60" w:type="dxa"/>
              <w:bottom w:w="20" w:type="dxa"/>
              <w:right w:w="60" w:type="dxa"/>
            </w:tcMar>
            <w:vAlign w:val="center"/>
          </w:tcPr>
          <w:p>
            <w:pPr>
              <w:spacing w:after="10" w:before="0" w:line="240" w:lineRule="auto"/>
            </w:pPr>
            <w:r>
              <w:rPr>
                <w:b/>
                <w:color w:val="FFFFFF"/>
                <w:sz w:val="17"/>
              </w:rPr>
              <w:t>Filed under (key)</w:t>
            </w:r>
          </w:p>
        </w:tc>
        <w:tc>
          <w:tcPr>
            <w:tcW w:type="dxa" w:w="1168"/>
            <w:shd w:val="clear" w:color="auto" w:fill="1F3A5F"/>
            <w:tcMar>
              <w:top w:w="20" w:type="dxa"/>
              <w:left w:w="60" w:type="dxa"/>
              <w:bottom w:w="20" w:type="dxa"/>
              <w:right w:w="60" w:type="dxa"/>
            </w:tcMar>
            <w:vAlign w:val="center"/>
          </w:tcPr>
          <w:p>
            <w:pPr>
              <w:spacing w:after="10" w:before="0" w:line="240" w:lineRule="auto"/>
            </w:pPr>
            <w:r>
              <w:rPr>
                <w:b/>
                <w:color w:val="FFFFFF"/>
                <w:sz w:val="17"/>
              </w:rPr>
              <w:t>Code</w:t>
            </w:r>
          </w:p>
        </w:tc>
        <w:tc>
          <w:tcPr>
            <w:tcW w:type="dxa" w:w="2466"/>
            <w:shd w:val="clear" w:color="auto" w:fill="1F3A5F"/>
            <w:tcMar>
              <w:top w:w="20" w:type="dxa"/>
              <w:left w:w="60" w:type="dxa"/>
              <w:bottom w:w="20" w:type="dxa"/>
              <w:right w:w="60" w:type="dxa"/>
            </w:tcMar>
            <w:vAlign w:val="center"/>
          </w:tcPr>
          <w:p>
            <w:pPr>
              <w:spacing w:after="10" w:before="0" w:line="240" w:lineRule="auto"/>
            </w:pPr>
            <w:r>
              <w:rPr>
                <w:b/>
                <w:color w:val="FFFFFF"/>
                <w:sz w:val="17"/>
              </w:rPr>
              <w:t>Used for</w:t>
            </w:r>
          </w:p>
        </w:tc>
      </w:tr>
      <w:tr>
        <w:trPr>
          <w:cantSplit w:val="true"/>
        </w:trPr>
        <w:tc>
          <w:tcPr>
            <w:tcW w:type="dxa" w:w="1428"/>
            <w:tcMar>
              <w:top w:w="20" w:type="dxa"/>
              <w:left w:w="60" w:type="dxa"/>
              <w:bottom w:w="20" w:type="dxa"/>
              <w:right w:w="60" w:type="dxa"/>
            </w:tcMar>
            <w:vAlign w:val="top"/>
          </w:tcPr>
          <w:p>
            <w:pPr>
              <w:spacing w:after="10" w:before="0" w:line="240" w:lineRule="auto"/>
            </w:pPr>
            <w:r>
              <w:rPr>
                <w:b/>
                <w:sz w:val="17"/>
              </w:rPr>
              <w:t>Customer receivable</w:t>
            </w:r>
          </w:p>
        </w:tc>
        <w:tc>
          <w:tcPr>
            <w:tcW w:type="dxa" w:w="1947"/>
            <w:tcMar>
              <w:top w:w="20" w:type="dxa"/>
              <w:left w:w="60" w:type="dxa"/>
              <w:bottom w:w="20" w:type="dxa"/>
              <w:right w:w="60" w:type="dxa"/>
            </w:tcMar>
            <w:vAlign w:val="top"/>
          </w:tcPr>
          <w:p>
            <w:pPr>
              <w:spacing w:after="10" w:before="0" w:line="240" w:lineRule="auto"/>
            </w:pPr>
            <w:r>
              <w:rPr>
                <w:rFonts w:ascii="Consolas" w:hAnsi="Consolas" w:eastAsia="Consolas"/>
                <w:sz w:val="16"/>
              </w:rPr>
              <w:t>Customer - &lt;name&gt;</w:t>
            </w:r>
          </w:p>
        </w:tc>
        <w:tc>
          <w:tcPr>
            <w:tcW w:type="dxa" w:w="779"/>
            <w:tcMar>
              <w:top w:w="20" w:type="dxa"/>
              <w:left w:w="60" w:type="dxa"/>
              <w:bottom w:w="20" w:type="dxa"/>
              <w:right w:w="60" w:type="dxa"/>
            </w:tcMar>
            <w:vAlign w:val="top"/>
          </w:tcPr>
          <w:p>
            <w:pPr>
              <w:spacing w:after="10" w:before="0" w:line="240" w:lineRule="auto"/>
            </w:pPr>
            <w:r>
              <w:rPr>
                <w:sz w:val="17"/>
              </w:rPr>
              <w:t>asset</w:t>
            </w:r>
          </w:p>
        </w:tc>
        <w:tc>
          <w:tcPr>
            <w:tcW w:type="dxa" w:w="1817"/>
            <w:tcMar>
              <w:top w:w="20" w:type="dxa"/>
              <w:left w:w="60" w:type="dxa"/>
              <w:bottom w:w="20" w:type="dxa"/>
              <w:right w:w="60" w:type="dxa"/>
            </w:tcMar>
            <w:vAlign w:val="top"/>
          </w:tcPr>
          <w:p>
            <w:pPr>
              <w:spacing w:after="10" w:before="0" w:line="240" w:lineRule="auto"/>
            </w:pPr>
            <w:r>
              <w:rPr>
                <w:rFonts w:ascii="Consolas" w:hAnsi="Consolas" w:eastAsia="Consolas"/>
                <w:sz w:val="16"/>
              </w:rPr>
              <w:t>account-receivable-group</w:t>
            </w:r>
          </w:p>
        </w:tc>
        <w:tc>
          <w:tcPr>
            <w:tcW w:type="dxa" w:w="1168"/>
            <w:tcMar>
              <w:top w:w="20" w:type="dxa"/>
              <w:left w:w="60" w:type="dxa"/>
              <w:bottom w:w="20" w:type="dxa"/>
              <w:right w:w="60" w:type="dxa"/>
            </w:tcMar>
            <w:vAlign w:val="top"/>
          </w:tcPr>
          <w:p>
            <w:pPr>
              <w:spacing w:after="10" w:before="0" w:line="240" w:lineRule="auto"/>
            </w:pPr>
            <w:r>
              <w:rPr>
                <w:sz w:val="17"/>
              </w:rPr>
              <w:t>AR0001, AR0002 ...</w:t>
            </w:r>
          </w:p>
        </w:tc>
        <w:tc>
          <w:tcPr>
            <w:tcW w:type="dxa" w:w="2466"/>
            <w:tcMar>
              <w:top w:w="20" w:type="dxa"/>
              <w:left w:w="60" w:type="dxa"/>
              <w:bottom w:w="20" w:type="dxa"/>
              <w:right w:w="60" w:type="dxa"/>
            </w:tcMar>
            <w:vAlign w:val="top"/>
          </w:tcPr>
          <w:p>
            <w:pPr>
              <w:spacing w:after="10" w:before="0" w:line="240" w:lineRule="auto"/>
            </w:pPr>
            <w:r>
              <w:rPr>
                <w:sz w:val="17"/>
              </w:rPr>
              <w:t>Sales invoices, sales returns, allocated receipts, customer notes.</w:t>
            </w:r>
          </w:p>
        </w:tc>
      </w:tr>
      <w:tr>
        <w:trPr>
          <w:cantSplit w:val="true"/>
        </w:trPr>
        <w:tc>
          <w:tcPr>
            <w:tcW w:type="dxa" w:w="1428"/>
            <w:tcMar>
              <w:top w:w="20" w:type="dxa"/>
              <w:left w:w="60" w:type="dxa"/>
              <w:bottom w:w="20" w:type="dxa"/>
              <w:right w:w="60" w:type="dxa"/>
            </w:tcMar>
            <w:vAlign w:val="top"/>
          </w:tcPr>
          <w:p>
            <w:pPr>
              <w:spacing w:after="10" w:before="0" w:line="240" w:lineRule="auto"/>
            </w:pPr>
            <w:r>
              <w:rPr>
                <w:b/>
                <w:sz w:val="17"/>
              </w:rPr>
              <w:t>Vendor payable</w:t>
            </w:r>
          </w:p>
        </w:tc>
        <w:tc>
          <w:tcPr>
            <w:tcW w:type="dxa" w:w="1947"/>
            <w:tcMar>
              <w:top w:w="20" w:type="dxa"/>
              <w:left w:w="60" w:type="dxa"/>
              <w:bottom w:w="20" w:type="dxa"/>
              <w:right w:w="60" w:type="dxa"/>
            </w:tcMar>
            <w:vAlign w:val="top"/>
          </w:tcPr>
          <w:p>
            <w:pPr>
              <w:spacing w:after="10" w:before="0" w:line="240" w:lineRule="auto"/>
            </w:pPr>
            <w:r>
              <w:rPr>
                <w:rFonts w:ascii="Consolas" w:hAnsi="Consolas" w:eastAsia="Consolas"/>
                <w:sz w:val="16"/>
              </w:rPr>
              <w:t>Vendor - &lt;name&gt;</w:t>
            </w:r>
          </w:p>
        </w:tc>
        <w:tc>
          <w:tcPr>
            <w:tcW w:type="dxa" w:w="779"/>
            <w:tcMar>
              <w:top w:w="20" w:type="dxa"/>
              <w:left w:w="60" w:type="dxa"/>
              <w:bottom w:w="20" w:type="dxa"/>
              <w:right w:w="60" w:type="dxa"/>
            </w:tcMar>
            <w:vAlign w:val="top"/>
          </w:tcPr>
          <w:p>
            <w:pPr>
              <w:spacing w:after="10" w:before="0" w:line="240" w:lineRule="auto"/>
            </w:pPr>
            <w:r>
              <w:rPr>
                <w:sz w:val="17"/>
              </w:rPr>
              <w:t>liability</w:t>
            </w:r>
          </w:p>
        </w:tc>
        <w:tc>
          <w:tcPr>
            <w:tcW w:type="dxa" w:w="1817"/>
            <w:tcMar>
              <w:top w:w="20" w:type="dxa"/>
              <w:left w:w="60" w:type="dxa"/>
              <w:bottom w:w="20" w:type="dxa"/>
              <w:right w:w="60" w:type="dxa"/>
            </w:tcMar>
            <w:vAlign w:val="top"/>
          </w:tcPr>
          <w:p>
            <w:pPr>
              <w:spacing w:after="10" w:before="0" w:line="240" w:lineRule="auto"/>
            </w:pPr>
            <w:r>
              <w:rPr>
                <w:rFonts w:ascii="Consolas" w:hAnsi="Consolas" w:eastAsia="Consolas"/>
                <w:sz w:val="16"/>
              </w:rPr>
              <w:t>account-payable-group</w:t>
            </w:r>
          </w:p>
        </w:tc>
        <w:tc>
          <w:tcPr>
            <w:tcW w:type="dxa" w:w="1168"/>
            <w:tcMar>
              <w:top w:w="20" w:type="dxa"/>
              <w:left w:w="60" w:type="dxa"/>
              <w:bottom w:w="20" w:type="dxa"/>
              <w:right w:w="60" w:type="dxa"/>
            </w:tcMar>
            <w:vAlign w:val="top"/>
          </w:tcPr>
          <w:p>
            <w:pPr>
              <w:spacing w:after="10" w:before="0" w:line="240" w:lineRule="auto"/>
            </w:pPr>
            <w:r>
              <w:rPr>
                <w:sz w:val="17"/>
              </w:rPr>
              <w:t>AP0001, AP0002 ...</w:t>
            </w:r>
          </w:p>
        </w:tc>
        <w:tc>
          <w:tcPr>
            <w:tcW w:type="dxa" w:w="2466"/>
            <w:tcMar>
              <w:top w:w="20" w:type="dxa"/>
              <w:left w:w="60" w:type="dxa"/>
              <w:bottom w:w="20" w:type="dxa"/>
              <w:right w:w="60" w:type="dxa"/>
            </w:tcMar>
            <w:vAlign w:val="top"/>
          </w:tcPr>
          <w:p>
            <w:pPr>
              <w:spacing w:after="10" w:before="0" w:line="240" w:lineRule="auto"/>
            </w:pPr>
            <w:r>
              <w:rPr>
                <w:sz w:val="17"/>
              </w:rPr>
              <w:t>Purchase invoices, purchase returns, allocated payments, vendor notes.</w:t>
            </w:r>
          </w:p>
        </w:tc>
      </w:tr>
      <w:tr>
        <w:trPr>
          <w:cantSplit w:val="true"/>
        </w:trPr>
        <w:tc>
          <w:tcPr>
            <w:tcW w:type="dxa" w:w="1428"/>
            <w:tcMar>
              <w:top w:w="20" w:type="dxa"/>
              <w:left w:w="60" w:type="dxa"/>
              <w:bottom w:w="20" w:type="dxa"/>
              <w:right w:w="60" w:type="dxa"/>
            </w:tcMar>
            <w:vAlign w:val="top"/>
          </w:tcPr>
          <w:p>
            <w:pPr>
              <w:spacing w:after="10" w:before="0" w:line="240" w:lineRule="auto"/>
            </w:pPr>
            <w:r>
              <w:rPr>
                <w:b/>
                <w:sz w:val="17"/>
              </w:rPr>
              <w:t>Customer advance</w:t>
            </w:r>
          </w:p>
        </w:tc>
        <w:tc>
          <w:tcPr>
            <w:tcW w:type="dxa" w:w="1947"/>
            <w:tcMar>
              <w:top w:w="20" w:type="dxa"/>
              <w:left w:w="60" w:type="dxa"/>
              <w:bottom w:w="20" w:type="dxa"/>
              <w:right w:w="60" w:type="dxa"/>
            </w:tcMar>
            <w:vAlign w:val="top"/>
          </w:tcPr>
          <w:p>
            <w:pPr>
              <w:spacing w:after="10" w:before="0" w:line="240" w:lineRule="auto"/>
            </w:pPr>
            <w:r>
              <w:rPr>
                <w:rFonts w:ascii="Consolas" w:hAnsi="Consolas" w:eastAsia="Consolas"/>
                <w:sz w:val="16"/>
              </w:rPr>
              <w:t>Customer Advance - &lt;name&gt;</w:t>
            </w:r>
          </w:p>
        </w:tc>
        <w:tc>
          <w:tcPr>
            <w:tcW w:type="dxa" w:w="779"/>
            <w:tcMar>
              <w:top w:w="20" w:type="dxa"/>
              <w:left w:w="60" w:type="dxa"/>
              <w:bottom w:w="20" w:type="dxa"/>
              <w:right w:w="60" w:type="dxa"/>
            </w:tcMar>
            <w:vAlign w:val="top"/>
          </w:tcPr>
          <w:p>
            <w:pPr>
              <w:spacing w:after="10" w:before="0" w:line="240" w:lineRule="auto"/>
            </w:pPr>
            <w:r>
              <w:rPr>
                <w:sz w:val="17"/>
              </w:rPr>
              <w:t>liability</w:t>
            </w:r>
          </w:p>
        </w:tc>
        <w:tc>
          <w:tcPr>
            <w:tcW w:type="dxa" w:w="1817"/>
            <w:tcMar>
              <w:top w:w="20" w:type="dxa"/>
              <w:left w:w="60" w:type="dxa"/>
              <w:bottom w:w="20" w:type="dxa"/>
              <w:right w:w="60" w:type="dxa"/>
            </w:tcMar>
            <w:vAlign w:val="top"/>
          </w:tcPr>
          <w:p>
            <w:pPr>
              <w:spacing w:after="10" w:before="0" w:line="240" w:lineRule="auto"/>
            </w:pPr>
            <w:r>
              <w:rPr>
                <w:rFonts w:ascii="Consolas" w:hAnsi="Consolas" w:eastAsia="Consolas"/>
                <w:sz w:val="16"/>
              </w:rPr>
              <w:t>account-payable-group</w:t>
            </w:r>
          </w:p>
        </w:tc>
        <w:tc>
          <w:tcPr>
            <w:tcW w:type="dxa" w:w="1168"/>
            <w:tcMar>
              <w:top w:w="20" w:type="dxa"/>
              <w:left w:w="60" w:type="dxa"/>
              <w:bottom w:w="20" w:type="dxa"/>
              <w:right w:w="60" w:type="dxa"/>
            </w:tcMar>
            <w:vAlign w:val="top"/>
          </w:tcPr>
          <w:p>
            <w:pPr>
              <w:spacing w:after="10" w:before="0" w:line="240" w:lineRule="auto"/>
            </w:pPr>
            <w:r>
              <w:rPr>
                <w:sz w:val="17"/>
              </w:rPr>
              <w:t>AP000n</w:t>
            </w:r>
          </w:p>
        </w:tc>
        <w:tc>
          <w:tcPr>
            <w:tcW w:type="dxa" w:w="2466"/>
            <w:tcMar>
              <w:top w:w="20" w:type="dxa"/>
              <w:left w:w="60" w:type="dxa"/>
              <w:bottom w:w="20" w:type="dxa"/>
              <w:right w:w="60" w:type="dxa"/>
            </w:tcMar>
            <w:vAlign w:val="top"/>
          </w:tcPr>
          <w:p>
            <w:pPr>
              <w:spacing w:after="10" w:before="0" w:line="240" w:lineRule="auto"/>
            </w:pPr>
            <w:r>
              <w:rPr>
                <w:sz w:val="17"/>
              </w:rPr>
              <w:t>Part of a receipt not set against an invoice.</w:t>
            </w:r>
          </w:p>
        </w:tc>
      </w:tr>
      <w:tr>
        <w:trPr>
          <w:cantSplit w:val="true"/>
        </w:trPr>
        <w:tc>
          <w:tcPr>
            <w:tcW w:type="dxa" w:w="1428"/>
            <w:tcMar>
              <w:top w:w="20" w:type="dxa"/>
              <w:left w:w="60" w:type="dxa"/>
              <w:bottom w:w="20" w:type="dxa"/>
              <w:right w:w="60" w:type="dxa"/>
            </w:tcMar>
            <w:vAlign w:val="top"/>
          </w:tcPr>
          <w:p>
            <w:pPr>
              <w:spacing w:after="10" w:before="0" w:line="240" w:lineRule="auto"/>
            </w:pPr>
            <w:r>
              <w:rPr>
                <w:b/>
                <w:sz w:val="17"/>
              </w:rPr>
              <w:t>Vendor advance</w:t>
            </w:r>
          </w:p>
        </w:tc>
        <w:tc>
          <w:tcPr>
            <w:tcW w:type="dxa" w:w="1947"/>
            <w:tcMar>
              <w:top w:w="20" w:type="dxa"/>
              <w:left w:w="60" w:type="dxa"/>
              <w:bottom w:w="20" w:type="dxa"/>
              <w:right w:w="60" w:type="dxa"/>
            </w:tcMar>
            <w:vAlign w:val="top"/>
          </w:tcPr>
          <w:p>
            <w:pPr>
              <w:spacing w:after="10" w:before="0" w:line="240" w:lineRule="auto"/>
            </w:pPr>
            <w:r>
              <w:rPr>
                <w:rFonts w:ascii="Consolas" w:hAnsi="Consolas" w:eastAsia="Consolas"/>
                <w:sz w:val="16"/>
              </w:rPr>
              <w:t>Advance to Vendor - &lt;name&gt;</w:t>
            </w:r>
          </w:p>
        </w:tc>
        <w:tc>
          <w:tcPr>
            <w:tcW w:type="dxa" w:w="779"/>
            <w:tcMar>
              <w:top w:w="20" w:type="dxa"/>
              <w:left w:w="60" w:type="dxa"/>
              <w:bottom w:w="20" w:type="dxa"/>
              <w:right w:w="60" w:type="dxa"/>
            </w:tcMar>
            <w:vAlign w:val="top"/>
          </w:tcPr>
          <w:p>
            <w:pPr>
              <w:spacing w:after="10" w:before="0" w:line="240" w:lineRule="auto"/>
            </w:pPr>
            <w:r>
              <w:rPr>
                <w:sz w:val="17"/>
              </w:rPr>
              <w:t>asset</w:t>
            </w:r>
          </w:p>
        </w:tc>
        <w:tc>
          <w:tcPr>
            <w:tcW w:type="dxa" w:w="1817"/>
            <w:tcMar>
              <w:top w:w="20" w:type="dxa"/>
              <w:left w:w="60" w:type="dxa"/>
              <w:bottom w:w="20" w:type="dxa"/>
              <w:right w:w="60" w:type="dxa"/>
            </w:tcMar>
            <w:vAlign w:val="top"/>
          </w:tcPr>
          <w:p>
            <w:pPr>
              <w:spacing w:after="10" w:before="0" w:line="240" w:lineRule="auto"/>
            </w:pPr>
            <w:r>
              <w:rPr>
                <w:rFonts w:ascii="Consolas" w:hAnsi="Consolas" w:eastAsia="Consolas"/>
                <w:sz w:val="16"/>
              </w:rPr>
              <w:t>account-receivable-group</w:t>
            </w:r>
          </w:p>
        </w:tc>
        <w:tc>
          <w:tcPr>
            <w:tcW w:type="dxa" w:w="1168"/>
            <w:tcMar>
              <w:top w:w="20" w:type="dxa"/>
              <w:left w:w="60" w:type="dxa"/>
              <w:bottom w:w="20" w:type="dxa"/>
              <w:right w:w="60" w:type="dxa"/>
            </w:tcMar>
            <w:vAlign w:val="top"/>
          </w:tcPr>
          <w:p>
            <w:pPr>
              <w:spacing w:after="10" w:before="0" w:line="240" w:lineRule="auto"/>
            </w:pPr>
            <w:r>
              <w:rPr>
                <w:sz w:val="17"/>
              </w:rPr>
              <w:t>AR000n</w:t>
            </w:r>
          </w:p>
        </w:tc>
        <w:tc>
          <w:tcPr>
            <w:tcW w:type="dxa" w:w="2466"/>
            <w:tcMar>
              <w:top w:w="20" w:type="dxa"/>
              <w:left w:w="60" w:type="dxa"/>
              <w:bottom w:w="20" w:type="dxa"/>
              <w:right w:w="60" w:type="dxa"/>
            </w:tcMar>
            <w:vAlign w:val="top"/>
          </w:tcPr>
          <w:p>
            <w:pPr>
              <w:spacing w:after="10" w:before="0" w:line="240" w:lineRule="auto"/>
            </w:pPr>
            <w:r>
              <w:rPr>
                <w:sz w:val="17"/>
              </w:rPr>
              <w:t>Part of a payment not set against an invoice.</w:t>
            </w:r>
          </w:p>
        </w:tc>
      </w:tr>
    </w:tbl>
    <w:p>
      <w:pPr>
        <w:spacing w:after="0" w:before="0"/>
        <w:rPr>
          <w:sz w:val="6"/>
        </w:rPr>
      </w:pPr>
    </w:p>
    <w:p>
      <w:pPr>
        <w:pStyle w:val="ListBullet"/>
      </w:pPr>
      <w:r>
        <w:rPr>
          <w:b/>
        </w:rPr>
        <w:t>Note the filing.</w:t>
      </w:r>
      <w:r>
        <w:t xml:space="preserve"> An advance is filed with the group of the opposite party kind: the customer advance (a liability) sits with the payables, and the vendor advance (an asset) sits with the receivables. The accounts keep their natural type, so the balance sheet is right, but the group totals of Accounts Receivable and Accounts Payable each contain one party kind's balance and the other kind's advances (section 5.2).</w:t>
      </w:r>
    </w:p>
    <w:p>
      <w:pPr>
        <w:pStyle w:val="ListBullet"/>
      </w:pPr>
      <w:r>
        <w:rPr>
          <w:b/>
        </w:rPr>
        <w:t>When they are made.</w:t>
      </w:r>
      <w:r>
        <w:t xml:space="preserve"> On the first of: the party being created (the customer and vendor services call a hook), the first document or voucher that needs the account, or the chart being opened (a backfill gives every existing customer and vendor its main account). Advance accounts are made only when an advance is first taken.</w:t>
      </w:r>
    </w:p>
    <w:p>
      <w:pPr>
        <w:pStyle w:val="ListBullet"/>
      </w:pPr>
      <w:r>
        <w:rPr>
          <w:b/>
        </w:rPr>
        <w:t>Code.</w:t>
      </w:r>
      <w:r>
        <w:t xml:space="preserve"> The next code of the filing group (</w:t>
      </w:r>
      <w:r>
        <w:rPr>
          <w:rFonts w:ascii="Consolas" w:hAnsi="Consolas" w:eastAsia="Consolas"/>
        </w:rPr>
        <w:t>AR0001</w:t>
      </w:r>
      <w:r>
        <w:t>). If the group key is not mapped, the account is created without a group, with a legacy code (CUST, VEND, CADV or VADV plus the last six characters of the party's id).</w:t>
      </w:r>
    </w:p>
    <w:p>
      <w:pPr>
        <w:pStyle w:val="ListBullet"/>
      </w:pPr>
      <w:r>
        <w:rPr>
          <w:b/>
        </w:rPr>
        <w:t>Rename and delete.</w:t>
      </w:r>
      <w:r>
        <w:t xml:space="preserve"> Renaming a party renames its accounts unless an account with the new name already exists (accounts are never merged). Deleting a party switches its accounts off only if they have never been posted to.</w:t>
      </w:r>
    </w:p>
    <w:p>
      <w:pPr>
        <w:pStyle w:val="ListBullet"/>
      </w:pPr>
      <w:r>
        <w:rPr>
          <w:b/>
        </w:rPr>
        <w:t>Created from the chart.</w:t>
      </w:r>
      <w:r>
        <w:t xml:space="preserve"> Choosing a Receivable or Payable group on the account form creates a customer or vendor through the normal service, filed in the chosen group (a sub-group is allowed; </w:t>
      </w:r>
      <w:r>
        <w:rPr>
          <w:rFonts w:ascii="Consolas" w:hAnsi="Consolas" w:eastAsia="Consolas"/>
        </w:rPr>
        <w:t>GROUP_CATEGORY_MISMATCH</w:t>
      </w:r>
      <w:r>
        <w:t xml:space="preserve"> if the category differs).</w:t>
      </w:r>
    </w:p>
    <w:p>
      <w:pPr>
        <w:pStyle w:val="Heading3"/>
      </w:pPr>
      <w:r>
        <w:t>2.4.1 Group roles</w:t>
      </w:r>
    </w:p>
    <w:p>
      <w:r>
        <w:t>The role of a group tells the screens what kind of accounts it holds. It is worked out from the posting map: the group that a role key points at, and every group under it, has that role. The nearest mapped ancestor wins; a group under none of them has the role 'other'.</w:t>
      </w:r>
    </w:p>
    <w:p>
      <w:pPr>
        <w:pStyle w:val="Caption"/>
      </w:pPr>
      <w:r>
        <w:t>Table 10. Group roles (AccountConfigService.GROUP_ROLE_KEYS)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309"/>
        <w:gridCol w:w="2765"/>
        <w:gridCol w:w="5530"/>
      </w:tblGrid>
      <w:tr>
        <w:trPr>
          <w:tblHeader w:val="true"/>
          <w:cantSplit w:val="true"/>
        </w:trPr>
        <w:tc>
          <w:tcPr>
            <w:tcW w:type="dxa" w:w="1310"/>
            <w:shd w:val="clear" w:color="auto" w:fill="1F3A5F"/>
            <w:tcMar>
              <w:top w:w="20" w:type="dxa"/>
              <w:left w:w="60" w:type="dxa"/>
              <w:bottom w:w="20" w:type="dxa"/>
              <w:right w:w="60" w:type="dxa"/>
            </w:tcMar>
            <w:vAlign w:val="center"/>
          </w:tcPr>
          <w:p>
            <w:pPr>
              <w:spacing w:after="10" w:before="0" w:line="240" w:lineRule="auto"/>
            </w:pPr>
            <w:r>
              <w:rPr>
                <w:b/>
                <w:color w:val="FFFFFF"/>
                <w:sz w:val="17"/>
              </w:rPr>
              <w:t>Role</w:t>
            </w:r>
          </w:p>
        </w:tc>
        <w:tc>
          <w:tcPr>
            <w:tcW w:type="dxa" w:w="2765"/>
            <w:shd w:val="clear" w:color="auto" w:fill="1F3A5F"/>
            <w:tcMar>
              <w:top w:w="20" w:type="dxa"/>
              <w:left w:w="60" w:type="dxa"/>
              <w:bottom w:w="20" w:type="dxa"/>
              <w:right w:w="60" w:type="dxa"/>
            </w:tcMar>
            <w:vAlign w:val="center"/>
          </w:tcPr>
          <w:p>
            <w:pPr>
              <w:spacing w:after="10" w:before="0" w:line="240" w:lineRule="auto"/>
            </w:pPr>
            <w:r>
              <w:rPr>
                <w:b/>
                <w:color w:val="FFFFFF"/>
                <w:sz w:val="17"/>
              </w:rPr>
              <w:t>Key that defines it</w:t>
            </w:r>
          </w:p>
        </w:tc>
        <w:tc>
          <w:tcPr>
            <w:tcW w:type="dxa" w:w="5530"/>
            <w:shd w:val="clear" w:color="auto" w:fill="1F3A5F"/>
            <w:tcMar>
              <w:top w:w="20" w:type="dxa"/>
              <w:left w:w="60" w:type="dxa"/>
              <w:bottom w:w="20" w:type="dxa"/>
              <w:right w:w="60" w:type="dxa"/>
            </w:tcMar>
            <w:vAlign w:val="center"/>
          </w:tcPr>
          <w:p>
            <w:pPr>
              <w:spacing w:after="10" w:before="0" w:line="240" w:lineRule="auto"/>
            </w:pPr>
            <w:r>
              <w:rPr>
                <w:b/>
                <w:color w:val="FFFFFF"/>
                <w:sz w:val="17"/>
              </w:rPr>
              <w:t>What the code does with it</w:t>
            </w:r>
          </w:p>
        </w:tc>
      </w:tr>
      <w:tr>
        <w:trPr>
          <w:cantSplit w:val="true"/>
        </w:trPr>
        <w:tc>
          <w:tcPr>
            <w:tcW w:type="dxa" w:w="1310"/>
            <w:tcMar>
              <w:top w:w="20" w:type="dxa"/>
              <w:left w:w="60" w:type="dxa"/>
              <w:bottom w:w="20" w:type="dxa"/>
              <w:right w:w="60" w:type="dxa"/>
            </w:tcMar>
            <w:vAlign w:val="top"/>
          </w:tcPr>
          <w:p>
            <w:pPr>
              <w:spacing w:after="10" w:before="0" w:line="240" w:lineRule="auto"/>
            </w:pPr>
            <w:r>
              <w:rPr>
                <w:b/>
                <w:sz w:val="17"/>
              </w:rPr>
              <w:t>cash</w:t>
            </w:r>
          </w:p>
        </w:tc>
        <w:tc>
          <w:tcPr>
            <w:tcW w:type="dxa" w:w="2765"/>
            <w:tcMar>
              <w:top w:w="20" w:type="dxa"/>
              <w:left w:w="60" w:type="dxa"/>
              <w:bottom w:w="20" w:type="dxa"/>
              <w:right w:w="60" w:type="dxa"/>
            </w:tcMar>
            <w:vAlign w:val="top"/>
          </w:tcPr>
          <w:p>
            <w:pPr>
              <w:spacing w:after="10" w:before="0" w:line="240" w:lineRule="auto"/>
            </w:pPr>
            <w:r>
              <w:rPr>
                <w:rFonts w:ascii="Consolas" w:hAnsi="Consolas" w:eastAsia="Consolas"/>
                <w:sz w:val="16"/>
              </w:rPr>
              <w:t>cash-account-group</w:t>
            </w:r>
          </w:p>
        </w:tc>
        <w:tc>
          <w:tcPr>
            <w:tcW w:type="dxa" w:w="5530"/>
            <w:tcMar>
              <w:top w:w="20" w:type="dxa"/>
              <w:left w:w="60" w:type="dxa"/>
              <w:bottom w:w="20" w:type="dxa"/>
              <w:right w:w="60" w:type="dxa"/>
            </w:tcMar>
            <w:vAlign w:val="top"/>
          </w:tcPr>
          <w:p>
            <w:pPr>
              <w:spacing w:after="10" w:before="0" w:line="240" w:lineRule="auto"/>
            </w:pPr>
            <w:r>
              <w:rPr>
                <w:sz w:val="17"/>
              </w:rPr>
              <w:t>Cash vouchers pick from these accounts; contra uses them; cash cannot be overdrawn by a contra; cash book, cash flow and IFRS cash.</w:t>
            </w:r>
          </w:p>
        </w:tc>
      </w:tr>
      <w:tr>
        <w:trPr>
          <w:cantSplit w:val="true"/>
        </w:trPr>
        <w:tc>
          <w:tcPr>
            <w:tcW w:type="dxa" w:w="1310"/>
            <w:tcMar>
              <w:top w:w="20" w:type="dxa"/>
              <w:left w:w="60" w:type="dxa"/>
              <w:bottom w:w="20" w:type="dxa"/>
              <w:right w:w="60" w:type="dxa"/>
            </w:tcMar>
            <w:vAlign w:val="top"/>
          </w:tcPr>
          <w:p>
            <w:pPr>
              <w:spacing w:after="10" w:before="0" w:line="240" w:lineRule="auto"/>
            </w:pPr>
            <w:r>
              <w:rPr>
                <w:b/>
                <w:sz w:val="17"/>
              </w:rPr>
              <w:t>bank</w:t>
            </w:r>
          </w:p>
        </w:tc>
        <w:tc>
          <w:tcPr>
            <w:tcW w:type="dxa" w:w="2765"/>
            <w:tcMar>
              <w:top w:w="20" w:type="dxa"/>
              <w:left w:w="60" w:type="dxa"/>
              <w:bottom w:w="20" w:type="dxa"/>
              <w:right w:w="60" w:type="dxa"/>
            </w:tcMar>
            <w:vAlign w:val="top"/>
          </w:tcPr>
          <w:p>
            <w:pPr>
              <w:spacing w:after="10" w:before="0" w:line="240" w:lineRule="auto"/>
            </w:pPr>
            <w:r>
              <w:rPr>
                <w:rFonts w:ascii="Consolas" w:hAnsi="Consolas" w:eastAsia="Consolas"/>
                <w:sz w:val="16"/>
              </w:rPr>
              <w:t>bank-account-group</w:t>
            </w:r>
          </w:p>
        </w:tc>
        <w:tc>
          <w:tcPr>
            <w:tcW w:type="dxa" w:w="5530"/>
            <w:tcMar>
              <w:top w:w="20" w:type="dxa"/>
              <w:left w:w="60" w:type="dxa"/>
              <w:bottom w:w="20" w:type="dxa"/>
              <w:right w:w="60" w:type="dxa"/>
            </w:tcMar>
            <w:vAlign w:val="top"/>
          </w:tcPr>
          <w:p>
            <w:pPr>
              <w:spacing w:after="10" w:before="0" w:line="240" w:lineRule="auto"/>
            </w:pPr>
            <w:r>
              <w:rPr>
                <w:sz w:val="17"/>
              </w:rPr>
              <w:t>Bank, transfer, cheque and card vouchers pick from these accounts; the account form asks for bank details (bank, number, IBAN with checksum).</w:t>
            </w:r>
          </w:p>
        </w:tc>
      </w:tr>
      <w:tr>
        <w:trPr>
          <w:cantSplit w:val="true"/>
        </w:trPr>
        <w:tc>
          <w:tcPr>
            <w:tcW w:type="dxa" w:w="1310"/>
            <w:tcMar>
              <w:top w:w="20" w:type="dxa"/>
              <w:left w:w="60" w:type="dxa"/>
              <w:bottom w:w="20" w:type="dxa"/>
              <w:right w:w="60" w:type="dxa"/>
            </w:tcMar>
            <w:vAlign w:val="top"/>
          </w:tcPr>
          <w:p>
            <w:pPr>
              <w:spacing w:after="10" w:before="0" w:line="240" w:lineRule="auto"/>
            </w:pPr>
            <w:r>
              <w:rPr>
                <w:b/>
                <w:sz w:val="17"/>
              </w:rPr>
              <w:t>receivable</w:t>
            </w:r>
          </w:p>
        </w:tc>
        <w:tc>
          <w:tcPr>
            <w:tcW w:type="dxa" w:w="2765"/>
            <w:tcMar>
              <w:top w:w="20" w:type="dxa"/>
              <w:left w:w="60" w:type="dxa"/>
              <w:bottom w:w="20" w:type="dxa"/>
              <w:right w:w="60" w:type="dxa"/>
            </w:tcMar>
            <w:vAlign w:val="top"/>
          </w:tcPr>
          <w:p>
            <w:pPr>
              <w:spacing w:after="10" w:before="0" w:line="240" w:lineRule="auto"/>
            </w:pPr>
            <w:r>
              <w:rPr>
                <w:rFonts w:ascii="Consolas" w:hAnsi="Consolas" w:eastAsia="Consolas"/>
                <w:sz w:val="16"/>
              </w:rPr>
              <w:t>account-receivable-group</w:t>
            </w:r>
          </w:p>
        </w:tc>
        <w:tc>
          <w:tcPr>
            <w:tcW w:type="dxa" w:w="5530"/>
            <w:tcMar>
              <w:top w:w="20" w:type="dxa"/>
              <w:left w:w="60" w:type="dxa"/>
              <w:bottom w:w="20" w:type="dxa"/>
              <w:right w:w="60" w:type="dxa"/>
            </w:tcMar>
            <w:vAlign w:val="top"/>
          </w:tcPr>
          <w:p>
            <w:pPr>
              <w:spacing w:after="10" w:before="0" w:line="240" w:lineRule="auto"/>
            </w:pPr>
            <w:r>
              <w:rPr>
                <w:sz w:val="17"/>
              </w:rPr>
              <w:t>The account form for this group is a customer form.</w:t>
            </w:r>
          </w:p>
        </w:tc>
      </w:tr>
      <w:tr>
        <w:trPr>
          <w:cantSplit w:val="true"/>
        </w:trPr>
        <w:tc>
          <w:tcPr>
            <w:tcW w:type="dxa" w:w="1310"/>
            <w:tcMar>
              <w:top w:w="20" w:type="dxa"/>
              <w:left w:w="60" w:type="dxa"/>
              <w:bottom w:w="20" w:type="dxa"/>
              <w:right w:w="60" w:type="dxa"/>
            </w:tcMar>
            <w:vAlign w:val="top"/>
          </w:tcPr>
          <w:p>
            <w:pPr>
              <w:spacing w:after="10" w:before="0" w:line="240" w:lineRule="auto"/>
            </w:pPr>
            <w:r>
              <w:rPr>
                <w:b/>
                <w:sz w:val="17"/>
              </w:rPr>
              <w:t>payable</w:t>
            </w:r>
          </w:p>
        </w:tc>
        <w:tc>
          <w:tcPr>
            <w:tcW w:type="dxa" w:w="2765"/>
            <w:tcMar>
              <w:top w:w="20" w:type="dxa"/>
              <w:left w:w="60" w:type="dxa"/>
              <w:bottom w:w="20" w:type="dxa"/>
              <w:right w:w="60" w:type="dxa"/>
            </w:tcMar>
            <w:vAlign w:val="top"/>
          </w:tcPr>
          <w:p>
            <w:pPr>
              <w:spacing w:after="10" w:before="0" w:line="240" w:lineRule="auto"/>
            </w:pPr>
            <w:r>
              <w:rPr>
                <w:rFonts w:ascii="Consolas" w:hAnsi="Consolas" w:eastAsia="Consolas"/>
                <w:sz w:val="16"/>
              </w:rPr>
              <w:t>account-payable-group</w:t>
            </w:r>
          </w:p>
        </w:tc>
        <w:tc>
          <w:tcPr>
            <w:tcW w:type="dxa" w:w="5530"/>
            <w:tcMar>
              <w:top w:w="20" w:type="dxa"/>
              <w:left w:w="60" w:type="dxa"/>
              <w:bottom w:w="20" w:type="dxa"/>
              <w:right w:w="60" w:type="dxa"/>
            </w:tcMar>
            <w:vAlign w:val="top"/>
          </w:tcPr>
          <w:p>
            <w:pPr>
              <w:spacing w:after="10" w:before="0" w:line="240" w:lineRule="auto"/>
            </w:pPr>
            <w:r>
              <w:rPr>
                <w:sz w:val="17"/>
              </w:rPr>
              <w:t>The account form for this group is a vendor form.</w:t>
            </w:r>
          </w:p>
        </w:tc>
      </w:tr>
      <w:tr>
        <w:trPr>
          <w:cantSplit w:val="true"/>
        </w:trPr>
        <w:tc>
          <w:tcPr>
            <w:tcW w:type="dxa" w:w="1310"/>
            <w:tcMar>
              <w:top w:w="20" w:type="dxa"/>
              <w:left w:w="60" w:type="dxa"/>
              <w:bottom w:w="20" w:type="dxa"/>
              <w:right w:w="60" w:type="dxa"/>
            </w:tcMar>
            <w:vAlign w:val="top"/>
          </w:tcPr>
          <w:p>
            <w:pPr>
              <w:spacing w:after="10" w:before="0" w:line="240" w:lineRule="auto"/>
            </w:pPr>
            <w:r>
              <w:rPr>
                <w:b/>
                <w:sz w:val="17"/>
              </w:rPr>
              <w:t>creditCard</w:t>
            </w:r>
          </w:p>
        </w:tc>
        <w:tc>
          <w:tcPr>
            <w:tcW w:type="dxa" w:w="2765"/>
            <w:tcMar>
              <w:top w:w="20" w:type="dxa"/>
              <w:left w:w="60" w:type="dxa"/>
              <w:bottom w:w="20" w:type="dxa"/>
              <w:right w:w="60" w:type="dxa"/>
            </w:tcMar>
            <w:vAlign w:val="top"/>
          </w:tcPr>
          <w:p>
            <w:pPr>
              <w:spacing w:after="10" w:before="0" w:line="240" w:lineRule="auto"/>
            </w:pPr>
            <w:r>
              <w:rPr>
                <w:rFonts w:ascii="Consolas" w:hAnsi="Consolas" w:eastAsia="Consolas"/>
                <w:sz w:val="16"/>
              </w:rPr>
              <w:t>credit-card-group</w:t>
            </w:r>
          </w:p>
        </w:tc>
        <w:tc>
          <w:tcPr>
            <w:tcW w:type="dxa" w:w="5530"/>
            <w:tcMar>
              <w:top w:w="20" w:type="dxa"/>
              <w:left w:w="60" w:type="dxa"/>
              <w:bottom w:w="20" w:type="dxa"/>
              <w:right w:w="60" w:type="dxa"/>
            </w:tcMar>
            <w:vAlign w:val="top"/>
          </w:tcPr>
          <w:p>
            <w:pPr>
              <w:spacing w:after="10" w:before="0" w:line="240" w:lineRule="auto"/>
            </w:pPr>
            <w:r>
              <w:rPr>
                <w:sz w:val="17"/>
              </w:rPr>
              <w:t>A company credit card's liability account is created here; its limit and amount owed are read from this account.</w:t>
            </w:r>
          </w:p>
        </w:tc>
      </w:tr>
    </w:tbl>
    <w:p>
      <w:pPr>
        <w:spacing w:after="0" w:before="0"/>
        <w:rPr>
          <w:sz w:val="6"/>
        </w:rPr>
      </w:pPr>
    </w:p>
    <w:p>
      <w:pPr>
        <w:pStyle w:val="Heading2"/>
      </w:pPr>
      <w:r>
        <w:t>2.5 Readiness, the posting switch and catching up earlier documents</w:t>
      </w:r>
    </w:p>
    <w:p>
      <w:r>
        <w:t>Ledger posting has a company-level switch. While it is off, approving a trade document still moves stock and the party's running balance, but writes no ledger entries. Two things are checked or done around the switch.</w:t>
      </w:r>
    </w:p>
    <w:p>
      <w:pPr>
        <w:pStyle w:val="Heading3"/>
      </w:pPr>
      <w:r>
        <w:t>2.5.1 The readiness check</w:t>
      </w:r>
    </w:p>
    <w:p>
      <w:r>
        <w:t xml:space="preserve">The readiness check lists every active key of kind group or account that has no target. The result is the number of mappable keys (34 in the canonical list), the number mapped, and the keys that are missing. </w:t>
      </w:r>
      <w:r>
        <w:rPr>
          <w:b/>
        </w:rPr>
        <w:t>Switching posting on is refused while any key is missing</w:t>
      </w:r>
      <w:r>
        <w:t xml:space="preserve"> (ACCOUNT_NOT_CONFIGURED, 'Map these accounts first: ...'), so an approval can never fail half way on a missing account. Clearing a mapping later does not switch posting off; it makes approvals that need that key fail until it is mapped again.</w:t>
      </w:r>
    </w:p>
    <w:p>
      <w:pPr>
        <w:pStyle w:val="Heading3"/>
      </w:pPr>
      <w:r>
        <w:t>2.5.2 Automatic switch-on</w:t>
      </w:r>
    </w:p>
    <w:p>
      <w:r>
        <w:t>A company that has never chosen is switched on automatically, so approved documents always have their effect. The routine (</w:t>
      </w:r>
      <w:r>
        <w:rPr>
          <w:rFonts w:ascii="Consolas" w:hAnsi="Consolas" w:eastAsia="Consolas"/>
        </w:rPr>
        <w:t>DefaultChartService.onOpen</w:t>
      </w:r>
      <w:r>
        <w:t>) runs at server start, and when the chart or a ledger report is opened. The opening calls are limited to once a minute per server process, and the minute starts only once the company's posting choice is settled (</w:t>
      </w:r>
      <w:r>
        <w:rPr>
          <w:rFonts w:ascii="Consolas" w:hAnsi="Consolas" w:eastAsia="Consolas"/>
        </w:rPr>
        <w:t>settled</w:t>
      </w:r>
      <w:r>
        <w:t>: posting is on, or deliberately off). The run at server start on a database with no company settings therefore does not start the minute, so the first real chart open is not skipped. Callers that arrive during a run share it. When the routine switches posting on it writes LEDGER_POSTING_ENABLED to the audit log ('Switched on automatically once every posting account was mapped; N earlier document(s) and M opening balance(s) posted').</w:t>
      </w:r>
    </w:p>
    <w:p>
      <w:pPr>
        <w:pStyle w:val="Caption"/>
      </w:pPr>
      <w:r>
        <w:t>Table 11. Automatic switch-on (DefaultChartService.onOpen; at most once a minute once the posting choice is settled)</w:t>
      </w:r>
    </w:p>
    <w:tbl>
      <w:tblPr>
        <w:tblW w:type="dxa" w:w="9604"/>
        <w:jc w:val="left"/>
        <w:tblLayout w:type="fixed"/>
        <w:tblLook w:firstColumn="1" w:firstRow="1" w:lastColumn="0" w:lastRow="0" w:noHBand="0" w:noVBand="1" w:val="04A0"/>
      </w:tblPr>
      <w:tblGrid>
        <w:gridCol w:w="1288"/>
        <w:gridCol w:w="374"/>
        <w:gridCol w:w="1288"/>
        <w:gridCol w:w="374"/>
        <w:gridCol w:w="1288"/>
        <w:gridCol w:w="374"/>
        <w:gridCol w:w="1288"/>
        <w:gridCol w:w="374"/>
        <w:gridCol w:w="1288"/>
        <w:gridCol w:w="374"/>
        <w:gridCol w:w="1288"/>
      </w:tblGrid>
      <w:tr>
        <w:trPr>
          <w:cantSplit w:val="true"/>
        </w:trPr>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Backfill the main account of every customer and vendor</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Posting never chosen by a person?</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Any key unmapped? Map defaults (never over a choice)</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All keys mapped? Switch posting on</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Post every approved document and every stored account opening that missed the ledger</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Write LEDGER_POSTING_ENABLED to the audit log</w:t>
            </w:r>
          </w:p>
        </w:tc>
      </w:tr>
    </w:tbl>
    <w:p>
      <w:pPr>
        <w:spacing w:after="0" w:before="0"/>
        <w:rPr>
          <w:sz w:val="12"/>
        </w:rPr>
      </w:pPr>
    </w:p>
    <w:p>
      <w:pPr>
        <w:pStyle w:val="ListBullet"/>
      </w:pPr>
      <w:r>
        <w:t xml:space="preserve">A person's choice is respected. Once someone has switched posting on or off by hand, </w:t>
      </w:r>
      <w:r>
        <w:rPr>
          <w:rFonts w:ascii="Consolas" w:hAnsi="Consolas" w:eastAsia="Consolas"/>
        </w:rPr>
        <w:t>ledgerPostingTouched</w:t>
      </w:r>
      <w:r>
        <w:t xml:space="preserve"> is true and the routine never changes the switch again (test: partyAccounts.test.js).</w:t>
      </w:r>
    </w:p>
    <w:p>
      <w:pPr>
        <w:pStyle w:val="ListBullet"/>
      </w:pPr>
      <w:r>
        <w:t>Switching on by hand (PUT /accounting/account-configuration/posting) also runs the catch-up and returns its result.</w:t>
      </w:r>
    </w:p>
    <w:p>
      <w:pPr>
        <w:pStyle w:val="ListBullet"/>
      </w:pPr>
      <w:r>
        <w:t>Vouchers (receipts, payments, journals, contra, expenses, notes) post their entries when they are saved whether the switch is on or off. Only trade documents depend on the switch. A company that has posting off and records receipts therefore has credits on party accounts with no invoices to match until the switch is on and the catch-up has run. This is why the automatic switch-on exists.</w:t>
      </w:r>
    </w:p>
    <w:p>
      <w:pPr>
        <w:pStyle w:val="Heading3"/>
      </w:pPr>
      <w:r>
        <w:t>2.5.3 Catching up earlier documents (PostingService.catchUp)</w:t>
      </w:r>
    </w:p>
    <w:p>
      <w:pPr>
        <w:tabs>
          <w:tab w:pos="432" w:val="left"/>
        </w:tabs>
        <w:spacing w:after="40"/>
        <w:ind w:left="432" w:hanging="432"/>
      </w:pPr>
      <w:r>
        <w:t>1.</w:t>
        <w:tab/>
      </w:r>
      <w:r>
        <w:t>Take every document with status APPROVED, of the four trade types, that is not an opening invoice, oldest first.</w:t>
      </w:r>
    </w:p>
    <w:p>
      <w:pPr>
        <w:tabs>
          <w:tab w:pos="432" w:val="left"/>
        </w:tabs>
        <w:spacing w:after="40"/>
        <w:ind w:left="432" w:hanging="432"/>
      </w:pPr>
      <w:r>
        <w:t>2.</w:t>
        <w:tab/>
      </w:r>
      <w:r>
        <w:t>If the document already has any ledger entry (the voucher id is found on any entry, reversed or not), leave it alone and count it as skipped.</w:t>
      </w:r>
    </w:p>
    <w:p>
      <w:pPr>
        <w:tabs>
          <w:tab w:pos="432" w:val="left"/>
        </w:tabs>
        <w:spacing w:after="40"/>
        <w:ind w:left="432" w:hanging="432"/>
      </w:pPr>
      <w:r>
        <w:t>3.</w:t>
        <w:tab/>
      </w:r>
      <w:r>
        <w:t>Otherwise, in a database transaction of its own, read the cost the stock moved at from the document's live inventory movements (</w:t>
      </w:r>
      <w:r>
        <w:rPr>
          <w:rFonts w:ascii="Consolas" w:hAnsi="Consolas" w:eastAsia="Consolas"/>
        </w:rPr>
        <w:t>cogsAmount</w:t>
      </w:r>
      <w:r>
        <w:t xml:space="preserve">, else the absolute </w:t>
      </w:r>
      <w:r>
        <w:rPr>
          <w:rFonts w:ascii="Consolas" w:hAnsi="Consolas" w:eastAsia="Consolas"/>
        </w:rPr>
        <w:t>totalValue</w:t>
      </w:r>
      <w:r>
        <w:t>) and post it exactly as an approval would.</w:t>
      </w:r>
    </w:p>
    <w:p>
      <w:pPr>
        <w:tabs>
          <w:tab w:pos="432" w:val="left"/>
        </w:tabs>
        <w:spacing w:after="40"/>
        <w:ind w:left="432" w:hanging="432"/>
      </w:pPr>
      <w:r>
        <w:t>4.</w:t>
        <w:tab/>
      </w:r>
      <w:r>
        <w:t>A document that cannot be posted (for example, its party was deleted) is reported in the result with the reason; the others continue.</w:t>
      </w:r>
    </w:p>
    <w:p>
      <w:pPr>
        <w:tabs>
          <w:tab w:pos="432" w:val="left"/>
        </w:tabs>
        <w:spacing w:after="40"/>
        <w:ind w:left="432" w:hanging="432"/>
      </w:pPr>
      <w:r>
        <w:t>5.</w:t>
        <w:tab/>
      </w:r>
      <w:r>
        <w:t>Then post the opening balance of every account created with one while posting was off (</w:t>
      </w:r>
      <w:r>
        <w:rPr>
          <w:rFonts w:ascii="Consolas" w:hAnsi="Consolas" w:eastAsia="Consolas"/>
        </w:rPr>
        <w:t>postStoredOpenings</w:t>
      </w:r>
      <w:r>
        <w:t xml:space="preserve">): the account against Opening Balance Equity, dated the day the account was created, voucher OB-&lt;account code&gt;. The stored figure is replaced by the entry, not added to it, and an account that already has its entry is left alone. The result carries the count as </w:t>
      </w:r>
      <w:r>
        <w:rPr>
          <w:rFonts w:ascii="Consolas" w:hAnsi="Consolas" w:eastAsia="Consolas"/>
        </w:rPr>
        <w:t>openingsPosted</w:t>
      </w:r>
      <w:r>
        <w:t xml:space="preserve">, and failures are added to </w:t>
      </w:r>
      <w:r>
        <w:rPr>
          <w:rFonts w:ascii="Consolas" w:hAnsi="Consolas" w:eastAsia="Consolas"/>
        </w:rPr>
        <w:t>failed</w:t>
      </w:r>
      <w:r>
        <w:t>.</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The catch-up is safe to repeat. A document that has any ledger entry is never posted a second time, an opening invoice is never posted through the sales or purchase template, and each document is posted in its own transaction, so a failure leaves nothing half written. Running it again immediately posts zero documents and zero opening balances (test: partyAccounts.test.js, 'posted once' and 'exactly once'). The catch-up does not cover manual stock adjustments made while posting was off (section 3.14).</w:t>
            </w:r>
          </w:p>
        </w:tc>
      </w:tr>
    </w:tbl>
    <w:p>
      <w:pPr>
        <w:spacing w:after="0" w:before="0"/>
        <w:rPr>
          <w:sz w:val="8"/>
        </w:rPr>
      </w:pPr>
    </w:p>
    <w:p>
      <w:pPr>
        <w:pStyle w:val="Heading2"/>
      </w:pPr>
      <w:r>
        <w:t>2.6 Changing a mapping, and what changes</w:t>
      </w:r>
    </w:p>
    <w:p>
      <w:r>
        <w:t xml:space="preserve">A mapping is changed with PUT /accounting/account-configuration, body </w:t>
      </w:r>
      <w:r>
        <w:rPr>
          <w:rFonts w:ascii="Consolas" w:hAnsi="Consolas" w:eastAsia="Consolas"/>
        </w:rPr>
        <w:t>{ mappings: [{ configKey, targetAccount | targetGroup }] }</w:t>
      </w:r>
      <w:r>
        <w:t>. Sending no target clears the mapping. Reading is open to any signed-in admin; changing needs the admin or super admin role. The change is written to the audit log as ACCOUNT_MAPPING_CHANGED.</w:t>
      </w:r>
    </w:p>
    <w:p>
      <w:pPr>
        <w:pStyle w:val="Caption"/>
      </w:pPr>
      <w:r>
        <w:t>Table 12. Effect of changing a mapping</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802"/>
        <w:gridCol w:w="4802"/>
      </w:tblGrid>
      <w:tr>
        <w:trPr>
          <w:tblHeader w:val="true"/>
          <w:cantSplit w:val="true"/>
        </w:trPr>
        <w:tc>
          <w:tcPr>
            <w:tcW w:type="dxa" w:w="4802"/>
            <w:shd w:val="clear" w:color="auto" w:fill="1F3A5F"/>
            <w:tcMar>
              <w:top w:w="20" w:type="dxa"/>
              <w:left w:w="60" w:type="dxa"/>
              <w:bottom w:w="20" w:type="dxa"/>
              <w:right w:w="60" w:type="dxa"/>
            </w:tcMar>
            <w:vAlign w:val="center"/>
          </w:tcPr>
          <w:p>
            <w:pPr>
              <w:spacing w:after="10" w:before="0" w:line="240" w:lineRule="auto"/>
            </w:pPr>
            <w:r>
              <w:rPr>
                <w:b/>
                <w:color w:val="FFFFFF"/>
                <w:sz w:val="17"/>
              </w:rPr>
              <w:t>What changes</w:t>
            </w:r>
          </w:p>
        </w:tc>
        <w:tc>
          <w:tcPr>
            <w:tcW w:type="dxa" w:w="4802"/>
            <w:shd w:val="clear" w:color="auto" w:fill="1F3A5F"/>
            <w:tcMar>
              <w:top w:w="20" w:type="dxa"/>
              <w:left w:w="60" w:type="dxa"/>
              <w:bottom w:w="20" w:type="dxa"/>
              <w:right w:w="60" w:type="dxa"/>
            </w:tcMar>
            <w:vAlign w:val="center"/>
          </w:tcPr>
          <w:p>
            <w:pPr>
              <w:spacing w:after="10" w:before="0" w:line="240" w:lineRule="auto"/>
            </w:pPr>
            <w:r>
              <w:rPr>
                <w:b/>
                <w:color w:val="FFFFFF"/>
                <w:sz w:val="17"/>
              </w:rPr>
              <w:t>What does not change</w:t>
            </w:r>
          </w:p>
        </w:tc>
      </w:tr>
      <w:tr>
        <w:trPr>
          <w:cantSplit w:val="true"/>
        </w:trPr>
        <w:tc>
          <w:tcPr>
            <w:tcW w:type="dxa" w:w="4802"/>
            <w:tcMar>
              <w:top w:w="20" w:type="dxa"/>
              <w:left w:w="60" w:type="dxa"/>
              <w:bottom w:w="20" w:type="dxa"/>
              <w:right w:w="60" w:type="dxa"/>
            </w:tcMar>
            <w:vAlign w:val="top"/>
          </w:tcPr>
          <w:p>
            <w:pPr>
              <w:tabs>
                <w:tab w:pos="202" w:val="left"/>
              </w:tabs>
              <w:spacing w:after="10" w:before="0" w:line="240" w:lineRule="auto"/>
              <w:ind w:left="202" w:hanging="202"/>
            </w:pPr>
            <w:r>
              <w:rPr>
                <w:sz w:val="17"/>
              </w:rPr>
              <w:t>•</w:t>
              <w:tab/>
              <w:t>Documents and vouchers saved after the change post to the new account.</w:t>
            </w:r>
          </w:p>
          <w:p>
            <w:pPr>
              <w:tabs>
                <w:tab w:pos="202" w:val="left"/>
              </w:tabs>
              <w:spacing w:after="10" w:before="0" w:line="240" w:lineRule="auto"/>
              <w:ind w:left="202" w:hanging="202"/>
            </w:pPr>
            <w:r>
              <w:rPr>
                <w:sz w:val="17"/>
              </w:rPr>
              <w:t>•</w:t>
              <w:tab/>
              <w:t xml:space="preserve">Reports that read the map at the time they run use the new mapping for every period: the profit and loss decides what is revenue and what is a direct cost from </w:t>
            </w:r>
            <w:r>
              <w:rPr>
                <w:rFonts w:ascii="Consolas" w:hAnsi="Consolas" w:eastAsia="Consolas"/>
                <w:sz w:val="16"/>
              </w:rPr>
              <w:t>sales-income-group</w:t>
            </w:r>
            <w:r>
              <w:rPr>
                <w:sz w:val="17"/>
              </w:rPr>
              <w:t xml:space="preserve">, </w:t>
            </w:r>
            <w:r>
              <w:rPr>
                <w:rFonts w:ascii="Consolas" w:hAnsi="Consolas" w:eastAsia="Consolas"/>
                <w:sz w:val="16"/>
              </w:rPr>
              <w:t>direct-income-group</w:t>
            </w:r>
            <w:r>
              <w:rPr>
                <w:sz w:val="17"/>
              </w:rPr>
              <w:t xml:space="preserve">, </w:t>
            </w:r>
            <w:r>
              <w:rPr>
                <w:rFonts w:ascii="Consolas" w:hAnsi="Consolas" w:eastAsia="Consolas"/>
                <w:sz w:val="16"/>
              </w:rPr>
              <w:t>purchase-expense-group</w:t>
            </w:r>
            <w:r>
              <w:rPr>
                <w:sz w:val="17"/>
              </w:rPr>
              <w:t xml:space="preserve"> and </w:t>
            </w:r>
            <w:r>
              <w:rPr>
                <w:rFonts w:ascii="Consolas" w:hAnsi="Consolas" w:eastAsia="Consolas"/>
                <w:sz w:val="16"/>
              </w:rPr>
              <w:t>direct-expense-group</w:t>
            </w:r>
            <w:r>
              <w:rPr>
                <w:sz w:val="17"/>
              </w:rPr>
              <w:t>; the cash and bank book, cash flow and IFRS statements decide what is cash or bank from the two cash keys.</w:t>
            </w:r>
          </w:p>
          <w:p>
            <w:pPr>
              <w:tabs>
                <w:tab w:pos="202" w:val="left"/>
              </w:tabs>
              <w:spacing w:after="10" w:before="0" w:line="240" w:lineRule="auto"/>
              <w:ind w:left="202" w:hanging="202"/>
            </w:pPr>
            <w:r>
              <w:rPr>
                <w:sz w:val="17"/>
              </w:rPr>
              <w:t>•</w:t>
              <w:tab/>
              <w:t>An account that a key points at cannot be deactivated (ACCOUNT_IN_USE_BY_CONFIGURATION) until the key is remapped.</w:t>
            </w:r>
          </w:p>
        </w:tc>
        <w:tc>
          <w:tcPr>
            <w:tcW w:type="dxa" w:w="4802"/>
            <w:tcMar>
              <w:top w:w="20" w:type="dxa"/>
              <w:left w:w="60" w:type="dxa"/>
              <w:bottom w:w="20" w:type="dxa"/>
              <w:right w:w="60" w:type="dxa"/>
            </w:tcMar>
            <w:vAlign w:val="top"/>
          </w:tcPr>
          <w:p>
            <w:pPr>
              <w:tabs>
                <w:tab w:pos="202" w:val="left"/>
              </w:tabs>
              <w:spacing w:after="10" w:before="0" w:line="240" w:lineRule="auto"/>
              <w:ind w:left="202" w:hanging="202"/>
            </w:pPr>
            <w:r>
              <w:rPr>
                <w:sz w:val="17"/>
              </w:rPr>
              <w:t>•</w:t>
              <w:tab/>
              <w:t>Ledger entries already posted stay on the account they were posted to. Each entry stores the account id, and a copy of the account's name and code at the time.</w:t>
            </w:r>
          </w:p>
          <w:p>
            <w:pPr>
              <w:tabs>
                <w:tab w:pos="202" w:val="left"/>
              </w:tabs>
              <w:spacing w:after="10" w:before="0" w:line="240" w:lineRule="auto"/>
              <w:ind w:left="202" w:hanging="202"/>
            </w:pPr>
            <w:r>
              <w:rPr>
                <w:sz w:val="17"/>
              </w:rPr>
              <w:t>•</w:t>
              <w:tab/>
              <w:t>Documents already approved are not re-posted. Reversing and editing a document reverses the entries it actually made, not the entries the current map would make.</w:t>
            </w:r>
          </w:p>
          <w:p>
            <w:pPr>
              <w:tabs>
                <w:tab w:pos="202" w:val="left"/>
              </w:tabs>
              <w:spacing w:after="10" w:before="0" w:line="240" w:lineRule="auto"/>
              <w:ind w:left="202" w:hanging="202"/>
            </w:pPr>
            <w:r>
              <w:rPr>
                <w:sz w:val="17"/>
              </w:rPr>
              <w:t>•</w:t>
              <w:tab/>
              <w:t>Closed fiscal years stay closed.</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Because the group keys are read when a report runs, moving a group key changes how past periods are presented (for example which accounts are revenue), even though no entry has changed. The accountant should treat a change to a group key as a change of reporting policy.</w:t>
            </w:r>
          </w:p>
        </w:tc>
      </w:tr>
    </w:tbl>
    <w:p>
      <w:pPr>
        <w:spacing w:after="0" w:before="0"/>
        <w:rPr>
          <w:sz w:val="8"/>
        </w:rPr>
      </w:pPr>
    </w:p>
    <w:p>
      <w:pPr>
        <w:pStyle w:val="Heading2"/>
      </w:pPr>
      <w:r>
        <w:t>2.7 Tax codes</w:t>
      </w:r>
    </w:p>
    <w:p>
      <w:r>
        <w:t>A tax code says how a line is taxed, not only at what percentage: a zero-rated supply and an exempt supply are both 0 percent but are reported in different boxes of the VAT return (models/modules/financial/taxCodeModel.js).</w:t>
      </w:r>
    </w:p>
    <w:p>
      <w:pPr>
        <w:pStyle w:val="Caption"/>
      </w:pPr>
      <w:r>
        <w:t>Table 13. Tax code kinds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746"/>
        <w:gridCol w:w="2910"/>
        <w:gridCol w:w="4947"/>
      </w:tblGrid>
      <w:tr>
        <w:trPr>
          <w:tblHeader w:val="true"/>
          <w:cantSplit w:val="true"/>
        </w:trPr>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Kind</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Starter code (rate)</w:t>
            </w:r>
          </w:p>
        </w:tc>
        <w:tc>
          <w:tcPr>
            <w:tcW w:type="dxa" w:w="4948"/>
            <w:shd w:val="clear" w:color="auto" w:fill="1F3A5F"/>
            <w:tcMar>
              <w:top w:w="20" w:type="dxa"/>
              <w:left w:w="60" w:type="dxa"/>
              <w:bottom w:w="20" w:type="dxa"/>
              <w:right w:w="60" w:type="dxa"/>
            </w:tcMar>
            <w:vAlign w:val="center"/>
          </w:tcPr>
          <w:p>
            <w:pPr>
              <w:spacing w:after="10" w:before="0" w:line="240" w:lineRule="auto"/>
            </w:pPr>
            <w:r>
              <w:rPr>
                <w:b/>
                <w:color w:val="FFFFFF"/>
                <w:sz w:val="17"/>
              </w:rPr>
              <w:t>Effect on the VAT return</w:t>
            </w:r>
          </w:p>
        </w:tc>
      </w:tr>
      <w:tr>
        <w:trPr>
          <w:cantSplit w:val="true"/>
        </w:trPr>
        <w:tc>
          <w:tcPr>
            <w:tcW w:type="dxa" w:w="1746"/>
            <w:tcMar>
              <w:top w:w="20" w:type="dxa"/>
              <w:left w:w="60" w:type="dxa"/>
              <w:bottom w:w="20" w:type="dxa"/>
              <w:right w:w="60" w:type="dxa"/>
            </w:tcMar>
            <w:vAlign w:val="top"/>
          </w:tcPr>
          <w:p>
            <w:pPr>
              <w:spacing w:after="10" w:before="0" w:line="240" w:lineRule="auto"/>
            </w:pPr>
            <w:r>
              <w:rPr>
                <w:b/>
                <w:sz w:val="17"/>
              </w:rPr>
              <w:t>standard</w:t>
            </w:r>
          </w:p>
        </w:tc>
        <w:tc>
          <w:tcPr>
            <w:tcW w:type="dxa" w:w="2911"/>
            <w:tcMar>
              <w:top w:w="20" w:type="dxa"/>
              <w:left w:w="60" w:type="dxa"/>
              <w:bottom w:w="20" w:type="dxa"/>
              <w:right w:w="60" w:type="dxa"/>
            </w:tcMar>
            <w:vAlign w:val="top"/>
          </w:tcPr>
          <w:p>
            <w:pPr>
              <w:spacing w:after="10" w:before="0" w:line="240" w:lineRule="auto"/>
            </w:pPr>
            <w:r>
              <w:rPr>
                <w:sz w:val="17"/>
              </w:rPr>
              <w:t>Standard 5% (5, the default)</w:t>
            </w:r>
          </w:p>
        </w:tc>
        <w:tc>
          <w:tcPr>
            <w:tcW w:type="dxa" w:w="4948"/>
            <w:tcMar>
              <w:top w:w="20" w:type="dxa"/>
              <w:left w:w="60" w:type="dxa"/>
              <w:bottom w:w="20" w:type="dxa"/>
              <w:right w:w="60" w:type="dxa"/>
            </w:tcMar>
            <w:vAlign w:val="top"/>
          </w:tcPr>
          <w:p>
            <w:pPr>
              <w:spacing w:after="10" w:before="0" w:line="240" w:lineRule="auto"/>
            </w:pPr>
            <w:r>
              <w:rPr>
                <w:sz w:val="17"/>
              </w:rPr>
              <w:t>Output: box for the company's emirate (1a to 1g). Input: box 9.</w:t>
            </w:r>
          </w:p>
        </w:tc>
      </w:tr>
      <w:tr>
        <w:trPr>
          <w:cantSplit w:val="true"/>
        </w:trPr>
        <w:tc>
          <w:tcPr>
            <w:tcW w:type="dxa" w:w="1746"/>
            <w:tcMar>
              <w:top w:w="20" w:type="dxa"/>
              <w:left w:w="60" w:type="dxa"/>
              <w:bottom w:w="20" w:type="dxa"/>
              <w:right w:w="60" w:type="dxa"/>
            </w:tcMar>
            <w:vAlign w:val="top"/>
          </w:tcPr>
          <w:p>
            <w:pPr>
              <w:spacing w:after="10" w:before="0" w:line="240" w:lineRule="auto"/>
            </w:pPr>
            <w:r>
              <w:rPr>
                <w:b/>
                <w:sz w:val="17"/>
              </w:rPr>
              <w:t>zero_rated</w:t>
            </w:r>
          </w:p>
        </w:tc>
        <w:tc>
          <w:tcPr>
            <w:tcW w:type="dxa" w:w="2911"/>
            <w:tcMar>
              <w:top w:w="20" w:type="dxa"/>
              <w:left w:w="60" w:type="dxa"/>
              <w:bottom w:w="20" w:type="dxa"/>
              <w:right w:w="60" w:type="dxa"/>
            </w:tcMar>
            <w:vAlign w:val="top"/>
          </w:tcPr>
          <w:p>
            <w:pPr>
              <w:spacing w:after="10" w:before="0" w:line="240" w:lineRule="auto"/>
            </w:pPr>
            <w:r>
              <w:rPr>
                <w:sz w:val="17"/>
              </w:rPr>
              <w:t>Zero-rated (0)</w:t>
            </w:r>
          </w:p>
        </w:tc>
        <w:tc>
          <w:tcPr>
            <w:tcW w:type="dxa" w:w="4948"/>
            <w:tcMar>
              <w:top w:w="20" w:type="dxa"/>
              <w:left w:w="60" w:type="dxa"/>
              <w:bottom w:w="20" w:type="dxa"/>
              <w:right w:w="60" w:type="dxa"/>
            </w:tcMar>
            <w:vAlign w:val="top"/>
          </w:tcPr>
          <w:p>
            <w:pPr>
              <w:spacing w:after="10" w:before="0" w:line="240" w:lineRule="auto"/>
            </w:pPr>
            <w:r>
              <w:rPr>
                <w:sz w:val="17"/>
              </w:rPr>
              <w:t>Output: box 4. A zero-rated purchase appears in no box.</w:t>
            </w:r>
          </w:p>
        </w:tc>
      </w:tr>
      <w:tr>
        <w:trPr>
          <w:cantSplit w:val="true"/>
        </w:trPr>
        <w:tc>
          <w:tcPr>
            <w:tcW w:type="dxa" w:w="1746"/>
            <w:tcMar>
              <w:top w:w="20" w:type="dxa"/>
              <w:left w:w="60" w:type="dxa"/>
              <w:bottom w:w="20" w:type="dxa"/>
              <w:right w:w="60" w:type="dxa"/>
            </w:tcMar>
            <w:vAlign w:val="top"/>
          </w:tcPr>
          <w:p>
            <w:pPr>
              <w:spacing w:after="10" w:before="0" w:line="240" w:lineRule="auto"/>
            </w:pPr>
            <w:r>
              <w:rPr>
                <w:b/>
                <w:sz w:val="17"/>
              </w:rPr>
              <w:t>exempt</w:t>
            </w:r>
          </w:p>
        </w:tc>
        <w:tc>
          <w:tcPr>
            <w:tcW w:type="dxa" w:w="2911"/>
            <w:tcMar>
              <w:top w:w="20" w:type="dxa"/>
              <w:left w:w="60" w:type="dxa"/>
              <w:bottom w:w="20" w:type="dxa"/>
              <w:right w:w="60" w:type="dxa"/>
            </w:tcMar>
            <w:vAlign w:val="top"/>
          </w:tcPr>
          <w:p>
            <w:pPr>
              <w:spacing w:after="10" w:before="0" w:line="240" w:lineRule="auto"/>
            </w:pPr>
            <w:r>
              <w:rPr>
                <w:sz w:val="17"/>
              </w:rPr>
              <w:t>Exempt (0)</w:t>
            </w:r>
          </w:p>
        </w:tc>
        <w:tc>
          <w:tcPr>
            <w:tcW w:type="dxa" w:w="4948"/>
            <w:tcMar>
              <w:top w:w="20" w:type="dxa"/>
              <w:left w:w="60" w:type="dxa"/>
              <w:bottom w:w="20" w:type="dxa"/>
              <w:right w:w="60" w:type="dxa"/>
            </w:tcMar>
            <w:vAlign w:val="top"/>
          </w:tcPr>
          <w:p>
            <w:pPr>
              <w:spacing w:after="10" w:before="0" w:line="240" w:lineRule="auto"/>
            </w:pPr>
            <w:r>
              <w:rPr>
                <w:sz w:val="17"/>
              </w:rPr>
              <w:t>Output: box 5. An exempt purchase appears in no box.</w:t>
            </w:r>
          </w:p>
        </w:tc>
      </w:tr>
      <w:tr>
        <w:trPr>
          <w:cantSplit w:val="true"/>
        </w:trPr>
        <w:tc>
          <w:tcPr>
            <w:tcW w:type="dxa" w:w="1746"/>
            <w:tcMar>
              <w:top w:w="20" w:type="dxa"/>
              <w:left w:w="60" w:type="dxa"/>
              <w:bottom w:w="20" w:type="dxa"/>
              <w:right w:w="60" w:type="dxa"/>
            </w:tcMar>
            <w:vAlign w:val="top"/>
          </w:tcPr>
          <w:p>
            <w:pPr>
              <w:spacing w:after="10" w:before="0" w:line="240" w:lineRule="auto"/>
            </w:pPr>
            <w:r>
              <w:rPr>
                <w:b/>
                <w:sz w:val="17"/>
              </w:rPr>
              <w:t>out_of_scope</w:t>
            </w:r>
          </w:p>
        </w:tc>
        <w:tc>
          <w:tcPr>
            <w:tcW w:type="dxa" w:w="2911"/>
            <w:tcMar>
              <w:top w:w="20" w:type="dxa"/>
              <w:left w:w="60" w:type="dxa"/>
              <w:bottom w:w="20" w:type="dxa"/>
              <w:right w:w="60" w:type="dxa"/>
            </w:tcMar>
            <w:vAlign w:val="top"/>
          </w:tcPr>
          <w:p>
            <w:pPr>
              <w:spacing w:after="10" w:before="0" w:line="240" w:lineRule="auto"/>
            </w:pPr>
            <w:r>
              <w:rPr>
                <w:sz w:val="17"/>
              </w:rPr>
              <w:t>Out of scope (0)</w:t>
            </w:r>
          </w:p>
        </w:tc>
        <w:tc>
          <w:tcPr>
            <w:tcW w:type="dxa" w:w="4948"/>
            <w:tcMar>
              <w:top w:w="20" w:type="dxa"/>
              <w:left w:w="60" w:type="dxa"/>
              <w:bottom w:w="20" w:type="dxa"/>
              <w:right w:w="60" w:type="dxa"/>
            </w:tcMar>
            <w:vAlign w:val="top"/>
          </w:tcPr>
          <w:p>
            <w:pPr>
              <w:spacing w:after="10" w:before="0" w:line="240" w:lineRule="auto"/>
            </w:pPr>
            <w:r>
              <w:rPr>
                <w:sz w:val="17"/>
              </w:rPr>
              <w:t>Appears in no box (counted in 'not reported').</w:t>
            </w:r>
          </w:p>
        </w:tc>
      </w:tr>
      <w:tr>
        <w:trPr>
          <w:cantSplit w:val="true"/>
        </w:trPr>
        <w:tc>
          <w:tcPr>
            <w:tcW w:type="dxa" w:w="1746"/>
            <w:tcMar>
              <w:top w:w="20" w:type="dxa"/>
              <w:left w:w="60" w:type="dxa"/>
              <w:bottom w:w="20" w:type="dxa"/>
              <w:right w:w="60" w:type="dxa"/>
            </w:tcMar>
            <w:vAlign w:val="top"/>
          </w:tcPr>
          <w:p>
            <w:pPr>
              <w:spacing w:after="10" w:before="0" w:line="240" w:lineRule="auto"/>
            </w:pPr>
            <w:r>
              <w:rPr>
                <w:b/>
                <w:sz w:val="17"/>
              </w:rPr>
              <w:t>reverse_charge</w:t>
            </w:r>
          </w:p>
        </w:tc>
        <w:tc>
          <w:tcPr>
            <w:tcW w:type="dxa" w:w="2911"/>
            <w:tcMar>
              <w:top w:w="20" w:type="dxa"/>
              <w:left w:w="60" w:type="dxa"/>
              <w:bottom w:w="20" w:type="dxa"/>
              <w:right w:w="60" w:type="dxa"/>
            </w:tcMar>
            <w:vAlign w:val="top"/>
          </w:tcPr>
          <w:p>
            <w:pPr>
              <w:spacing w:after="10" w:before="0" w:line="240" w:lineRule="auto"/>
            </w:pPr>
            <w:r>
              <w:rPr>
                <w:sz w:val="17"/>
              </w:rPr>
              <w:t>none in the starter set</w:t>
            </w:r>
          </w:p>
        </w:tc>
        <w:tc>
          <w:tcPr>
            <w:tcW w:type="dxa" w:w="4948"/>
            <w:tcMar>
              <w:top w:w="20" w:type="dxa"/>
              <w:left w:w="60" w:type="dxa"/>
              <w:bottom w:w="20" w:type="dxa"/>
              <w:right w:w="60" w:type="dxa"/>
            </w:tcMar>
            <w:vAlign w:val="top"/>
          </w:tcPr>
          <w:p>
            <w:pPr>
              <w:spacing w:after="10" w:before="0" w:line="240" w:lineRule="auto"/>
            </w:pPr>
            <w:r>
              <w:rPr>
                <w:sz w:val="17"/>
              </w:rPr>
              <w:t>Boxes 3 and 10 (section 4.13). Should carry rate 0 so that nothing is added to the vendor's invoice.</w:t>
            </w:r>
          </w:p>
        </w:tc>
      </w:tr>
    </w:tbl>
    <w:p>
      <w:pPr>
        <w:spacing w:after="0" w:before="0"/>
        <w:rPr>
          <w:sz w:val="6"/>
        </w:rPr>
      </w:pPr>
    </w:p>
    <w:p>
      <w:pPr>
        <w:pStyle w:val="ListBullet"/>
      </w:pPr>
      <w:r>
        <w:rPr>
          <w:b/>
        </w:rPr>
        <w:t>Starter set.</w:t>
      </w:r>
      <w:r>
        <w:t xml:space="preserve"> A company with no tax codes gets the four codes above (without reverse-charge); 'Standard 5%' is the one default.</w:t>
      </w:r>
    </w:p>
    <w:p>
      <w:pPr>
        <w:pStyle w:val="ListBullet"/>
      </w:pPr>
      <w:r>
        <w:rPr>
          <w:b/>
        </w:rPr>
        <w:t>Rate history.</w:t>
      </w:r>
      <w:r>
        <w:t xml:space="preserve"> A code has a base rate and an optional history of (date, rate) entries. The rate on a document date is the entry with the latest date on or before that date; if there is none, the base rate applies. Example (chartAndPricing.test.js): 5 percent with an entry '6 percent from 1 January 2027' gives 5 on 1 June 2026 and 6 on 1 March 2027.</w:t>
      </w:r>
    </w:p>
    <w:p>
      <w:pPr>
        <w:pStyle w:val="ListBullet"/>
      </w:pPr>
      <w:r>
        <w:rPr>
          <w:b/>
        </w:rPr>
        <w:t>On a document line.</w:t>
      </w:r>
      <w:r>
        <w:t xml:space="preserve"> If a line names a tax code, its VAT percent is taken from the code as at the document date (whatever percent the client sent is ignored) and the code's kind is saved on the line as a snapshot (</w:t>
      </w:r>
      <w:r>
        <w:rPr>
          <w:rFonts w:ascii="Consolas" w:hAnsi="Consolas" w:eastAsia="Consolas"/>
        </w:rPr>
        <w:t>taxKind</w:t>
      </w:r>
      <w:r>
        <w:t>). A later change to the code never restates a posted document. A line with no code keeps the percent it was sent. An inactive or unknown code is refused (INVALID_TAX_CODE).</w:t>
      </w:r>
    </w:p>
    <w:p>
      <w:pPr>
        <w:pStyle w:val="ListBullet"/>
      </w:pPr>
      <w:r>
        <w:rPr>
          <w:b/>
        </w:rPr>
        <w:t>On vouchers.</w:t>
      </w:r>
      <w:r>
        <w:t xml:space="preserve"> Expense vouchers and the lines of debit and credit notes take their VAT from the code in force on the voucher date. The code decides the rate only; the kind is read from the code when the VAT return is built.</w:t>
      </w:r>
    </w:p>
    <w:p>
      <w:pPr>
        <w:pStyle w:val="Heading1"/>
        <w:pageBreakBefore/>
      </w:pPr>
      <w:r>
        <w:t>3 Posting flows</w:t>
      </w:r>
    </w:p>
    <w:p>
      <w:r>
        <w:t>This section follows each business event from approval or saving to the ledger entries it writes. Every posting table for a trade document was produced by running the real pricing and posting-template code (utils/pricing.js, utils/postingTemplates.js) on the example, and the examples reuse the numbers of the automated tests. The same cast is used throughout: a vendor Gulf Mills, a customer Al Noor, and an item Rice bought in bags.</w:t>
      </w:r>
    </w:p>
    <w:p>
      <w:pPr>
        <w:pStyle w:val="Caption"/>
      </w:pPr>
      <w:r>
        <w:t>Table 14. The examples used in this section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297"/>
        <w:gridCol w:w="3504"/>
        <w:gridCol w:w="778"/>
        <w:gridCol w:w="1038"/>
        <w:gridCol w:w="2985"/>
      </w:tblGrid>
      <w:tr>
        <w:trPr>
          <w:tblHeader w:val="true"/>
          <w:cantSplit w:val="true"/>
        </w:trPr>
        <w:tc>
          <w:tcPr>
            <w:tcW w:type="dxa" w:w="1298"/>
            <w:shd w:val="clear" w:color="auto" w:fill="1F3A5F"/>
            <w:tcMar>
              <w:top w:w="20" w:type="dxa"/>
              <w:left w:w="60" w:type="dxa"/>
              <w:bottom w:w="20" w:type="dxa"/>
              <w:right w:w="60" w:type="dxa"/>
            </w:tcMar>
            <w:vAlign w:val="center"/>
          </w:tcPr>
          <w:p>
            <w:pPr>
              <w:spacing w:after="10" w:before="0" w:line="240" w:lineRule="auto"/>
            </w:pPr>
            <w:r>
              <w:rPr>
                <w:b/>
                <w:color w:val="FFFFFF"/>
                <w:sz w:val="17"/>
              </w:rPr>
              <w:t>Example</w:t>
            </w:r>
          </w:p>
        </w:tc>
        <w:tc>
          <w:tcPr>
            <w:tcW w:type="dxa" w:w="3504"/>
            <w:shd w:val="clear" w:color="auto" w:fill="1F3A5F"/>
            <w:tcMar>
              <w:top w:w="20" w:type="dxa"/>
              <w:left w:w="60" w:type="dxa"/>
              <w:bottom w:w="20" w:type="dxa"/>
              <w:right w:w="60" w:type="dxa"/>
            </w:tcMar>
            <w:vAlign w:val="center"/>
          </w:tcPr>
          <w:p>
            <w:pPr>
              <w:spacing w:after="10" w:before="0" w:line="240" w:lineRule="auto"/>
            </w:pPr>
            <w:r>
              <w:rPr>
                <w:b/>
                <w:color w:val="FFFFFF"/>
                <w:sz w:val="17"/>
              </w:rPr>
              <w:t>Quantity and price</w:t>
            </w:r>
          </w:p>
        </w:tc>
        <w:tc>
          <w:tcPr>
            <w:tcW w:type="dxa" w:w="779"/>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VAT 5%</w:t>
            </w:r>
          </w:p>
        </w:tc>
        <w:tc>
          <w:tcPr>
            <w:tcW w:type="dxa" w:w="103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Total</w:t>
            </w:r>
          </w:p>
        </w:tc>
        <w:tc>
          <w:tcPr>
            <w:tcW w:type="dxa" w:w="2985"/>
            <w:shd w:val="clear" w:color="auto" w:fill="1F3A5F"/>
            <w:tcMar>
              <w:top w:w="20" w:type="dxa"/>
              <w:left w:w="60" w:type="dxa"/>
              <w:bottom w:w="20" w:type="dxa"/>
              <w:right w:w="60" w:type="dxa"/>
            </w:tcMar>
            <w:vAlign w:val="center"/>
          </w:tcPr>
          <w:p>
            <w:pPr>
              <w:spacing w:after="10" w:before="0" w:line="240" w:lineRule="auto"/>
            </w:pPr>
            <w:r>
              <w:rPr>
                <w:b/>
                <w:color w:val="FFFFFF"/>
                <w:sz w:val="17"/>
              </w:rPr>
              <w:t>Where the numbers come from</w:t>
            </w:r>
          </w:p>
        </w:tc>
      </w:tr>
      <w:tr>
        <w:trPr>
          <w:cantSplit w:val="true"/>
        </w:trPr>
        <w:tc>
          <w:tcPr>
            <w:tcW w:type="dxa" w:w="1298"/>
            <w:tcMar>
              <w:top w:w="20" w:type="dxa"/>
              <w:left w:w="60" w:type="dxa"/>
              <w:bottom w:w="20" w:type="dxa"/>
              <w:right w:w="60" w:type="dxa"/>
            </w:tcMar>
            <w:vAlign w:val="top"/>
          </w:tcPr>
          <w:p>
            <w:pPr>
              <w:spacing w:after="10" w:before="0" w:line="240" w:lineRule="auto"/>
            </w:pPr>
            <w:r>
              <w:rPr>
                <w:b/>
                <w:sz w:val="17"/>
              </w:rPr>
              <w:t>Purchase</w:t>
            </w:r>
          </w:p>
        </w:tc>
        <w:tc>
          <w:tcPr>
            <w:tcW w:type="dxa" w:w="3504"/>
            <w:tcMar>
              <w:top w:w="20" w:type="dxa"/>
              <w:left w:w="60" w:type="dxa"/>
              <w:bottom w:w="20" w:type="dxa"/>
              <w:right w:w="60" w:type="dxa"/>
            </w:tcMar>
            <w:vAlign w:val="top"/>
          </w:tcPr>
          <w:p>
            <w:pPr>
              <w:spacing w:after="10" w:before="0" w:line="240" w:lineRule="auto"/>
            </w:pPr>
            <w:r>
              <w:rPr>
                <w:sz w:val="17"/>
              </w:rPr>
              <w:t>100 bags at AED 10.00 = 1,000.00</w:t>
            </w:r>
          </w:p>
        </w:tc>
        <w:tc>
          <w:tcPr>
            <w:tcW w:type="dxa" w:w="779"/>
            <w:tcMar>
              <w:top w:w="20" w:type="dxa"/>
              <w:left w:w="60" w:type="dxa"/>
              <w:bottom w:w="20" w:type="dxa"/>
              <w:right w:w="60" w:type="dxa"/>
            </w:tcMar>
            <w:vAlign w:val="top"/>
          </w:tcPr>
          <w:p>
            <w:pPr>
              <w:spacing w:after="10" w:before="0" w:line="240" w:lineRule="auto"/>
              <w:jc w:val="right"/>
            </w:pPr>
            <w:r>
              <w:rPr>
                <w:sz w:val="17"/>
              </w:rPr>
              <w:t>50.00</w:t>
            </w:r>
          </w:p>
        </w:tc>
        <w:tc>
          <w:tcPr>
            <w:tcW w:type="dxa" w:w="1038"/>
            <w:tcMar>
              <w:top w:w="20" w:type="dxa"/>
              <w:left w:w="60" w:type="dxa"/>
              <w:bottom w:w="20" w:type="dxa"/>
              <w:right w:w="60" w:type="dxa"/>
            </w:tcMar>
            <w:vAlign w:val="top"/>
          </w:tcPr>
          <w:p>
            <w:pPr>
              <w:spacing w:after="10" w:before="0" w:line="240" w:lineRule="auto"/>
              <w:jc w:val="right"/>
            </w:pPr>
            <w:r>
              <w:rPr>
                <w:sz w:val="17"/>
              </w:rPr>
              <w:t>1,050.00</w:t>
            </w:r>
          </w:p>
        </w:tc>
        <w:tc>
          <w:tcPr>
            <w:tcW w:type="dxa" w:w="2985"/>
            <w:tcMar>
              <w:top w:w="20" w:type="dxa"/>
              <w:left w:w="60" w:type="dxa"/>
              <w:bottom w:w="20" w:type="dxa"/>
              <w:right w:w="60" w:type="dxa"/>
            </w:tcMar>
            <w:vAlign w:val="top"/>
          </w:tcPr>
          <w:p>
            <w:pPr>
              <w:spacing w:after="10" w:before="0" w:line="240" w:lineRule="auto"/>
            </w:pPr>
            <w:r>
              <w:rPr>
                <w:sz w:val="17"/>
              </w:rPr>
              <w:t>ledgerReports.test.js, vatReturn.test.js</w:t>
            </w:r>
          </w:p>
        </w:tc>
      </w:tr>
      <w:tr>
        <w:trPr>
          <w:cantSplit w:val="true"/>
        </w:trPr>
        <w:tc>
          <w:tcPr>
            <w:tcW w:type="dxa" w:w="1298"/>
            <w:tcMar>
              <w:top w:w="20" w:type="dxa"/>
              <w:left w:w="60" w:type="dxa"/>
              <w:bottom w:w="20" w:type="dxa"/>
              <w:right w:w="60" w:type="dxa"/>
            </w:tcMar>
            <w:vAlign w:val="top"/>
          </w:tcPr>
          <w:p>
            <w:pPr>
              <w:spacing w:after="10" w:before="0" w:line="240" w:lineRule="auto"/>
            </w:pPr>
            <w:r>
              <w:rPr>
                <w:b/>
                <w:sz w:val="17"/>
              </w:rPr>
              <w:t>Sale</w:t>
            </w:r>
          </w:p>
        </w:tc>
        <w:tc>
          <w:tcPr>
            <w:tcW w:type="dxa" w:w="3504"/>
            <w:tcMar>
              <w:top w:w="20" w:type="dxa"/>
              <w:left w:w="60" w:type="dxa"/>
              <w:bottom w:w="20" w:type="dxa"/>
              <w:right w:w="60" w:type="dxa"/>
            </w:tcMar>
            <w:vAlign w:val="top"/>
          </w:tcPr>
          <w:p>
            <w:pPr>
              <w:spacing w:after="10" w:before="0" w:line="240" w:lineRule="auto"/>
            </w:pPr>
            <w:r>
              <w:rPr>
                <w:sz w:val="17"/>
              </w:rPr>
              <w:t>10 bags at AED 20.00 = 200.00, cost 100.00</w:t>
            </w:r>
          </w:p>
        </w:tc>
        <w:tc>
          <w:tcPr>
            <w:tcW w:type="dxa" w:w="779"/>
            <w:tcMar>
              <w:top w:w="20" w:type="dxa"/>
              <w:left w:w="60" w:type="dxa"/>
              <w:bottom w:w="20" w:type="dxa"/>
              <w:right w:w="60" w:type="dxa"/>
            </w:tcMar>
            <w:vAlign w:val="top"/>
          </w:tcPr>
          <w:p>
            <w:pPr>
              <w:spacing w:after="10" w:before="0" w:line="240" w:lineRule="auto"/>
              <w:jc w:val="right"/>
            </w:pPr>
            <w:r>
              <w:rPr>
                <w:sz w:val="17"/>
              </w:rPr>
              <w:t>10.00</w:t>
            </w:r>
          </w:p>
        </w:tc>
        <w:tc>
          <w:tcPr>
            <w:tcW w:type="dxa" w:w="1038"/>
            <w:tcMar>
              <w:top w:w="20" w:type="dxa"/>
              <w:left w:w="60" w:type="dxa"/>
              <w:bottom w:w="20" w:type="dxa"/>
              <w:right w:w="60" w:type="dxa"/>
            </w:tcMar>
            <w:vAlign w:val="top"/>
          </w:tcPr>
          <w:p>
            <w:pPr>
              <w:spacing w:after="10" w:before="0" w:line="240" w:lineRule="auto"/>
              <w:jc w:val="right"/>
            </w:pPr>
            <w:r>
              <w:rPr>
                <w:sz w:val="17"/>
              </w:rPr>
              <w:t>210.00</w:t>
            </w:r>
          </w:p>
        </w:tc>
        <w:tc>
          <w:tcPr>
            <w:tcW w:type="dxa" w:w="2985"/>
            <w:tcMar>
              <w:top w:w="20" w:type="dxa"/>
              <w:left w:w="60" w:type="dxa"/>
              <w:bottom w:w="20" w:type="dxa"/>
              <w:right w:w="60" w:type="dxa"/>
            </w:tcMar>
            <w:vAlign w:val="top"/>
          </w:tcPr>
          <w:p>
            <w:pPr>
              <w:spacing w:after="10" w:before="0" w:line="240" w:lineRule="auto"/>
            </w:pPr>
            <w:r>
              <w:rPr>
                <w:sz w:val="17"/>
              </w:rPr>
              <w:t>ledgerReports.test.js, postingTemplates.test.js</w:t>
            </w:r>
          </w:p>
        </w:tc>
      </w:tr>
      <w:tr>
        <w:trPr>
          <w:cantSplit w:val="true"/>
        </w:trPr>
        <w:tc>
          <w:tcPr>
            <w:tcW w:type="dxa" w:w="1298"/>
            <w:tcMar>
              <w:top w:w="20" w:type="dxa"/>
              <w:left w:w="60" w:type="dxa"/>
              <w:bottom w:w="20" w:type="dxa"/>
              <w:right w:w="60" w:type="dxa"/>
            </w:tcMar>
            <w:vAlign w:val="top"/>
          </w:tcPr>
          <w:p>
            <w:pPr>
              <w:spacing w:after="10" w:before="0" w:line="240" w:lineRule="auto"/>
            </w:pPr>
            <w:r>
              <w:rPr>
                <w:b/>
                <w:sz w:val="17"/>
              </w:rPr>
              <w:t>Priced document</w:t>
            </w:r>
          </w:p>
        </w:tc>
        <w:tc>
          <w:tcPr>
            <w:tcW w:type="dxa" w:w="3504"/>
            <w:tcMar>
              <w:top w:w="20" w:type="dxa"/>
              <w:left w:w="60" w:type="dxa"/>
              <w:bottom w:w="20" w:type="dxa"/>
              <w:right w:w="60" w:type="dxa"/>
            </w:tcMar>
            <w:vAlign w:val="top"/>
          </w:tcPr>
          <w:p>
            <w:pPr>
              <w:spacing w:after="10" w:before="0" w:line="240" w:lineRule="auto"/>
            </w:pPr>
            <w:r>
              <w:rPr>
                <w:sz w:val="17"/>
              </w:rPr>
              <w:t>10 x 100.00, 10% line discount, freight 40.00 (5% VAT), header discount 15.00</w:t>
            </w:r>
          </w:p>
        </w:tc>
        <w:tc>
          <w:tcPr>
            <w:tcW w:type="dxa" w:w="779"/>
            <w:tcMar>
              <w:top w:w="20" w:type="dxa"/>
              <w:left w:w="60" w:type="dxa"/>
              <w:bottom w:w="20" w:type="dxa"/>
              <w:right w:w="60" w:type="dxa"/>
            </w:tcMar>
            <w:vAlign w:val="top"/>
          </w:tcPr>
          <w:p>
            <w:pPr>
              <w:spacing w:after="10" w:before="0" w:line="240" w:lineRule="auto"/>
              <w:jc w:val="right"/>
            </w:pPr>
            <w:r>
              <w:rPr>
                <w:sz w:val="17"/>
              </w:rPr>
              <w:t>47.00</w:t>
            </w:r>
          </w:p>
        </w:tc>
        <w:tc>
          <w:tcPr>
            <w:tcW w:type="dxa" w:w="1038"/>
            <w:tcMar>
              <w:top w:w="20" w:type="dxa"/>
              <w:left w:w="60" w:type="dxa"/>
              <w:bottom w:w="20" w:type="dxa"/>
              <w:right w:w="60" w:type="dxa"/>
            </w:tcMar>
            <w:vAlign w:val="top"/>
          </w:tcPr>
          <w:p>
            <w:pPr>
              <w:spacing w:after="10" w:before="0" w:line="240" w:lineRule="auto"/>
              <w:jc w:val="right"/>
            </w:pPr>
            <w:r>
              <w:rPr>
                <w:sz w:val="17"/>
              </w:rPr>
              <w:t>972.00</w:t>
            </w:r>
          </w:p>
        </w:tc>
        <w:tc>
          <w:tcPr>
            <w:tcW w:type="dxa" w:w="2985"/>
            <w:tcMar>
              <w:top w:w="20" w:type="dxa"/>
              <w:left w:w="60" w:type="dxa"/>
              <w:bottom w:w="20" w:type="dxa"/>
              <w:right w:w="60" w:type="dxa"/>
            </w:tcMar>
            <w:vAlign w:val="top"/>
          </w:tcPr>
          <w:p>
            <w:pPr>
              <w:spacing w:after="10" w:before="0" w:line="240" w:lineRule="auto"/>
            </w:pPr>
            <w:r>
              <w:rPr>
                <w:sz w:val="17"/>
              </w:rPr>
              <w:t>pricing.test.js, postingTemplates.test.js, chartAndPricing.test.js</w:t>
            </w:r>
          </w:p>
        </w:tc>
      </w:tr>
    </w:tbl>
    <w:p>
      <w:pPr>
        <w:spacing w:after="0" w:before="0"/>
        <w:rPr>
          <w:sz w:val="6"/>
        </w:rPr>
      </w:pPr>
    </w:p>
    <w:p>
      <w:pPr>
        <w:pStyle w:val="Heading2"/>
      </w:pPr>
      <w:r>
        <w:t>3.1 How a trade document is approved and reversed</w:t>
      </w:r>
    </w:p>
    <w:p>
      <w:r>
        <w:t>The four trade documents (purchase invoice, purchase return, sales invoice, sales return) share one life cycle. Saving never posts; approving does.</w:t>
      </w:r>
    </w:p>
    <w:p>
      <w:pPr>
        <w:pStyle w:val="Caption"/>
      </w:pPr>
      <w:r>
        <w:t>Table 15. What approval does, in order (TransactionService.processTransaction)</w:t>
      </w:r>
    </w:p>
    <w:tbl>
      <w:tblPr>
        <w:tblW w:type="dxa" w:w="9604"/>
        <w:jc w:val="left"/>
        <w:tblLayout w:type="fixed"/>
        <w:tblLook w:firstColumn="1" w:firstRow="1" w:lastColumn="0" w:lastRow="0" w:noHBand="0" w:noVBand="1" w:val="04A0"/>
      </w:tblPr>
      <w:tblGrid>
        <w:gridCol w:w="1288"/>
        <w:gridCol w:w="374"/>
        <w:gridCol w:w="1288"/>
        <w:gridCol w:w="374"/>
        <w:gridCol w:w="1288"/>
        <w:gridCol w:w="374"/>
        <w:gridCol w:w="1288"/>
        <w:gridCol w:w="374"/>
        <w:gridCol w:w="1288"/>
        <w:gridCol w:w="374"/>
        <w:gridCol w:w="1288"/>
      </w:tblGrid>
      <w:tr>
        <w:trPr>
          <w:cantSplit w:val="true"/>
        </w:trPr>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Save as DRAFT: priced on the server, number allocated</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Approve</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Credit check (sales only)</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Stock moves at cost</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Ledger entries (if posting is on)</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289"/>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Party balance and statement log</w:t>
            </w:r>
          </w:p>
        </w:tc>
      </w:tr>
    </w:tbl>
    <w:p>
      <w:pPr>
        <w:spacing w:after="0" w:before="0"/>
        <w:rPr>
          <w:sz w:val="12"/>
        </w:rPr>
      </w:pPr>
    </w:p>
    <w:p>
      <w:pPr>
        <w:pStyle w:val="Caption"/>
      </w:pPr>
      <w:r>
        <w:t>Table 16. The approval steps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36"/>
        <w:gridCol w:w="1455"/>
        <w:gridCol w:w="7712"/>
      </w:tblGrid>
      <w:tr>
        <w:trPr>
          <w:tblHeader w:val="true"/>
          <w:cantSplit w:val="true"/>
        </w:trPr>
        <w:tc>
          <w:tcPr>
            <w:tcW w:type="dxa" w:w="437"/>
            <w:shd w:val="clear" w:color="auto" w:fill="1F3A5F"/>
            <w:tcMar>
              <w:top w:w="20" w:type="dxa"/>
              <w:left w:w="60" w:type="dxa"/>
              <w:bottom w:w="20" w:type="dxa"/>
              <w:right w:w="60" w:type="dxa"/>
            </w:tcMar>
            <w:vAlign w:val="center"/>
          </w:tcPr>
          <w:p>
            <w:pPr>
              <w:spacing w:after="10" w:before="0" w:line="240" w:lineRule="auto"/>
            </w:pPr>
            <w:r>
              <w:rPr>
                <w:b/>
                <w:color w:val="FFFFFF"/>
                <w:sz w:val="17"/>
              </w:rPr>
              <w:t>#</w:t>
            </w:r>
          </w:p>
        </w:tc>
        <w:tc>
          <w:tcPr>
            <w:tcW w:type="dxa" w:w="1455"/>
            <w:shd w:val="clear" w:color="auto" w:fill="1F3A5F"/>
            <w:tcMar>
              <w:top w:w="20" w:type="dxa"/>
              <w:left w:w="60" w:type="dxa"/>
              <w:bottom w:w="20" w:type="dxa"/>
              <w:right w:w="60" w:type="dxa"/>
            </w:tcMar>
            <w:vAlign w:val="center"/>
          </w:tcPr>
          <w:p>
            <w:pPr>
              <w:spacing w:after="10" w:before="0" w:line="240" w:lineRule="auto"/>
            </w:pPr>
            <w:r>
              <w:rPr>
                <w:b/>
                <w:color w:val="FFFFFF"/>
                <w:sz w:val="17"/>
              </w:rPr>
              <w:t>Step</w:t>
            </w:r>
          </w:p>
        </w:tc>
        <w:tc>
          <w:tcPr>
            <w:tcW w:type="dxa" w:w="7713"/>
            <w:shd w:val="clear" w:color="auto" w:fill="1F3A5F"/>
            <w:tcMar>
              <w:top w:w="20" w:type="dxa"/>
              <w:left w:w="60" w:type="dxa"/>
              <w:bottom w:w="20" w:type="dxa"/>
              <w:right w:w="60" w:type="dxa"/>
            </w:tcMar>
            <w:vAlign w:val="center"/>
          </w:tcPr>
          <w:p>
            <w:pPr>
              <w:spacing w:after="10" w:before="0" w:line="240" w:lineRule="auto"/>
            </w:pPr>
            <w:r>
              <w:rPr>
                <w:b/>
                <w:color w:val="FFFFFF"/>
                <w:sz w:val="17"/>
              </w:rPr>
              <w:t>What the code does</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1</w:t>
            </w:r>
          </w:p>
        </w:tc>
        <w:tc>
          <w:tcPr>
            <w:tcW w:type="dxa" w:w="1455"/>
            <w:tcMar>
              <w:top w:w="20" w:type="dxa"/>
              <w:left w:w="60" w:type="dxa"/>
              <w:bottom w:w="20" w:type="dxa"/>
              <w:right w:w="60" w:type="dxa"/>
            </w:tcMar>
            <w:vAlign w:val="top"/>
          </w:tcPr>
          <w:p>
            <w:pPr>
              <w:spacing w:after="10" w:before="0" w:line="240" w:lineRule="auto"/>
            </w:pPr>
            <w:r>
              <w:rPr>
                <w:sz w:val="17"/>
              </w:rPr>
              <w:t>Save</w:t>
            </w:r>
          </w:p>
        </w:tc>
        <w:tc>
          <w:tcPr>
            <w:tcW w:type="dxa" w:w="7713"/>
            <w:tcMar>
              <w:top w:w="20" w:type="dxa"/>
              <w:left w:w="60" w:type="dxa"/>
              <w:bottom w:w="20" w:type="dxa"/>
              <w:right w:w="60" w:type="dxa"/>
            </w:tcMar>
            <w:vAlign w:val="top"/>
          </w:tcPr>
          <w:p>
            <w:pPr>
              <w:spacing w:after="10" w:before="0" w:line="240" w:lineRule="auto"/>
            </w:pPr>
            <w:r>
              <w:rPr>
                <w:sz w:val="17"/>
              </w:rPr>
              <w:t>The server prices every line, header charge, header discount and round-off (table below) and allocates the number (Appendix B). A document cannot be saved as APPROVED, REJECTED or CANCELLED (STATUS_REQUIRES_PROCESS); only the process action can. Only a draft can be edited.</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2</w:t>
            </w:r>
          </w:p>
        </w:tc>
        <w:tc>
          <w:tcPr>
            <w:tcW w:type="dxa" w:w="1455"/>
            <w:tcMar>
              <w:top w:w="20" w:type="dxa"/>
              <w:left w:w="60" w:type="dxa"/>
              <w:bottom w:w="20" w:type="dxa"/>
              <w:right w:w="60" w:type="dxa"/>
            </w:tcMar>
            <w:vAlign w:val="top"/>
          </w:tcPr>
          <w:p>
            <w:pPr>
              <w:spacing w:after="10" w:before="0" w:line="240" w:lineRule="auto"/>
            </w:pPr>
            <w:r>
              <w:rPr>
                <w:sz w:val="17"/>
              </w:rPr>
              <w:t>Period lock</w:t>
            </w:r>
          </w:p>
        </w:tc>
        <w:tc>
          <w:tcPr>
            <w:tcW w:type="dxa" w:w="7713"/>
            <w:tcMar>
              <w:top w:w="20" w:type="dxa"/>
              <w:left w:w="60" w:type="dxa"/>
              <w:bottom w:w="20" w:type="dxa"/>
              <w:right w:w="60" w:type="dxa"/>
            </w:tcMar>
            <w:vAlign w:val="top"/>
          </w:tcPr>
          <w:p>
            <w:pPr>
              <w:spacing w:after="10" w:before="0" w:line="240" w:lineRule="auto"/>
            </w:pPr>
            <w:r>
              <w:rPr>
                <w:rFonts w:ascii="Consolas" w:hAnsi="Consolas" w:eastAsia="Consolas"/>
                <w:sz w:val="16"/>
              </w:rPr>
              <w:t>assertPostingAllowed(date)</w:t>
            </w:r>
            <w:r>
              <w:rPr>
                <w:sz w:val="17"/>
              </w:rPr>
              <w:t>: while the company has no fiscal year, any date is allowed. Once one exists, a date outside every year is refused (NO_FISCAL_YEAR) and a date in a closed year is refused (PERIOD_CLOSED). The same check guards create, approve and delete of documents, create, edit, approve and delete of vouchers, write-offs, opening balances and cheque clearing.</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3</w:t>
            </w:r>
          </w:p>
        </w:tc>
        <w:tc>
          <w:tcPr>
            <w:tcW w:type="dxa" w:w="1455"/>
            <w:tcMar>
              <w:top w:w="20" w:type="dxa"/>
              <w:left w:w="60" w:type="dxa"/>
              <w:bottom w:w="20" w:type="dxa"/>
              <w:right w:w="60" w:type="dxa"/>
            </w:tcMar>
            <w:vAlign w:val="top"/>
          </w:tcPr>
          <w:p>
            <w:pPr>
              <w:spacing w:after="10" w:before="0" w:line="240" w:lineRule="auto"/>
            </w:pPr>
            <w:r>
              <w:rPr>
                <w:sz w:val="17"/>
              </w:rPr>
              <w:t>Credit control</w:t>
            </w:r>
          </w:p>
        </w:tc>
        <w:tc>
          <w:tcPr>
            <w:tcW w:type="dxa" w:w="7713"/>
            <w:tcMar>
              <w:top w:w="20" w:type="dxa"/>
              <w:left w:w="60" w:type="dxa"/>
              <w:bottom w:w="20" w:type="dxa"/>
              <w:right w:w="60" w:type="dxa"/>
            </w:tcMar>
            <w:vAlign w:val="top"/>
          </w:tcPr>
          <w:p>
            <w:pPr>
              <w:spacing w:after="10" w:before="0" w:line="240" w:lineRule="auto"/>
            </w:pPr>
            <w:r>
              <w:rPr>
                <w:sz w:val="17"/>
              </w:rPr>
              <w:t>Sales invoices only. Mode 'off' passes. 'warn' refuses with HTTP 409 until the request is repeated with an acknowledgement. 'block' refuses with HTTP 403, no override. Tests: the customer's credit limit and, if configured, an overdue-invoice limit. Returns, payments and purchases are never checked.</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4</w:t>
            </w:r>
          </w:p>
        </w:tc>
        <w:tc>
          <w:tcPr>
            <w:tcW w:type="dxa" w:w="1455"/>
            <w:tcMar>
              <w:top w:w="20" w:type="dxa"/>
              <w:left w:w="60" w:type="dxa"/>
              <w:bottom w:w="20" w:type="dxa"/>
              <w:right w:w="60" w:type="dxa"/>
            </w:tcMar>
            <w:vAlign w:val="top"/>
          </w:tcPr>
          <w:p>
            <w:pPr>
              <w:spacing w:after="10" w:before="0" w:line="240" w:lineRule="auto"/>
            </w:pPr>
            <w:r>
              <w:rPr>
                <w:sz w:val="17"/>
              </w:rPr>
              <w:t>Stock</w:t>
            </w:r>
          </w:p>
        </w:tc>
        <w:tc>
          <w:tcPr>
            <w:tcW w:type="dxa" w:w="7713"/>
            <w:tcMar>
              <w:top w:w="20" w:type="dxa"/>
              <w:left w:w="60" w:type="dxa"/>
              <w:bottom w:w="20" w:type="dxa"/>
              <w:right w:w="60" w:type="dxa"/>
            </w:tcMar>
            <w:vAlign w:val="top"/>
          </w:tcPr>
          <w:p>
            <w:pPr>
              <w:spacing w:after="10" w:before="0" w:line="240" w:lineRule="auto"/>
            </w:pPr>
            <w:r>
              <w:rPr>
                <w:sz w:val="17"/>
              </w:rPr>
              <w:t>For every line the weighted-average cost engine moves quantity and cost, writes an inventory movement with its cost fields and updates the batches (sections 3.2 to 3.5). A sale larger than the stock is not refused: the shortfall is costed at the last average and the quantity goes negative.</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5</w:t>
            </w:r>
          </w:p>
        </w:tc>
        <w:tc>
          <w:tcPr>
            <w:tcW w:type="dxa" w:w="1455"/>
            <w:tcMar>
              <w:top w:w="20" w:type="dxa"/>
              <w:left w:w="60" w:type="dxa"/>
              <w:bottom w:w="20" w:type="dxa"/>
              <w:right w:w="60" w:type="dxa"/>
            </w:tcMar>
            <w:vAlign w:val="top"/>
          </w:tcPr>
          <w:p>
            <w:pPr>
              <w:spacing w:after="10" w:before="0" w:line="240" w:lineRule="auto"/>
            </w:pPr>
            <w:r>
              <w:rPr>
                <w:sz w:val="17"/>
              </w:rPr>
              <w:t>Ledger</w:t>
            </w:r>
          </w:p>
        </w:tc>
        <w:tc>
          <w:tcPr>
            <w:tcW w:type="dxa" w:w="7713"/>
            <w:tcMar>
              <w:top w:w="20" w:type="dxa"/>
              <w:left w:w="60" w:type="dxa"/>
              <w:bottom w:w="20" w:type="dxa"/>
              <w:right w:w="60" w:type="dxa"/>
            </w:tcMar>
            <w:vAlign w:val="top"/>
          </w:tcPr>
          <w:p>
            <w:pPr>
              <w:spacing w:after="10" w:before="0" w:line="240" w:lineRule="auto"/>
            </w:pPr>
            <w:r>
              <w:rPr>
                <w:sz w:val="17"/>
              </w:rPr>
              <w:t>If posting is on: the template for the document type is evaluated, every account is resolved first, and the balanced entries are inserted, dated the document date, with the document's id as voucher id; account current balances are updated. If posting is off nothing is written (it is caught up later, section 2.5).</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6</w:t>
            </w:r>
          </w:p>
        </w:tc>
        <w:tc>
          <w:tcPr>
            <w:tcW w:type="dxa" w:w="1455"/>
            <w:tcMar>
              <w:top w:w="20" w:type="dxa"/>
              <w:left w:w="60" w:type="dxa"/>
              <w:bottom w:w="20" w:type="dxa"/>
              <w:right w:w="60" w:type="dxa"/>
            </w:tcMar>
            <w:vAlign w:val="top"/>
          </w:tcPr>
          <w:p>
            <w:pPr>
              <w:spacing w:after="10" w:before="0" w:line="240" w:lineRule="auto"/>
            </w:pPr>
            <w:r>
              <w:rPr>
                <w:sz w:val="17"/>
              </w:rPr>
              <w:t>Re-cost</w:t>
            </w:r>
          </w:p>
        </w:tc>
        <w:tc>
          <w:tcPr>
            <w:tcW w:type="dxa" w:w="7713"/>
            <w:tcMar>
              <w:top w:w="20" w:type="dxa"/>
              <w:left w:w="60" w:type="dxa"/>
              <w:bottom w:w="20" w:type="dxa"/>
              <w:right w:w="60" w:type="dxa"/>
            </w:tcMar>
            <w:vAlign w:val="top"/>
          </w:tcPr>
          <w:p>
            <w:pPr>
              <w:spacing w:after="10" w:before="0" w:line="240" w:lineRule="auto"/>
            </w:pPr>
            <w:r>
              <w:rPr>
                <w:sz w:val="17"/>
              </w:rPr>
              <w:t>If the document is dated earlier than other live movements of the same item, those movements were costed on the wrong pool. They are replayed in date order, their cost fields rewritten, and the cost-of-goods and stock legs of the affected sales and returns moved by the difference. Movements in a closed fiscal year keep their stamped cost.</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7</w:t>
            </w:r>
          </w:p>
        </w:tc>
        <w:tc>
          <w:tcPr>
            <w:tcW w:type="dxa" w:w="1455"/>
            <w:tcMar>
              <w:top w:w="20" w:type="dxa"/>
              <w:left w:w="60" w:type="dxa"/>
              <w:bottom w:w="20" w:type="dxa"/>
              <w:right w:w="60" w:type="dxa"/>
            </w:tcMar>
            <w:vAlign w:val="top"/>
          </w:tcPr>
          <w:p>
            <w:pPr>
              <w:spacing w:after="10" w:before="0" w:line="240" w:lineRule="auto"/>
            </w:pPr>
            <w:r>
              <w:rPr>
                <w:sz w:val="17"/>
              </w:rPr>
              <w:t>VAT report row</w:t>
            </w:r>
          </w:p>
        </w:tc>
        <w:tc>
          <w:tcPr>
            <w:tcW w:type="dxa" w:w="7713"/>
            <w:tcMar>
              <w:top w:w="20" w:type="dxa"/>
              <w:left w:w="60" w:type="dxa"/>
              <w:bottom w:w="20" w:type="dxa"/>
              <w:right w:w="60" w:type="dxa"/>
            </w:tcMar>
            <w:vAlign w:val="top"/>
          </w:tcPr>
          <w:p>
            <w:pPr>
              <w:spacing w:after="10" w:before="0" w:line="240" w:lineRule="auto"/>
            </w:pPr>
            <w:r>
              <w:rPr>
                <w:sz w:val="17"/>
              </w:rPr>
              <w:t xml:space="preserve">None. Approval no longer writes to the older monthly VATReport collection (legacy: only rows written by older versions remain, readable at </w:t>
            </w:r>
            <w:r>
              <w:rPr>
                <w:rFonts w:ascii="Consolas" w:hAnsi="Consolas" w:eastAsia="Consolas"/>
                <w:sz w:val="16"/>
              </w:rPr>
              <w:t>/api/v1/reports/vat</w:t>
            </w:r>
            <w:r>
              <w:rPr>
                <w:sz w:val="17"/>
              </w:rPr>
              <w:t>, not used for filing). The VAT return (section 4.13) reads the approved documents.</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8</w:t>
            </w:r>
          </w:p>
        </w:tc>
        <w:tc>
          <w:tcPr>
            <w:tcW w:type="dxa" w:w="1455"/>
            <w:tcMar>
              <w:top w:w="20" w:type="dxa"/>
              <w:left w:w="60" w:type="dxa"/>
              <w:bottom w:w="20" w:type="dxa"/>
              <w:right w:w="60" w:type="dxa"/>
            </w:tcMar>
            <w:vAlign w:val="top"/>
          </w:tcPr>
          <w:p>
            <w:pPr>
              <w:spacing w:after="10" w:before="0" w:line="240" w:lineRule="auto"/>
            </w:pPr>
            <w:r>
              <w:rPr>
                <w:sz w:val="17"/>
              </w:rPr>
              <w:t>Party balance</w:t>
            </w:r>
          </w:p>
        </w:tc>
        <w:tc>
          <w:tcPr>
            <w:tcW w:type="dxa" w:w="7713"/>
            <w:tcMar>
              <w:top w:w="20" w:type="dxa"/>
              <w:left w:w="60" w:type="dxa"/>
              <w:bottom w:w="20" w:type="dxa"/>
              <w:right w:w="60" w:type="dxa"/>
            </w:tcMar>
            <w:vAlign w:val="top"/>
          </w:tcPr>
          <w:p>
            <w:pPr>
              <w:spacing w:after="10" w:before="0" w:line="240" w:lineRule="auto"/>
            </w:pPr>
            <w:r>
              <w:rPr>
                <w:sz w:val="17"/>
              </w:rPr>
              <w:t>The running balance (</w:t>
            </w:r>
            <w:r>
              <w:rPr>
                <w:rFonts w:ascii="Consolas" w:hAnsi="Consolas" w:eastAsia="Consolas"/>
                <w:sz w:val="16"/>
              </w:rPr>
              <w:t>cashBalance</w:t>
            </w:r>
            <w:r>
              <w:rPr>
                <w:sz w:val="17"/>
              </w:rPr>
              <w:t>) and the statement log (CreditLog or DebitLog) are updated: purchase +total, purchase return -total, sales -total, sales return +total (a customer who owes money is negative).</w:t>
            </w:r>
          </w:p>
        </w:tc>
      </w:tr>
      <w:tr>
        <w:trPr>
          <w:cantSplit w:val="true"/>
        </w:trPr>
        <w:tc>
          <w:tcPr>
            <w:tcW w:type="dxa" w:w="437"/>
            <w:tcMar>
              <w:top w:w="20" w:type="dxa"/>
              <w:left w:w="60" w:type="dxa"/>
              <w:bottom w:w="20" w:type="dxa"/>
              <w:right w:w="60" w:type="dxa"/>
            </w:tcMar>
            <w:vAlign w:val="top"/>
          </w:tcPr>
          <w:p>
            <w:pPr>
              <w:spacing w:after="10" w:before="0" w:line="240" w:lineRule="auto"/>
            </w:pPr>
            <w:r>
              <w:rPr>
                <w:sz w:val="17"/>
              </w:rPr>
              <w:t>9</w:t>
            </w:r>
          </w:p>
        </w:tc>
        <w:tc>
          <w:tcPr>
            <w:tcW w:type="dxa" w:w="1455"/>
            <w:tcMar>
              <w:top w:w="20" w:type="dxa"/>
              <w:left w:w="60" w:type="dxa"/>
              <w:bottom w:w="20" w:type="dxa"/>
              <w:right w:w="60" w:type="dxa"/>
            </w:tcMar>
            <w:vAlign w:val="top"/>
          </w:tcPr>
          <w:p>
            <w:pPr>
              <w:spacing w:after="10" w:before="0" w:line="240" w:lineRule="auto"/>
            </w:pPr>
            <w:r>
              <w:rPr>
                <w:sz w:val="17"/>
              </w:rPr>
              <w:t>Status</w:t>
            </w:r>
          </w:p>
        </w:tc>
        <w:tc>
          <w:tcPr>
            <w:tcW w:type="dxa" w:w="7713"/>
            <w:tcMar>
              <w:top w:w="20" w:type="dxa"/>
              <w:left w:w="60" w:type="dxa"/>
              <w:bottom w:w="20" w:type="dxa"/>
              <w:right w:w="60" w:type="dxa"/>
            </w:tcMar>
            <w:vAlign w:val="top"/>
          </w:tcPr>
          <w:p>
            <w:pPr>
              <w:spacing w:after="10" w:before="0" w:line="240" w:lineRule="auto"/>
            </w:pPr>
            <w:r>
              <w:rPr>
                <w:sz w:val="17"/>
              </w:rPr>
              <w:t xml:space="preserve">Status becomes APPROVED; </w:t>
            </w:r>
            <w:r>
              <w:rPr>
                <w:rFonts w:ascii="Consolas" w:hAnsi="Consolas" w:eastAsia="Consolas"/>
                <w:sz w:val="16"/>
              </w:rPr>
              <w:t>grnGenerated</w:t>
            </w:r>
            <w:r>
              <w:rPr>
                <w:sz w:val="17"/>
              </w:rPr>
              <w:t xml:space="preserve">, </w:t>
            </w:r>
            <w:r>
              <w:rPr>
                <w:rFonts w:ascii="Consolas" w:hAnsi="Consolas" w:eastAsia="Consolas"/>
                <w:sz w:val="16"/>
              </w:rPr>
              <w:t>invoiceGenerated</w:t>
            </w:r>
            <w:r>
              <w:rPr>
                <w:sz w:val="17"/>
              </w:rPr>
              <w:t xml:space="preserve"> or </w:t>
            </w:r>
            <w:r>
              <w:rPr>
                <w:rFonts w:ascii="Consolas" w:hAnsi="Consolas" w:eastAsia="Consolas"/>
                <w:sz w:val="16"/>
              </w:rPr>
              <w:t>creditNoteIssued</w:t>
            </w:r>
            <w:r>
              <w:rPr>
                <w:sz w:val="17"/>
              </w:rPr>
              <w:t xml:space="preserve"> is set by type. All nine steps are one database transaction, so a refused or failed approval leaves the document a draft and writes nothing (test: returnsAgeingCredit.test.js).</w:t>
            </w:r>
          </w:p>
        </w:tc>
      </w:tr>
    </w:tbl>
    <w:p>
      <w:pPr>
        <w:spacing w:after="0" w:before="0"/>
        <w:rPr>
          <w:sz w:val="6"/>
        </w:rPr>
      </w:pPr>
    </w:p>
    <w:p>
      <w:pPr>
        <w:pStyle w:val="Heading3"/>
      </w:pPr>
      <w:r>
        <w:t>3.1.1 Reversing an approved document</w:t>
      </w:r>
    </w:p>
    <w:p>
      <w:r>
        <w:t xml:space="preserve">An approved document cannot be rejected or cancelled again (validateAction refuses a processed status). The way back is to </w:t>
      </w:r>
      <w:r>
        <w:rPr>
          <w:b/>
        </w:rPr>
        <w:t>delete</w:t>
      </w:r>
      <w:r>
        <w:t xml:space="preserve"> it. In one transaction this reverses the batches (a purchase whose goods were partly sold cannot be removed: BATCH_PARTLY_USED); writes a paired reversal movement for every stock movement and restores the cost pool; reverses the ledger entries; re-costs later movements; reverses the party's running balance; and removes the document. Deletion is refused for an opening invoice (remove it from Opening balances), for an invoice sent as an e-invoice (issue a credit note instead), and inside a closed period.</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A reversal writes a mirror entry for every entry (debit and credit swapped) and marks the original and the mirror as reversed. Reports ignore reversed entries, so the document leaves no trace in the figures, while the audit trail keeps both rows.</w:t>
            </w:r>
          </w:p>
        </w:tc>
      </w:tr>
    </w:tbl>
    <w:p>
      <w:pPr>
        <w:spacing w:after="0" w:before="0"/>
        <w:rPr>
          <w:sz w:val="8"/>
        </w:rPr>
      </w:pPr>
    </w:p>
    <w:p>
      <w:pPr>
        <w:pStyle w:val="Heading3"/>
      </w:pPr>
      <w:r>
        <w:t>3.1.2 The figures a posting template uses</w:t>
      </w:r>
    </w:p>
    <w:p>
      <w:pPr>
        <w:pStyle w:val="Caption"/>
      </w:pPr>
      <w:r>
        <w:t>Table 17. Figures a template can reference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037"/>
        <w:gridCol w:w="4947"/>
        <w:gridCol w:w="2619"/>
      </w:tblGrid>
      <w:tr>
        <w:trPr>
          <w:tblHeader w:val="true"/>
          <w:cantSplit w:val="true"/>
        </w:trPr>
        <w:tc>
          <w:tcPr>
            <w:tcW w:type="dxa" w:w="2037"/>
            <w:shd w:val="clear" w:color="auto" w:fill="1F3A5F"/>
            <w:tcMar>
              <w:top w:w="20" w:type="dxa"/>
              <w:left w:w="60" w:type="dxa"/>
              <w:bottom w:w="20" w:type="dxa"/>
              <w:right w:w="60" w:type="dxa"/>
            </w:tcMar>
            <w:vAlign w:val="center"/>
          </w:tcPr>
          <w:p>
            <w:pPr>
              <w:spacing w:after="10" w:before="0" w:line="240" w:lineRule="auto"/>
            </w:pPr>
            <w:r>
              <w:rPr>
                <w:b/>
                <w:color w:val="FFFFFF"/>
                <w:sz w:val="17"/>
              </w:rPr>
              <w:t>Figure</w:t>
            </w:r>
          </w:p>
        </w:tc>
        <w:tc>
          <w:tcPr>
            <w:tcW w:type="dxa" w:w="4948"/>
            <w:shd w:val="clear" w:color="auto" w:fill="1F3A5F"/>
            <w:tcMar>
              <w:top w:w="20" w:type="dxa"/>
              <w:left w:w="60" w:type="dxa"/>
              <w:bottom w:w="20" w:type="dxa"/>
              <w:right w:w="60" w:type="dxa"/>
            </w:tcMar>
            <w:vAlign w:val="center"/>
          </w:tcPr>
          <w:p>
            <w:pPr>
              <w:spacing w:after="10" w:before="0" w:line="240" w:lineRule="auto"/>
            </w:pPr>
            <w:r>
              <w:rPr>
                <w:b/>
                <w:color w:val="FFFFFF"/>
                <w:sz w:val="17"/>
              </w:rPr>
              <w:t>Meaning</w:t>
            </w:r>
          </w:p>
        </w:tc>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Formula</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gross</w:t>
            </w:r>
          </w:p>
        </w:tc>
        <w:tc>
          <w:tcPr>
            <w:tcW w:type="dxa" w:w="4948"/>
            <w:tcMar>
              <w:top w:w="20" w:type="dxa"/>
              <w:left w:w="60" w:type="dxa"/>
              <w:bottom w:w="20" w:type="dxa"/>
              <w:right w:w="60" w:type="dxa"/>
            </w:tcMar>
            <w:vAlign w:val="top"/>
          </w:tcPr>
          <w:p>
            <w:pPr>
              <w:spacing w:after="10" w:before="0" w:line="240" w:lineRule="auto"/>
            </w:pPr>
            <w:r>
              <w:rPr>
                <w:sz w:val="17"/>
              </w:rPr>
              <w:t>Quantity times price, before discounts</w:t>
            </w:r>
          </w:p>
        </w:tc>
        <w:tc>
          <w:tcPr>
            <w:tcW w:type="dxa" w:w="2619"/>
            <w:tcMar>
              <w:top w:w="20" w:type="dxa"/>
              <w:left w:w="60" w:type="dxa"/>
              <w:bottom w:w="20" w:type="dxa"/>
              <w:right w:w="60" w:type="dxa"/>
            </w:tcMar>
            <w:vAlign w:val="top"/>
          </w:tcPr>
          <w:p>
            <w:pPr>
              <w:spacing w:after="10" w:before="0" w:line="240" w:lineRule="auto"/>
            </w:pPr>
            <w:r>
              <w:rPr>
                <w:sz w:val="17"/>
              </w:rPr>
              <w:t>sum of round(qty x price)</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lineDiscount</w:t>
            </w:r>
          </w:p>
        </w:tc>
        <w:tc>
          <w:tcPr>
            <w:tcW w:type="dxa" w:w="4948"/>
            <w:tcMar>
              <w:top w:w="20" w:type="dxa"/>
              <w:left w:w="60" w:type="dxa"/>
              <w:bottom w:w="20" w:type="dxa"/>
              <w:right w:w="60" w:type="dxa"/>
            </w:tcMar>
            <w:vAlign w:val="top"/>
          </w:tcPr>
          <w:p>
            <w:pPr>
              <w:spacing w:after="10" w:before="0" w:line="240" w:lineRule="auto"/>
            </w:pPr>
            <w:r>
              <w:rPr>
                <w:sz w:val="17"/>
              </w:rPr>
              <w:t>Discounts on lines (a fixed amount wins over a percentage; never more than the line)</w:t>
            </w:r>
          </w:p>
        </w:tc>
        <w:tc>
          <w:tcPr>
            <w:tcW w:type="dxa" w:w="2619"/>
            <w:tcMar>
              <w:top w:w="20" w:type="dxa"/>
              <w:left w:w="60" w:type="dxa"/>
              <w:bottom w:w="20" w:type="dxa"/>
              <w:right w:w="60" w:type="dxa"/>
            </w:tcMar>
            <w:vAlign w:val="top"/>
          </w:tcPr>
          <w:p>
            <w:pPr>
              <w:spacing w:after="10" w:before="0" w:line="240" w:lineRule="auto"/>
            </w:pPr>
            <w:r>
              <w:rPr>
                <w:sz w:val="17"/>
              </w:rPr>
              <w:t>sum of line discounts</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netLines</w:t>
            </w:r>
          </w:p>
        </w:tc>
        <w:tc>
          <w:tcPr>
            <w:tcW w:type="dxa" w:w="4948"/>
            <w:tcMar>
              <w:top w:w="20" w:type="dxa"/>
              <w:left w:w="60" w:type="dxa"/>
              <w:bottom w:w="20" w:type="dxa"/>
              <w:right w:w="60" w:type="dxa"/>
            </w:tcMar>
            <w:vAlign w:val="top"/>
          </w:tcPr>
          <w:p>
            <w:pPr>
              <w:spacing w:after="10" w:before="0" w:line="240" w:lineRule="auto"/>
            </w:pPr>
            <w:r>
              <w:rPr>
                <w:sz w:val="17"/>
              </w:rPr>
              <w:t>Value of the goods without VAT, after line discounts</w:t>
            </w:r>
          </w:p>
        </w:tc>
        <w:tc>
          <w:tcPr>
            <w:tcW w:type="dxa" w:w="2619"/>
            <w:tcMar>
              <w:top w:w="20" w:type="dxa"/>
              <w:left w:w="60" w:type="dxa"/>
              <w:bottom w:w="20" w:type="dxa"/>
              <w:right w:w="60" w:type="dxa"/>
            </w:tcMar>
            <w:vAlign w:val="top"/>
          </w:tcPr>
          <w:p>
            <w:pPr>
              <w:spacing w:after="10" w:before="0" w:line="240" w:lineRule="auto"/>
            </w:pPr>
            <w:r>
              <w:rPr>
                <w:sz w:val="17"/>
              </w:rPr>
              <w:t>gross - lineDiscount</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lineVat; charges, chargesVat</w:t>
            </w:r>
          </w:p>
        </w:tc>
        <w:tc>
          <w:tcPr>
            <w:tcW w:type="dxa" w:w="4948"/>
            <w:tcMar>
              <w:top w:w="20" w:type="dxa"/>
              <w:left w:w="60" w:type="dxa"/>
              <w:bottom w:w="20" w:type="dxa"/>
              <w:right w:w="60" w:type="dxa"/>
            </w:tcMar>
            <w:vAlign w:val="top"/>
          </w:tcPr>
          <w:p>
            <w:pPr>
              <w:spacing w:after="10" w:before="0" w:line="240" w:lineRule="auto"/>
            </w:pPr>
            <w:r>
              <w:rPr>
                <w:sz w:val="17"/>
              </w:rPr>
              <w:t>VAT on the lines; header charges (freight, handling) without VAT and their own VAT</w:t>
            </w:r>
          </w:p>
        </w:tc>
        <w:tc>
          <w:tcPr>
            <w:tcW w:type="dxa" w:w="2619"/>
            <w:tcMar>
              <w:top w:w="20" w:type="dxa"/>
              <w:left w:w="60" w:type="dxa"/>
              <w:bottom w:w="20" w:type="dxa"/>
              <w:right w:w="60" w:type="dxa"/>
            </w:tcMar>
            <w:vAlign w:val="top"/>
          </w:tcPr>
          <w:p>
            <w:pPr>
              <w:spacing w:after="10" w:before="0" w:line="240" w:lineRule="auto"/>
            </w:pPr>
            <w:r>
              <w:rPr>
                <w:sz w:val="17"/>
              </w:rPr>
              <w:t>round(taxable x vat% / 100) per line; per charge</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vat</w:t>
            </w:r>
          </w:p>
        </w:tc>
        <w:tc>
          <w:tcPr>
            <w:tcW w:type="dxa" w:w="4948"/>
            <w:tcMar>
              <w:top w:w="20" w:type="dxa"/>
              <w:left w:w="60" w:type="dxa"/>
              <w:bottom w:w="20" w:type="dxa"/>
              <w:right w:w="60" w:type="dxa"/>
            </w:tcMar>
            <w:vAlign w:val="top"/>
          </w:tcPr>
          <w:p>
            <w:pPr>
              <w:spacing w:after="10" w:before="0" w:line="240" w:lineRule="auto"/>
            </w:pPr>
            <w:r>
              <w:rPr>
                <w:sz w:val="17"/>
              </w:rPr>
              <w:t>All VAT on the document</w:t>
            </w:r>
          </w:p>
        </w:tc>
        <w:tc>
          <w:tcPr>
            <w:tcW w:type="dxa" w:w="2619"/>
            <w:tcMar>
              <w:top w:w="20" w:type="dxa"/>
              <w:left w:w="60" w:type="dxa"/>
              <w:bottom w:w="20" w:type="dxa"/>
              <w:right w:w="60" w:type="dxa"/>
            </w:tcMar>
            <w:vAlign w:val="top"/>
          </w:tcPr>
          <w:p>
            <w:pPr>
              <w:spacing w:after="10" w:before="0" w:line="240" w:lineRule="auto"/>
            </w:pPr>
            <w:r>
              <w:rPr>
                <w:sz w:val="17"/>
              </w:rPr>
              <w:t>lineVat + chargesVat</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headerDiscount</w:t>
            </w:r>
          </w:p>
        </w:tc>
        <w:tc>
          <w:tcPr>
            <w:tcW w:type="dxa" w:w="4948"/>
            <w:tcMar>
              <w:top w:w="20" w:type="dxa"/>
              <w:left w:w="60" w:type="dxa"/>
              <w:bottom w:w="20" w:type="dxa"/>
              <w:right w:w="60" w:type="dxa"/>
            </w:tcMar>
            <w:vAlign w:val="top"/>
          </w:tcPr>
          <w:p>
            <w:pPr>
              <w:spacing w:after="10" w:before="0" w:line="240" w:lineRule="auto"/>
            </w:pPr>
            <w:r>
              <w:rPr>
                <w:sz w:val="17"/>
              </w:rPr>
              <w:t>An amount taken off the VAT-inclusive total (a settlement discount); never more than the total</w:t>
            </w:r>
          </w:p>
        </w:tc>
        <w:tc>
          <w:tcPr>
            <w:tcW w:type="dxa" w:w="2619"/>
            <w:tcMar>
              <w:top w:w="20" w:type="dxa"/>
              <w:left w:w="60" w:type="dxa"/>
              <w:bottom w:w="20" w:type="dxa"/>
              <w:right w:w="60" w:type="dxa"/>
            </w:tcMar>
            <w:vAlign w:val="top"/>
          </w:tcPr>
          <w:p>
            <w:pPr>
              <w:spacing w:after="10" w:before="0" w:line="240" w:lineRule="auto"/>
            </w:pPr>
            <w:r>
              <w:rPr>
                <w:sz w:val="17"/>
              </w:rPr>
              <w:t>min(entered, netLines + vat + charges)</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roundOff</w:t>
            </w:r>
          </w:p>
        </w:tc>
        <w:tc>
          <w:tcPr>
            <w:tcW w:type="dxa" w:w="4948"/>
            <w:tcMar>
              <w:top w:w="20" w:type="dxa"/>
              <w:left w:w="60" w:type="dxa"/>
              <w:bottom w:w="20" w:type="dxa"/>
              <w:right w:w="60" w:type="dxa"/>
            </w:tcMar>
            <w:vAlign w:val="top"/>
          </w:tcPr>
          <w:p>
            <w:pPr>
              <w:spacing w:after="10" w:before="0" w:line="240" w:lineRule="auto"/>
            </w:pPr>
            <w:r>
              <w:rPr>
                <w:sz w:val="17"/>
              </w:rPr>
              <w:t>The client's total less the computed total, kept only if the difference is AED 1.00 or less; otherwise the computed total wins</w:t>
            </w:r>
          </w:p>
        </w:tc>
        <w:tc>
          <w:tcPr>
            <w:tcW w:type="dxa" w:w="2619"/>
            <w:tcMar>
              <w:top w:w="20" w:type="dxa"/>
              <w:left w:w="60" w:type="dxa"/>
              <w:bottom w:w="20" w:type="dxa"/>
              <w:right w:w="60" w:type="dxa"/>
            </w:tcMar>
            <w:vAlign w:val="top"/>
          </w:tcPr>
          <w:p>
            <w:pPr>
              <w:spacing w:after="10" w:before="0" w:line="240" w:lineRule="auto"/>
            </w:pPr>
            <w:r>
              <w:rPr>
                <w:sz w:val="17"/>
              </w:rPr>
              <w:t>incomingTotal - computed</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total</w:t>
            </w:r>
          </w:p>
        </w:tc>
        <w:tc>
          <w:tcPr>
            <w:tcW w:type="dxa" w:w="4948"/>
            <w:tcMar>
              <w:top w:w="20" w:type="dxa"/>
              <w:left w:w="60" w:type="dxa"/>
              <w:bottom w:w="20" w:type="dxa"/>
              <w:right w:w="60" w:type="dxa"/>
            </w:tcMar>
            <w:vAlign w:val="top"/>
          </w:tcPr>
          <w:p>
            <w:pPr>
              <w:spacing w:after="10" w:before="0" w:line="240" w:lineRule="auto"/>
            </w:pPr>
            <w:r>
              <w:rPr>
                <w:sz w:val="17"/>
              </w:rPr>
              <w:t>What the party is charged. This identity always holds, which is why a posted document balances</w:t>
            </w:r>
          </w:p>
        </w:tc>
        <w:tc>
          <w:tcPr>
            <w:tcW w:type="dxa" w:w="2619"/>
            <w:tcMar>
              <w:top w:w="20" w:type="dxa"/>
              <w:left w:w="60" w:type="dxa"/>
              <w:bottom w:w="20" w:type="dxa"/>
              <w:right w:w="60" w:type="dxa"/>
            </w:tcMar>
            <w:vAlign w:val="top"/>
          </w:tcPr>
          <w:p>
            <w:pPr>
              <w:spacing w:after="10" w:before="0" w:line="240" w:lineRule="auto"/>
            </w:pPr>
            <w:r>
              <w:rPr>
                <w:sz w:val="17"/>
              </w:rPr>
              <w:t>netLines + charges + vat - headerDiscount + roundOff</w:t>
            </w:r>
          </w:p>
        </w:tc>
      </w:tr>
      <w:tr>
        <w:trPr>
          <w:cantSplit w:val="true"/>
        </w:trPr>
        <w:tc>
          <w:tcPr>
            <w:tcW w:type="dxa" w:w="2037"/>
            <w:tcMar>
              <w:top w:w="20" w:type="dxa"/>
              <w:left w:w="60" w:type="dxa"/>
              <w:bottom w:w="20" w:type="dxa"/>
              <w:right w:w="60" w:type="dxa"/>
            </w:tcMar>
            <w:vAlign w:val="top"/>
          </w:tcPr>
          <w:p>
            <w:pPr>
              <w:spacing w:after="10" w:before="0" w:line="240" w:lineRule="auto"/>
            </w:pPr>
            <w:r>
              <w:rPr>
                <w:b/>
                <w:sz w:val="17"/>
              </w:rPr>
              <w:t>cogs</w:t>
            </w:r>
          </w:p>
        </w:tc>
        <w:tc>
          <w:tcPr>
            <w:tcW w:type="dxa" w:w="4948"/>
            <w:tcMar>
              <w:top w:w="20" w:type="dxa"/>
              <w:left w:w="60" w:type="dxa"/>
              <w:bottom w:w="20" w:type="dxa"/>
              <w:right w:w="60" w:type="dxa"/>
            </w:tcMar>
            <w:vAlign w:val="top"/>
          </w:tcPr>
          <w:p>
            <w:pPr>
              <w:spacing w:after="10" w:before="0" w:line="240" w:lineRule="auto"/>
            </w:pPr>
            <w:r>
              <w:rPr>
                <w:sz w:val="17"/>
              </w:rPr>
              <w:t>Cost of goods issued or restored, from the costing engine</w:t>
            </w:r>
          </w:p>
        </w:tc>
        <w:tc>
          <w:tcPr>
            <w:tcW w:type="dxa" w:w="2619"/>
            <w:tcMar>
              <w:top w:w="20" w:type="dxa"/>
              <w:left w:w="60" w:type="dxa"/>
              <w:bottom w:w="20" w:type="dxa"/>
              <w:right w:w="60" w:type="dxa"/>
            </w:tcMar>
            <w:vAlign w:val="top"/>
          </w:tcPr>
          <w:p>
            <w:pPr>
              <w:spacing w:after="10" w:before="0" w:line="240" w:lineRule="auto"/>
            </w:pPr>
            <w:r>
              <w:rPr>
                <w:sz w:val="17"/>
              </w:rPr>
              <w:t>sum of the cost each line moved</w:t>
            </w:r>
          </w:p>
        </w:tc>
      </w:tr>
    </w:tbl>
    <w:p>
      <w:pPr>
        <w:spacing w:after="0" w:before="0"/>
        <w:rPr>
          <w:sz w:val="6"/>
        </w:rPr>
      </w:pPr>
    </w:p>
    <w:p>
      <w:pPr>
        <w:pStyle w:val="Heading2"/>
      </w:pPr>
      <w:r>
        <w:t>3.2 Purchase invoice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Purchase invoice (document type purchase_order)</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Approval of a purchase invoice. Open fiscal period; the vendor exists; posting on; every key that carries an amount is mapped.</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Keys used</w:t>
            </w:r>
          </w:p>
        </w:tc>
        <w:tc>
          <w:tcPr>
            <w:tcW w:type="dxa" w:w="7733"/>
            <w:tcMar>
              <w:top w:w="20" w:type="dxa"/>
              <w:left w:w="60" w:type="dxa"/>
              <w:bottom w:w="20" w:type="dxa"/>
              <w:right w:w="60" w:type="dxa"/>
            </w:tcMar>
          </w:tcPr>
          <w:p>
            <w:pPr>
              <w:spacing w:after="10" w:before="0" w:line="240" w:lineRule="auto"/>
            </w:pPr>
            <w:r>
              <w:rPr>
                <w:rFonts w:ascii="Consolas" w:hAnsi="Consolas" w:eastAsia="Consolas"/>
                <w:sz w:val="16"/>
              </w:rPr>
              <w:t>inventory-asset</w:t>
            </w:r>
            <w:r>
              <w:rPr>
                <w:sz w:val="17"/>
              </w:rPr>
              <w:t xml:space="preserve">, </w:t>
            </w:r>
            <w:r>
              <w:rPr>
                <w:rFonts w:ascii="Consolas" w:hAnsi="Consolas" w:eastAsia="Consolas"/>
                <w:sz w:val="16"/>
              </w:rPr>
              <w:t>vat-purchase</w:t>
            </w:r>
            <w:r>
              <w:rPr>
                <w:sz w:val="17"/>
              </w:rPr>
              <w:t xml:space="preserve">, </w:t>
            </w:r>
            <w:r>
              <w:rPr>
                <w:rFonts w:ascii="Consolas" w:hAnsi="Consolas" w:eastAsia="Consolas"/>
                <w:sz w:val="16"/>
              </w:rPr>
              <w:t>freight-purchase</w:t>
            </w:r>
            <w:r>
              <w:rPr>
                <w:sz w:val="17"/>
              </w:rPr>
              <w:t xml:space="preserve"> (if header charges), </w:t>
            </w:r>
            <w:r>
              <w:rPr>
                <w:rFonts w:ascii="Consolas" w:hAnsi="Consolas" w:eastAsia="Consolas"/>
                <w:sz w:val="16"/>
              </w:rPr>
              <w:t>discount-purchase</w:t>
            </w:r>
            <w:r>
              <w:rPr>
                <w:sz w:val="17"/>
              </w:rPr>
              <w:t xml:space="preserve"> (if a header discount), </w:t>
            </w:r>
            <w:r>
              <w:rPr>
                <w:rFonts w:ascii="Consolas" w:hAnsi="Consolas" w:eastAsia="Consolas"/>
                <w:sz w:val="16"/>
              </w:rPr>
              <w:t>round-off-purchase</w:t>
            </w:r>
            <w:r>
              <w:rPr>
                <w:sz w:val="17"/>
              </w:rPr>
              <w:t xml:space="preserve"> (if a round-off); the vendor's party account.</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Stock effect</w:t>
            </w:r>
          </w:p>
        </w:tc>
        <w:tc>
          <w:tcPr>
            <w:tcW w:type="dxa" w:w="7733"/>
            <w:tcMar>
              <w:top w:w="20" w:type="dxa"/>
              <w:left w:w="60" w:type="dxa"/>
              <w:bottom w:w="20" w:type="dxa"/>
              <w:right w:w="60" w:type="dxa"/>
            </w:tcMar>
          </w:tcPr>
          <w:p>
            <w:pPr>
              <w:tabs>
                <w:tab w:pos="202" w:val="left"/>
              </w:tabs>
              <w:spacing w:after="10" w:before="0" w:line="240" w:lineRule="auto"/>
              <w:ind w:left="202" w:hanging="202"/>
            </w:pPr>
            <w:r>
              <w:rPr>
                <w:sz w:val="17"/>
              </w:rPr>
              <w:t>•</w:t>
              <w:tab/>
              <w:t>Each line is received at its VAT-exclusive value after line discount (line total - line VAT); the weighted average is recalculated.</w:t>
            </w:r>
          </w:p>
          <w:p>
            <w:pPr>
              <w:tabs>
                <w:tab w:pos="202" w:val="left"/>
              </w:tabs>
              <w:spacing w:after="10" w:before="0" w:line="240" w:lineRule="auto"/>
              <w:ind w:left="202" w:hanging="202"/>
            </w:pPr>
            <w:r>
              <w:rPr>
                <w:sz w:val="17"/>
              </w:rPr>
              <w:t>•</w:t>
              <w:tab/>
              <w:t xml:space="preserve">Header charges and the header discount are </w:t>
            </w:r>
            <w:r>
              <w:rPr>
                <w:b/>
                <w:sz w:val="17"/>
              </w:rPr>
              <w:t>not</w:t>
            </w:r>
            <w:r>
              <w:rPr>
                <w:sz w:val="17"/>
              </w:rPr>
              <w:t xml:space="preserve"> spread into stock cost: freight is an expense, the discount is income.</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Number, reversal</w:t>
            </w:r>
          </w:p>
        </w:tc>
        <w:tc>
          <w:tcPr>
            <w:tcW w:type="dxa" w:w="7733"/>
            <w:tcMar>
              <w:top w:w="20" w:type="dxa"/>
              <w:left w:w="60" w:type="dxa"/>
              <w:bottom w:w="20" w:type="dxa"/>
              <w:right w:w="60" w:type="dxa"/>
            </w:tcMar>
          </w:tcPr>
          <w:p>
            <w:pPr>
              <w:spacing w:after="10" w:before="0" w:line="240" w:lineRule="auto"/>
            </w:pPr>
            <w:r>
              <w:rPr>
                <w:sz w:val="17"/>
              </w:rPr>
              <w:t>PO-YYYY-NNNN, allocated when the draft is saved. Deleting the approved invoice reverses stock, batches, ledger entries and the vendor balance.</w:t>
            </w:r>
          </w:p>
        </w:tc>
      </w:tr>
    </w:tbl>
    <w:p>
      <w:pPr>
        <w:spacing w:after="0" w:before="0"/>
        <w:rPr>
          <w:sz w:val="8"/>
        </w:rPr>
      </w:pPr>
    </w:p>
    <w:p>
      <w:pPr>
        <w:pStyle w:val="Caption"/>
      </w:pPr>
      <w:r>
        <w:t>Table 18. Purchase invoice, example A: 100 bags at AED 10.00 with 5% VAT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r>
              <w:rPr>
                <w:sz w:val="17"/>
              </w:rPr>
              <w:t>1,000.00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Input VAT</w:t>
            </w:r>
          </w:p>
        </w:tc>
        <w:tc>
          <w:tcPr>
            <w:tcW w:type="dxa" w:w="2763"/>
            <w:tcMar>
              <w:top w:w="20" w:type="dxa"/>
              <w:left w:w="60" w:type="dxa"/>
              <w:bottom w:w="20" w:type="dxa"/>
              <w:right w:w="60" w:type="dxa"/>
            </w:tcMar>
            <w:vAlign w:val="top"/>
          </w:tcPr>
          <w:p>
            <w:pPr>
              <w:keepNext/>
              <w:spacing w:after="10" w:before="0" w:line="240" w:lineRule="auto"/>
            </w:pPr>
            <w:r>
              <w:rPr>
                <w:sz w:val="17"/>
              </w:rPr>
              <w:t>vat-purchase</w:t>
            </w:r>
          </w:p>
        </w:tc>
        <w:tc>
          <w:tcPr>
            <w:tcW w:type="dxa" w:w="1447"/>
            <w:tcMar>
              <w:top w:w="20" w:type="dxa"/>
              <w:left w:w="60" w:type="dxa"/>
              <w:bottom w:w="20" w:type="dxa"/>
              <w:right w:w="60" w:type="dxa"/>
            </w:tcMar>
            <w:vAlign w:val="top"/>
          </w:tcPr>
          <w:p>
            <w:pPr>
              <w:keepNext/>
              <w:spacing w:after="10" w:before="0" w:line="240" w:lineRule="auto"/>
              <w:jc w:val="right"/>
            </w:pPr>
            <w:r>
              <w:rPr>
                <w:sz w:val="17"/>
              </w:rPr>
              <w:t>50.00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Vendor - Gulf Mills</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1,050.00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1,050.00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1,050.00</w:t>
            </w:r>
          </w:p>
        </w:tc>
      </w:tr>
    </w:tbl>
    <w:p>
      <w:pPr>
        <w:spacing w:after="0" w:before="0"/>
        <w:rPr>
          <w:sz w:val="6"/>
        </w:rPr>
      </w:pPr>
    </w:p>
    <w:p>
      <w:r>
        <w:t>Stock after approval: 100 bags, cost value 1,000.00, average 10.00. A second purchase of 50 bags at 12.00 would bring it to 150 bags, 1,600.00, average 10.66667 (tests: accountingFoundation.test.js, inventoryCosting.test.js).</w:t>
      </w:r>
    </w:p>
    <w:p>
      <w:pPr>
        <w:pStyle w:val="Caption"/>
      </w:pPr>
      <w:r>
        <w:t>Table 19. Purchase invoice, example B: 10 x 100.00, 10% line discount, freight 40.00, header discount 15.00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r>
              <w:rPr>
                <w:sz w:val="17"/>
              </w:rPr>
              <w:t>900.00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Freight on Purchases</w:t>
            </w:r>
          </w:p>
        </w:tc>
        <w:tc>
          <w:tcPr>
            <w:tcW w:type="dxa" w:w="2763"/>
            <w:tcMar>
              <w:top w:w="20" w:type="dxa"/>
              <w:left w:w="60" w:type="dxa"/>
              <w:bottom w:w="20" w:type="dxa"/>
              <w:right w:w="60" w:type="dxa"/>
            </w:tcMar>
            <w:vAlign w:val="top"/>
          </w:tcPr>
          <w:p>
            <w:pPr>
              <w:keepNext/>
              <w:spacing w:after="10" w:before="0" w:line="240" w:lineRule="auto"/>
            </w:pPr>
            <w:r>
              <w:rPr>
                <w:sz w:val="17"/>
              </w:rPr>
              <w:t>freight-purchase</w:t>
            </w:r>
          </w:p>
        </w:tc>
        <w:tc>
          <w:tcPr>
            <w:tcW w:type="dxa" w:w="1447"/>
            <w:tcMar>
              <w:top w:w="20" w:type="dxa"/>
              <w:left w:w="60" w:type="dxa"/>
              <w:bottom w:w="20" w:type="dxa"/>
              <w:right w:w="60" w:type="dxa"/>
            </w:tcMar>
            <w:vAlign w:val="top"/>
          </w:tcPr>
          <w:p>
            <w:pPr>
              <w:keepNext/>
              <w:spacing w:after="10" w:before="0" w:line="240" w:lineRule="auto"/>
              <w:jc w:val="right"/>
            </w:pPr>
            <w:r>
              <w:rPr>
                <w:sz w:val="17"/>
              </w:rPr>
              <w:t>40.00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Input VAT</w:t>
            </w:r>
          </w:p>
        </w:tc>
        <w:tc>
          <w:tcPr>
            <w:tcW w:type="dxa" w:w="2763"/>
            <w:tcMar>
              <w:top w:w="20" w:type="dxa"/>
              <w:left w:w="60" w:type="dxa"/>
              <w:bottom w:w="20" w:type="dxa"/>
              <w:right w:w="60" w:type="dxa"/>
            </w:tcMar>
            <w:vAlign w:val="top"/>
          </w:tcPr>
          <w:p>
            <w:pPr>
              <w:keepNext/>
              <w:spacing w:after="10" w:before="0" w:line="240" w:lineRule="auto"/>
            </w:pPr>
            <w:r>
              <w:rPr>
                <w:sz w:val="17"/>
              </w:rPr>
              <w:t>vat-purchase</w:t>
            </w:r>
          </w:p>
        </w:tc>
        <w:tc>
          <w:tcPr>
            <w:tcW w:type="dxa" w:w="1447"/>
            <w:tcMar>
              <w:top w:w="20" w:type="dxa"/>
              <w:left w:w="60" w:type="dxa"/>
              <w:bottom w:w="20" w:type="dxa"/>
              <w:right w:w="60" w:type="dxa"/>
            </w:tcMar>
            <w:vAlign w:val="top"/>
          </w:tcPr>
          <w:p>
            <w:pPr>
              <w:keepNext/>
              <w:spacing w:after="10" w:before="0" w:line="240" w:lineRule="auto"/>
              <w:jc w:val="right"/>
            </w:pPr>
            <w:r>
              <w:rPr>
                <w:sz w:val="17"/>
              </w:rPr>
              <w:t>47.00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Purchase Discounts Received</w:t>
            </w:r>
          </w:p>
        </w:tc>
        <w:tc>
          <w:tcPr>
            <w:tcW w:type="dxa" w:w="2763"/>
            <w:tcMar>
              <w:top w:w="20" w:type="dxa"/>
              <w:left w:w="60" w:type="dxa"/>
              <w:bottom w:w="20" w:type="dxa"/>
              <w:right w:w="60" w:type="dxa"/>
            </w:tcMar>
            <w:vAlign w:val="top"/>
          </w:tcPr>
          <w:p>
            <w:pPr>
              <w:keepNext/>
              <w:spacing w:after="10" w:before="0" w:line="240" w:lineRule="auto"/>
            </w:pPr>
            <w:r>
              <w:rPr>
                <w:sz w:val="17"/>
              </w:rPr>
              <w:t>discount-purchase</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15.00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Vendor - Gulf Mills</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972.00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987.00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987.00</w:t>
            </w:r>
          </w:p>
        </w:tc>
      </w:tr>
    </w:tbl>
    <w:p>
      <w:pPr>
        <w:spacing w:after="0" w:before="0"/>
        <w:rPr>
          <w:sz w:val="6"/>
        </w:rPr>
      </w:pPr>
    </w:p>
    <w:p>
      <w:r>
        <w:t>Check: stock 900.00 is the lines after the 100.00 discount; VAT 47.00 is 45.00 on the lines plus 2.00 on the freight; the vendor is owed 900.00 + 40.00 + 47.00 - 15.00 = 972.00.</w:t>
      </w:r>
    </w:p>
    <w:p>
      <w:pPr>
        <w:pStyle w:val="Caption"/>
      </w:pPr>
      <w:r>
        <w:t>Table 20. Round-off: a total typed 0.30 above the computed lines (purchase) and 0.50 below (sale)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Purchase, total 1,050.30 against lines of 1,050.00</w:t>
            </w:r>
          </w:p>
        </w:tc>
        <w:tc>
          <w:tcPr>
            <w:tcW w:type="dxa" w:w="2709"/>
            <w:tcMar>
              <w:top w:w="20" w:type="dxa"/>
              <w:left w:w="60" w:type="dxa"/>
              <w:bottom w:w="20" w:type="dxa"/>
              <w:right w:w="60" w:type="dxa"/>
            </w:tcMar>
            <w:vAlign w:val="top"/>
          </w:tcPr>
          <w:p>
            <w:pPr>
              <w:spacing w:after="10" w:before="0" w:line="240" w:lineRule="auto"/>
            </w:pPr>
            <w:r>
              <w:rPr>
                <w:sz w:val="17"/>
              </w:rPr>
              <w:t>Inventory Stock</w:t>
            </w:r>
          </w:p>
        </w:tc>
        <w:tc>
          <w:tcPr>
            <w:tcW w:type="dxa" w:w="1970"/>
            <w:tcMar>
              <w:top w:w="20" w:type="dxa"/>
              <w:left w:w="60" w:type="dxa"/>
              <w:bottom w:w="20" w:type="dxa"/>
              <w:right w:w="60" w:type="dxa"/>
            </w:tcMar>
            <w:vAlign w:val="top"/>
          </w:tcPr>
          <w:p>
            <w:pPr>
              <w:spacing w:after="10" w:before="0" w:line="240" w:lineRule="auto"/>
            </w:pPr>
            <w:r>
              <w:rPr>
                <w:sz w:val="17"/>
              </w:rPr>
              <w:t>inventory-asset</w:t>
            </w:r>
          </w:p>
        </w:tc>
        <w:tc>
          <w:tcPr>
            <w:tcW w:type="dxa" w:w="1108"/>
            <w:tcMar>
              <w:top w:w="20" w:type="dxa"/>
              <w:left w:w="60" w:type="dxa"/>
              <w:bottom w:w="20" w:type="dxa"/>
              <w:right w:w="60" w:type="dxa"/>
            </w:tcMar>
            <w:vAlign w:val="top"/>
          </w:tcPr>
          <w:p>
            <w:pPr>
              <w:spacing w:after="10" w:before="0" w:line="240" w:lineRule="auto"/>
              <w:jc w:val="right"/>
            </w:pPr>
            <w:r>
              <w:rPr>
                <w:sz w:val="17"/>
              </w:rPr>
              <w:t>1,000.00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Input VAT</w:t>
            </w:r>
          </w:p>
        </w:tc>
        <w:tc>
          <w:tcPr>
            <w:tcW w:type="dxa" w:w="1970"/>
            <w:tcMar>
              <w:top w:w="20" w:type="dxa"/>
              <w:left w:w="60" w:type="dxa"/>
              <w:bottom w:w="20" w:type="dxa"/>
              <w:right w:w="60" w:type="dxa"/>
            </w:tcMar>
            <w:vAlign w:val="top"/>
          </w:tcPr>
          <w:p>
            <w:pPr>
              <w:spacing w:after="10" w:before="0" w:line="240" w:lineRule="auto"/>
            </w:pPr>
            <w:r>
              <w:rPr>
                <w:sz w:val="17"/>
              </w:rPr>
              <w:t>vat-purchase</w:t>
            </w:r>
          </w:p>
        </w:tc>
        <w:tc>
          <w:tcPr>
            <w:tcW w:type="dxa" w:w="1108"/>
            <w:tcMar>
              <w:top w:w="20" w:type="dxa"/>
              <w:left w:w="60" w:type="dxa"/>
              <w:bottom w:w="20" w:type="dxa"/>
              <w:right w:w="60" w:type="dxa"/>
            </w:tcMar>
            <w:vAlign w:val="top"/>
          </w:tcPr>
          <w:p>
            <w:pPr>
              <w:spacing w:after="10" w:before="0" w:line="240" w:lineRule="auto"/>
              <w:jc w:val="right"/>
            </w:pPr>
            <w:r>
              <w:rPr>
                <w:sz w:val="17"/>
              </w:rPr>
              <w:t>50.00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Round-off Expense (Purchases)</w:t>
            </w:r>
          </w:p>
        </w:tc>
        <w:tc>
          <w:tcPr>
            <w:tcW w:type="dxa" w:w="1970"/>
            <w:tcMar>
              <w:top w:w="20" w:type="dxa"/>
              <w:left w:w="60" w:type="dxa"/>
              <w:bottom w:w="20" w:type="dxa"/>
              <w:right w:w="60" w:type="dxa"/>
            </w:tcMar>
            <w:vAlign w:val="top"/>
          </w:tcPr>
          <w:p>
            <w:pPr>
              <w:spacing w:after="10" w:before="0" w:line="240" w:lineRule="auto"/>
            </w:pPr>
            <w:r>
              <w:rPr>
                <w:sz w:val="17"/>
              </w:rPr>
              <w:t>round-off-purchase</w:t>
            </w:r>
          </w:p>
        </w:tc>
        <w:tc>
          <w:tcPr>
            <w:tcW w:type="dxa" w:w="1108"/>
            <w:tcMar>
              <w:top w:w="20" w:type="dxa"/>
              <w:left w:w="60" w:type="dxa"/>
              <w:bottom w:w="20" w:type="dxa"/>
              <w:right w:w="60" w:type="dxa"/>
            </w:tcMar>
            <w:vAlign w:val="top"/>
          </w:tcPr>
          <w:p>
            <w:pPr>
              <w:spacing w:after="10" w:before="0" w:line="240" w:lineRule="auto"/>
              <w:jc w:val="right"/>
            </w:pPr>
            <w:r>
              <w:rPr>
                <w:sz w:val="17"/>
              </w:rPr>
              <w:t>0.30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Vendor - Gulf Mills</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1,050.30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Sale, total 209.50 against lines of 210.00</w:t>
            </w: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r>
              <w:rPr>
                <w:sz w:val="17"/>
              </w:rPr>
              <w:t>209.50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Round-off Expense (Sales)</w:t>
            </w:r>
          </w:p>
        </w:tc>
        <w:tc>
          <w:tcPr>
            <w:tcW w:type="dxa" w:w="1970"/>
            <w:tcMar>
              <w:top w:w="20" w:type="dxa"/>
              <w:left w:w="60" w:type="dxa"/>
              <w:bottom w:w="20" w:type="dxa"/>
              <w:right w:w="60" w:type="dxa"/>
            </w:tcMar>
            <w:vAlign w:val="top"/>
          </w:tcPr>
          <w:p>
            <w:pPr>
              <w:spacing w:after="10" w:before="0" w:line="240" w:lineRule="auto"/>
            </w:pPr>
            <w:r>
              <w:rPr>
                <w:sz w:val="17"/>
              </w:rPr>
              <w:t>round-off-sales</w:t>
            </w:r>
          </w:p>
        </w:tc>
        <w:tc>
          <w:tcPr>
            <w:tcW w:type="dxa" w:w="1108"/>
            <w:tcMar>
              <w:top w:w="20" w:type="dxa"/>
              <w:left w:w="60" w:type="dxa"/>
              <w:bottom w:w="20" w:type="dxa"/>
              <w:right w:w="60" w:type="dxa"/>
            </w:tcMar>
            <w:vAlign w:val="top"/>
          </w:tcPr>
          <w:p>
            <w:pPr>
              <w:spacing w:after="10" w:before="0" w:line="240" w:lineRule="auto"/>
              <w:jc w:val="right"/>
            </w:pPr>
            <w:r>
              <w:rPr>
                <w:sz w:val="17"/>
              </w:rPr>
              <w:t>0.50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Cost of Goods Sold</w:t>
            </w:r>
          </w:p>
        </w:tc>
        <w:tc>
          <w:tcPr>
            <w:tcW w:type="dxa" w:w="1970"/>
            <w:tcMar>
              <w:top w:w="20" w:type="dxa"/>
              <w:left w:w="60" w:type="dxa"/>
              <w:bottom w:w="20" w:type="dxa"/>
              <w:right w:w="60" w:type="dxa"/>
            </w:tcMar>
            <w:vAlign w:val="top"/>
          </w:tcPr>
          <w:p>
            <w:pPr>
              <w:spacing w:after="10" w:before="0" w:line="240" w:lineRule="auto"/>
            </w:pPr>
            <w:r>
              <w:rPr>
                <w:sz w:val="17"/>
              </w:rPr>
              <w:t>cogs</w:t>
            </w: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Sales Revenue</w:t>
            </w:r>
          </w:p>
        </w:tc>
        <w:tc>
          <w:tcPr>
            <w:tcW w:type="dxa" w:w="1970"/>
            <w:tcMar>
              <w:top w:w="20" w:type="dxa"/>
              <w:left w:w="60" w:type="dxa"/>
              <w:bottom w:w="20" w:type="dxa"/>
              <w:right w:w="60" w:type="dxa"/>
            </w:tcMar>
            <w:vAlign w:val="top"/>
          </w:tcPr>
          <w:p>
            <w:pPr>
              <w:spacing w:after="10" w:before="0" w:line="240" w:lineRule="auto"/>
            </w:pPr>
            <w:r>
              <w:rPr>
                <w:sz w:val="17"/>
              </w:rPr>
              <w:t>sales-revenue</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Output VAT</w:t>
            </w:r>
          </w:p>
        </w:tc>
        <w:tc>
          <w:tcPr>
            <w:tcW w:type="dxa" w:w="1970"/>
            <w:tcMar>
              <w:top w:w="20" w:type="dxa"/>
              <w:left w:w="60" w:type="dxa"/>
              <w:bottom w:w="20" w:type="dxa"/>
              <w:right w:w="60" w:type="dxa"/>
            </w:tcMar>
            <w:vAlign w:val="top"/>
          </w:tcPr>
          <w:p>
            <w:pPr>
              <w:spacing w:after="10" w:before="0" w:line="240" w:lineRule="auto"/>
            </w:pPr>
            <w:r>
              <w:rPr>
                <w:sz w:val="17"/>
              </w:rPr>
              <w:t>vat-sales</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Inventory Stock</w:t>
            </w:r>
          </w:p>
        </w:tc>
        <w:tc>
          <w:tcPr>
            <w:tcW w:type="dxa" w:w="1970"/>
            <w:tcMar>
              <w:top w:w="20" w:type="dxa"/>
              <w:left w:w="60" w:type="dxa"/>
              <w:bottom w:w="20" w:type="dxa"/>
              <w:right w:w="60" w:type="dxa"/>
            </w:tcMar>
            <w:vAlign w:val="top"/>
          </w:tcPr>
          <w:p>
            <w:pPr>
              <w:spacing w:after="10" w:before="0" w:line="240" w:lineRule="auto"/>
            </w:pPr>
            <w:r>
              <w:rPr>
                <w:sz w:val="17"/>
              </w:rPr>
              <w:t>inventory-asset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A round-off is kept only if the client's total differs from the computed total by AED 1.00 or less. A larger difference is treated as a client error and the computed total is used.</w:t>
            </w:r>
          </w:p>
        </w:tc>
      </w:tr>
    </w:tbl>
    <w:p>
      <w:pPr>
        <w:spacing w:after="0" w:before="0"/>
        <w:rPr>
          <w:sz w:val="8"/>
        </w:rPr>
      </w:pPr>
    </w:p>
    <w:p>
      <w:pPr>
        <w:pStyle w:val="Heading2"/>
      </w:pPr>
      <w:r>
        <w:t>3.3 Purchase return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Purchase return (document type purchase_return)</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Approval of a purchase return, with the conditions of a purchase invoice.</w:t>
            </w:r>
          </w:p>
          <w:p>
            <w:pPr>
              <w:keepNext/>
              <w:spacing w:after="10" w:before="0" w:line="240" w:lineRule="auto"/>
            </w:pPr>
            <w:r>
              <w:rPr>
                <w:sz w:val="17"/>
              </w:rPr>
              <w:t>If linked to an original: an approved purchase invoice of the same vendor; each line returns no more than the original quantity less earlier returns and no more than the value invoiced (OVER_RETURN, OVER_RETURN_VALUE); the return window and the 'link required' setting apply. An opening invoice cannot be returned.</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Keys used</w:t>
            </w:r>
          </w:p>
        </w:tc>
        <w:tc>
          <w:tcPr>
            <w:tcW w:type="dxa" w:w="7733"/>
            <w:tcMar>
              <w:top w:w="20" w:type="dxa"/>
              <w:left w:w="60" w:type="dxa"/>
              <w:bottom w:w="20" w:type="dxa"/>
              <w:right w:w="60" w:type="dxa"/>
            </w:tcMar>
          </w:tcPr>
          <w:p>
            <w:pPr>
              <w:spacing w:after="10" w:before="0" w:line="240" w:lineRule="auto"/>
            </w:pPr>
            <w:r>
              <w:rPr>
                <w:sz w:val="17"/>
              </w:rPr>
              <w:t>The purchase keys, in the opposite direction.</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Stock effect</w:t>
            </w:r>
          </w:p>
        </w:tc>
        <w:tc>
          <w:tcPr>
            <w:tcW w:type="dxa" w:w="7733"/>
            <w:tcMar>
              <w:top w:w="20" w:type="dxa"/>
              <w:left w:w="60" w:type="dxa"/>
              <w:bottom w:w="20" w:type="dxa"/>
              <w:right w:w="60" w:type="dxa"/>
            </w:tcMar>
          </w:tcPr>
          <w:p>
            <w:pPr>
              <w:spacing w:after="10" w:before="0" w:line="240" w:lineRule="auto"/>
            </w:pPr>
            <w:r>
              <w:rPr>
                <w:sz w:val="17"/>
              </w:rPr>
              <w:t>Stock leaves at the return line's VAT-exclusive value (the documented cost), from the batches of the original purchase when linked.</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Number, reversal</w:t>
            </w:r>
          </w:p>
        </w:tc>
        <w:tc>
          <w:tcPr>
            <w:tcW w:type="dxa" w:w="7733"/>
            <w:tcMar>
              <w:top w:w="20" w:type="dxa"/>
              <w:left w:w="60" w:type="dxa"/>
              <w:bottom w:w="20" w:type="dxa"/>
              <w:right w:w="60" w:type="dxa"/>
            </w:tcMar>
          </w:tcPr>
          <w:p>
            <w:pPr>
              <w:spacing w:after="10" w:before="0" w:line="240" w:lineRule="auto"/>
            </w:pPr>
            <w:r>
              <w:rPr>
                <w:sz w:val="17"/>
              </w:rPr>
              <w:t>PR-YYYY-NNNN. Reversed like any approved document; deleting a return frees its quantity.</w:t>
            </w:r>
          </w:p>
        </w:tc>
      </w:tr>
    </w:tbl>
    <w:p>
      <w:pPr>
        <w:spacing w:after="0" w:before="0"/>
        <w:rPr>
          <w:sz w:val="8"/>
        </w:rPr>
      </w:pPr>
    </w:p>
    <w:p>
      <w:pPr>
        <w:pStyle w:val="Caption"/>
      </w:pPr>
      <w:r>
        <w:t>Table 21. Purchase return: 20 bags at AED 10.00 with 5% VAT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Vendor - Gulf Mills</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r>
              <w:rPr>
                <w:sz w:val="17"/>
              </w:rPr>
              <w:t>210.00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200.00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Input VAT</w:t>
            </w:r>
          </w:p>
        </w:tc>
        <w:tc>
          <w:tcPr>
            <w:tcW w:type="dxa" w:w="2763"/>
            <w:tcMar>
              <w:top w:w="20" w:type="dxa"/>
              <w:left w:w="60" w:type="dxa"/>
              <w:bottom w:w="20" w:type="dxa"/>
              <w:right w:w="60" w:type="dxa"/>
            </w:tcMar>
            <w:vAlign w:val="top"/>
          </w:tcPr>
          <w:p>
            <w:pPr>
              <w:keepNext/>
              <w:spacing w:after="10" w:before="0" w:line="240" w:lineRule="auto"/>
            </w:pPr>
            <w:r>
              <w:rPr>
                <w:sz w:val="17"/>
              </w:rPr>
              <w:t>vat-purchase</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210.00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210.00</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A return does not reduce the outstanding amount of the invoice it returns. The credit stands on the vendor's account until a payment or a debit note is set against the invoice, so the ageing report, which reads invoices, does not net returns (section 4.10).</w:t>
            </w:r>
          </w:p>
        </w:tc>
      </w:tr>
    </w:tbl>
    <w:p>
      <w:pPr>
        <w:spacing w:after="0" w:before="0"/>
        <w:rPr>
          <w:sz w:val="8"/>
        </w:rPr>
      </w:pPr>
    </w:p>
    <w:p>
      <w:pPr>
        <w:pStyle w:val="Heading2"/>
      </w:pPr>
      <w:r>
        <w:t>3.4 Sales invoice and the cost of goods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Sales invoice (document type sales_order)</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 xml:space="preserve">Approval of a sales invoice. Open fiscal period; the customer exists; credit control passes (section 3.1); posting on; </w:t>
            </w:r>
            <w:r>
              <w:rPr>
                <w:rFonts w:ascii="Consolas" w:hAnsi="Consolas" w:eastAsia="Consolas"/>
                <w:sz w:val="16"/>
              </w:rPr>
              <w:t>sales-revenue</w:t>
            </w:r>
            <w:r>
              <w:rPr>
                <w:sz w:val="17"/>
              </w:rPr>
              <w:t xml:space="preserve">, </w:t>
            </w:r>
            <w:r>
              <w:rPr>
                <w:rFonts w:ascii="Consolas" w:hAnsi="Consolas" w:eastAsia="Consolas"/>
                <w:sz w:val="16"/>
              </w:rPr>
              <w:t>cogs</w:t>
            </w:r>
            <w:r>
              <w:rPr>
                <w:sz w:val="17"/>
              </w:rPr>
              <w:t xml:space="preserve">, </w:t>
            </w:r>
            <w:r>
              <w:rPr>
                <w:rFonts w:ascii="Consolas" w:hAnsi="Consolas" w:eastAsia="Consolas"/>
                <w:sz w:val="16"/>
              </w:rPr>
              <w:t>inventory-asset</w:t>
            </w:r>
            <w:r>
              <w:rPr>
                <w:sz w:val="17"/>
              </w:rPr>
              <w:t xml:space="preserve"> mapped, plus </w:t>
            </w:r>
            <w:r>
              <w:rPr>
                <w:rFonts w:ascii="Consolas" w:hAnsi="Consolas" w:eastAsia="Consolas"/>
                <w:sz w:val="16"/>
              </w:rPr>
              <w:t>vat-sales</w:t>
            </w:r>
            <w:r>
              <w:rPr>
                <w:sz w:val="17"/>
              </w:rPr>
              <w:t xml:space="preserve">, </w:t>
            </w:r>
            <w:r>
              <w:rPr>
                <w:rFonts w:ascii="Consolas" w:hAnsi="Consolas" w:eastAsia="Consolas"/>
                <w:sz w:val="16"/>
              </w:rPr>
              <w:t>discount-sales</w:t>
            </w:r>
            <w:r>
              <w:rPr>
                <w:sz w:val="17"/>
              </w:rPr>
              <w:t xml:space="preserve">, </w:t>
            </w:r>
            <w:r>
              <w:rPr>
                <w:rFonts w:ascii="Consolas" w:hAnsi="Consolas" w:eastAsia="Consolas"/>
                <w:sz w:val="16"/>
              </w:rPr>
              <w:t>freight-sales</w:t>
            </w:r>
            <w:r>
              <w:rPr>
                <w:sz w:val="17"/>
              </w:rPr>
              <w:t xml:space="preserve">, </w:t>
            </w:r>
            <w:r>
              <w:rPr>
                <w:rFonts w:ascii="Consolas" w:hAnsi="Consolas" w:eastAsia="Consolas"/>
                <w:sz w:val="16"/>
              </w:rPr>
              <w:t>round-off-sales</w:t>
            </w:r>
            <w:r>
              <w:rPr>
                <w:sz w:val="17"/>
              </w:rPr>
              <w:t xml:space="preserve"> when the document has VAT, discount, charges or a round-off.</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Revenue rule</w:t>
            </w:r>
          </w:p>
        </w:tc>
        <w:tc>
          <w:tcPr>
            <w:tcW w:type="dxa" w:w="7733"/>
            <w:tcMar>
              <w:top w:w="20" w:type="dxa"/>
              <w:left w:w="60" w:type="dxa"/>
              <w:bottom w:w="20" w:type="dxa"/>
              <w:right w:w="60" w:type="dxa"/>
            </w:tcMar>
          </w:tcPr>
          <w:p>
            <w:pPr>
              <w:spacing w:after="10" w:before="0" w:line="240" w:lineRule="auto"/>
            </w:pPr>
            <w:r>
              <w:rPr>
                <w:sz w:val="17"/>
              </w:rPr>
              <w:t xml:space="preserve">Revenue is posted </w:t>
            </w:r>
            <w:r>
              <w:rPr>
                <w:b/>
                <w:sz w:val="17"/>
              </w:rPr>
              <w:t>gross</w:t>
            </w:r>
            <w:r>
              <w:rPr>
                <w:sz w:val="17"/>
              </w:rPr>
              <w:t xml:space="preserve"> (quantity times price) and the discount is shown separately as an expense, so the discount given is visible in the books.</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Cost of goods</w:t>
            </w:r>
          </w:p>
        </w:tc>
        <w:tc>
          <w:tcPr>
            <w:tcW w:type="dxa" w:w="7733"/>
            <w:tcMar>
              <w:top w:w="20" w:type="dxa"/>
              <w:left w:w="60" w:type="dxa"/>
              <w:bottom w:w="20" w:type="dxa"/>
              <w:right w:w="60" w:type="dxa"/>
            </w:tcMar>
          </w:tcPr>
          <w:p>
            <w:pPr>
              <w:tabs>
                <w:tab w:pos="202" w:val="left"/>
              </w:tabs>
              <w:spacing w:after="10" w:before="0" w:line="240" w:lineRule="auto"/>
              <w:ind w:left="202" w:hanging="202"/>
            </w:pPr>
            <w:r>
              <w:rPr>
                <w:sz w:val="17"/>
              </w:rPr>
              <w:t>•</w:t>
              <w:tab/>
              <w:t>Stock leaves at quantity x the current average cost; the selling price never enters the cost.</w:t>
            </w:r>
          </w:p>
          <w:p>
            <w:pPr>
              <w:tabs>
                <w:tab w:pos="202" w:val="left"/>
              </w:tabs>
              <w:spacing w:after="10" w:before="0" w:line="240" w:lineRule="auto"/>
              <w:ind w:left="202" w:hanging="202"/>
            </w:pPr>
            <w:r>
              <w:rPr>
                <w:sz w:val="17"/>
              </w:rPr>
              <w:t>•</w:t>
              <w:tab/>
              <w:t xml:space="preserve">The cost of goods is not a separate voucher: it is the last two legs of the same posting (Dr </w:t>
            </w:r>
            <w:r>
              <w:rPr>
                <w:rFonts w:ascii="Consolas" w:hAnsi="Consolas" w:eastAsia="Consolas"/>
                <w:sz w:val="16"/>
              </w:rPr>
              <w:t>cogs</w:t>
            </w:r>
            <w:r>
              <w:rPr>
                <w:sz w:val="17"/>
              </w:rPr>
              <w:t xml:space="preserve">, Cr </w:t>
            </w:r>
            <w:r>
              <w:rPr>
                <w:rFonts w:ascii="Consolas" w:hAnsi="Consolas" w:eastAsia="Consolas"/>
                <w:sz w:val="16"/>
              </w:rPr>
              <w:t>inventory-asset</w:t>
            </w:r>
            <w:r>
              <w:rPr>
                <w:sz w:val="17"/>
              </w:rPr>
              <w:t>), equal to the sum of the cost each line moved.</w:t>
            </w:r>
          </w:p>
          <w:p>
            <w:pPr>
              <w:tabs>
                <w:tab w:pos="202" w:val="left"/>
              </w:tabs>
              <w:spacing w:after="10" w:before="0" w:line="240" w:lineRule="auto"/>
              <w:ind w:left="202" w:hanging="202"/>
            </w:pPr>
            <w:r>
              <w:rPr>
                <w:sz w:val="17"/>
              </w:rPr>
              <w:t>•</w:t>
              <w:tab/>
              <w:t>Batches are taken first-expiry-first-out; a customer's minimum shelf life skips batches that expire too soon.</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Number, reversal</w:t>
            </w:r>
          </w:p>
        </w:tc>
        <w:tc>
          <w:tcPr>
            <w:tcW w:type="dxa" w:w="7733"/>
            <w:tcMar>
              <w:top w:w="20" w:type="dxa"/>
              <w:left w:w="60" w:type="dxa"/>
              <w:bottom w:w="20" w:type="dxa"/>
              <w:right w:w="60" w:type="dxa"/>
            </w:tcMar>
          </w:tcPr>
          <w:p>
            <w:pPr>
              <w:spacing w:after="10" w:before="0" w:line="240" w:lineRule="auto"/>
            </w:pPr>
            <w:r>
              <w:rPr>
                <w:sz w:val="17"/>
              </w:rPr>
              <w:t>SO-YYYY-NNNN. Deleting the approved invoice returns stock to the batches it came from, reverses the ledger entries and restores the customer balance.</w:t>
            </w:r>
          </w:p>
        </w:tc>
      </w:tr>
    </w:tbl>
    <w:p>
      <w:pPr>
        <w:spacing w:after="0" w:before="0"/>
        <w:rPr>
          <w:sz w:val="8"/>
        </w:rPr>
      </w:pPr>
    </w:p>
    <w:p>
      <w:pPr>
        <w:pStyle w:val="Caption"/>
      </w:pPr>
      <w:r>
        <w:t>Table 22. Sales invoice, example A: 10 bags at AED 20.00 with 5% VAT, cost 10.00 a bag</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Customer - Al Noor</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r>
              <w:rPr>
                <w:sz w:val="17"/>
              </w:rPr>
              <w:t>210.00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Cost of Goods Sold</w:t>
            </w:r>
          </w:p>
        </w:tc>
        <w:tc>
          <w:tcPr>
            <w:tcW w:type="dxa" w:w="2763"/>
            <w:tcMar>
              <w:top w:w="20" w:type="dxa"/>
              <w:left w:w="60" w:type="dxa"/>
              <w:bottom w:w="20" w:type="dxa"/>
              <w:right w:w="60" w:type="dxa"/>
            </w:tcMar>
            <w:vAlign w:val="top"/>
          </w:tcPr>
          <w:p>
            <w:pPr>
              <w:keepNext/>
              <w:spacing w:after="10" w:before="0" w:line="240" w:lineRule="auto"/>
            </w:pPr>
            <w:r>
              <w:rPr>
                <w:sz w:val="17"/>
              </w:rPr>
              <w:t>cogs</w:t>
            </w:r>
          </w:p>
        </w:tc>
        <w:tc>
          <w:tcPr>
            <w:tcW w:type="dxa" w:w="1447"/>
            <w:tcMar>
              <w:top w:w="20" w:type="dxa"/>
              <w:left w:w="60" w:type="dxa"/>
              <w:bottom w:w="20" w:type="dxa"/>
              <w:right w:w="60" w:type="dxa"/>
            </w:tcMar>
            <w:vAlign w:val="top"/>
          </w:tcPr>
          <w:p>
            <w:pPr>
              <w:keepNext/>
              <w:spacing w:after="10" w:before="0" w:line="240" w:lineRule="auto"/>
              <w:jc w:val="right"/>
            </w:pPr>
            <w:r>
              <w:rPr>
                <w:sz w:val="17"/>
              </w:rPr>
              <w:t>100.00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Sales Revenue</w:t>
            </w:r>
          </w:p>
        </w:tc>
        <w:tc>
          <w:tcPr>
            <w:tcW w:type="dxa" w:w="2763"/>
            <w:tcMar>
              <w:top w:w="20" w:type="dxa"/>
              <w:left w:w="60" w:type="dxa"/>
              <w:bottom w:w="20" w:type="dxa"/>
              <w:right w:w="60" w:type="dxa"/>
            </w:tcMar>
            <w:vAlign w:val="top"/>
          </w:tcPr>
          <w:p>
            <w:pPr>
              <w:keepNext/>
              <w:spacing w:after="10" w:before="0" w:line="240" w:lineRule="auto"/>
            </w:pPr>
            <w:r>
              <w:rPr>
                <w:sz w:val="17"/>
              </w:rPr>
              <w:t>sales-revenue</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200.00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Output VAT</w:t>
            </w:r>
          </w:p>
        </w:tc>
        <w:tc>
          <w:tcPr>
            <w:tcW w:type="dxa" w:w="2763"/>
            <w:tcMar>
              <w:top w:w="20" w:type="dxa"/>
              <w:left w:w="60" w:type="dxa"/>
              <w:bottom w:w="20" w:type="dxa"/>
              <w:right w:w="60" w:type="dxa"/>
            </w:tcMar>
            <w:vAlign w:val="top"/>
          </w:tcPr>
          <w:p>
            <w:pPr>
              <w:keepNext/>
              <w:spacing w:after="10" w:before="0" w:line="240" w:lineRule="auto"/>
            </w:pPr>
            <w:r>
              <w:rPr>
                <w:sz w:val="17"/>
              </w:rPr>
              <w:t>vat-sales</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310.00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310.00</w:t>
            </w:r>
          </w:p>
        </w:tc>
      </w:tr>
    </w:tbl>
    <w:p>
      <w:pPr>
        <w:spacing w:after="0" w:before="0"/>
        <w:rPr>
          <w:sz w:val="6"/>
        </w:rPr>
      </w:pPr>
    </w:p>
    <w:p>
      <w:r>
        <w:t>Stock after the sale: 90 bags, cost value 900.00, average still 10.00; a sale never changes the average (inventoryCosting.test.js).</w:t>
      </w:r>
    </w:p>
    <w:p>
      <w:pPr>
        <w:pStyle w:val="Caption"/>
      </w:pPr>
      <w:r>
        <w:t>Table 23. Sales invoice, example B: 10 x 100.00, 10% line discount, freight 40.00, header discount 15.00, cost 100.00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Customer - Al Noor</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r>
              <w:rPr>
                <w:sz w:val="17"/>
              </w:rPr>
              <w:t>972.00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Sales Discounts Given</w:t>
            </w:r>
          </w:p>
        </w:tc>
        <w:tc>
          <w:tcPr>
            <w:tcW w:type="dxa" w:w="2763"/>
            <w:tcMar>
              <w:top w:w="20" w:type="dxa"/>
              <w:left w:w="60" w:type="dxa"/>
              <w:bottom w:w="20" w:type="dxa"/>
              <w:right w:w="60" w:type="dxa"/>
            </w:tcMar>
            <w:vAlign w:val="top"/>
          </w:tcPr>
          <w:p>
            <w:pPr>
              <w:keepNext/>
              <w:spacing w:after="10" w:before="0" w:line="240" w:lineRule="auto"/>
            </w:pPr>
            <w:r>
              <w:rPr>
                <w:sz w:val="17"/>
              </w:rPr>
              <w:t>discount-sales</w:t>
            </w:r>
          </w:p>
        </w:tc>
        <w:tc>
          <w:tcPr>
            <w:tcW w:type="dxa" w:w="1447"/>
            <w:tcMar>
              <w:top w:w="20" w:type="dxa"/>
              <w:left w:w="60" w:type="dxa"/>
              <w:bottom w:w="20" w:type="dxa"/>
              <w:right w:w="60" w:type="dxa"/>
            </w:tcMar>
            <w:vAlign w:val="top"/>
          </w:tcPr>
          <w:p>
            <w:pPr>
              <w:keepNext/>
              <w:spacing w:after="10" w:before="0" w:line="240" w:lineRule="auto"/>
              <w:jc w:val="right"/>
            </w:pPr>
            <w:r>
              <w:rPr>
                <w:sz w:val="17"/>
              </w:rPr>
              <w:t>115.00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Cost of Goods Sold</w:t>
            </w:r>
          </w:p>
        </w:tc>
        <w:tc>
          <w:tcPr>
            <w:tcW w:type="dxa" w:w="2763"/>
            <w:tcMar>
              <w:top w:w="20" w:type="dxa"/>
              <w:left w:w="60" w:type="dxa"/>
              <w:bottom w:w="20" w:type="dxa"/>
              <w:right w:w="60" w:type="dxa"/>
            </w:tcMar>
            <w:vAlign w:val="top"/>
          </w:tcPr>
          <w:p>
            <w:pPr>
              <w:keepNext/>
              <w:spacing w:after="10" w:before="0" w:line="240" w:lineRule="auto"/>
            </w:pPr>
            <w:r>
              <w:rPr>
                <w:sz w:val="17"/>
              </w:rPr>
              <w:t>cogs</w:t>
            </w:r>
          </w:p>
        </w:tc>
        <w:tc>
          <w:tcPr>
            <w:tcW w:type="dxa" w:w="1447"/>
            <w:tcMar>
              <w:top w:w="20" w:type="dxa"/>
              <w:left w:w="60" w:type="dxa"/>
              <w:bottom w:w="20" w:type="dxa"/>
              <w:right w:w="60" w:type="dxa"/>
            </w:tcMar>
            <w:vAlign w:val="top"/>
          </w:tcPr>
          <w:p>
            <w:pPr>
              <w:keepNext/>
              <w:spacing w:after="10" w:before="0" w:line="240" w:lineRule="auto"/>
              <w:jc w:val="right"/>
            </w:pPr>
            <w:r>
              <w:rPr>
                <w:sz w:val="17"/>
              </w:rPr>
              <w:t>100.00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Sales Revenue</w:t>
            </w:r>
          </w:p>
        </w:tc>
        <w:tc>
          <w:tcPr>
            <w:tcW w:type="dxa" w:w="2763"/>
            <w:tcMar>
              <w:top w:w="20" w:type="dxa"/>
              <w:left w:w="60" w:type="dxa"/>
              <w:bottom w:w="20" w:type="dxa"/>
              <w:right w:w="60" w:type="dxa"/>
            </w:tcMar>
            <w:vAlign w:val="top"/>
          </w:tcPr>
          <w:p>
            <w:pPr>
              <w:keepNext/>
              <w:spacing w:after="10" w:before="0" w:line="240" w:lineRule="auto"/>
            </w:pPr>
            <w:r>
              <w:rPr>
                <w:sz w:val="17"/>
              </w:rPr>
              <w:t>sales-revenue</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Freight Recovered</w:t>
            </w:r>
          </w:p>
        </w:tc>
        <w:tc>
          <w:tcPr>
            <w:tcW w:type="dxa" w:w="2763"/>
            <w:tcMar>
              <w:top w:w="20" w:type="dxa"/>
              <w:left w:w="60" w:type="dxa"/>
              <w:bottom w:w="20" w:type="dxa"/>
              <w:right w:w="60" w:type="dxa"/>
            </w:tcMar>
            <w:vAlign w:val="top"/>
          </w:tcPr>
          <w:p>
            <w:pPr>
              <w:keepNext/>
              <w:spacing w:after="10" w:before="0" w:line="240" w:lineRule="auto"/>
            </w:pPr>
            <w:r>
              <w:rPr>
                <w:sz w:val="17"/>
              </w:rPr>
              <w:t>freight-sales</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40.00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Output VAT</w:t>
            </w:r>
          </w:p>
        </w:tc>
        <w:tc>
          <w:tcPr>
            <w:tcW w:type="dxa" w:w="2763"/>
            <w:tcMar>
              <w:top w:w="20" w:type="dxa"/>
              <w:left w:w="60" w:type="dxa"/>
              <w:bottom w:w="20" w:type="dxa"/>
              <w:right w:w="60" w:type="dxa"/>
            </w:tcMar>
            <w:vAlign w:val="top"/>
          </w:tcPr>
          <w:p>
            <w:pPr>
              <w:keepNext/>
              <w:spacing w:after="10" w:before="0" w:line="240" w:lineRule="auto"/>
            </w:pPr>
            <w:r>
              <w:rPr>
                <w:sz w:val="17"/>
              </w:rPr>
              <w:t>vat-sales</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47.00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1,187.00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1,187.00</w:t>
            </w:r>
          </w:p>
        </w:tc>
      </w:tr>
    </w:tbl>
    <w:p>
      <w:pPr>
        <w:spacing w:after="0" w:before="0"/>
        <w:rPr>
          <w:sz w:val="6"/>
        </w:rPr>
      </w:pPr>
    </w:p>
    <w:p>
      <w:r>
        <w:t>Check: debits 972.00 + 115.00 + 100.00 = 1,187.00 = credits 1,000.00 + 40.00 + 47.00 + 100.00. The discount of 115.00 is the 100.00 line discount plus the 15.00 header discount (postingTemplates.test.js). After a back-dated purchase, the cost-of-goods legs of a posted sale are moved by the difference without touching its other legs (accountingFoundation.test.js: a sale re-costed from 400.00 to 480.00).</w:t>
      </w:r>
    </w:p>
    <w:p>
      <w:pPr>
        <w:pStyle w:val="Heading2"/>
      </w:pPr>
      <w:r>
        <w:t>3.5 Sales return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Sales return (document type sales_return)</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Approval of a sales return; as a sales invoice, without credit control (a return reduces exposure, so it is never blocked). A linked return follows the same quantity and value caps as a purchase return.</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Keys used</w:t>
            </w:r>
          </w:p>
        </w:tc>
        <w:tc>
          <w:tcPr>
            <w:tcW w:type="dxa" w:w="7733"/>
            <w:tcMar>
              <w:top w:w="20" w:type="dxa"/>
              <w:left w:w="60" w:type="dxa"/>
              <w:bottom w:w="20" w:type="dxa"/>
              <w:right w:w="60" w:type="dxa"/>
            </w:tcMar>
          </w:tcPr>
          <w:p>
            <w:pPr>
              <w:spacing w:after="10" w:before="0" w:line="240" w:lineRule="auto"/>
            </w:pPr>
            <w:r>
              <w:rPr>
                <w:sz w:val="17"/>
              </w:rPr>
              <w:t>The sales keys, in the opposite direction.</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Stock effect</w:t>
            </w:r>
          </w:p>
        </w:tc>
        <w:tc>
          <w:tcPr>
            <w:tcW w:type="dxa" w:w="7733"/>
            <w:tcMar>
              <w:top w:w="20" w:type="dxa"/>
              <w:left w:w="60" w:type="dxa"/>
              <w:bottom w:w="20" w:type="dxa"/>
              <w:right w:w="60" w:type="dxa"/>
            </w:tcMar>
          </w:tcPr>
          <w:p>
            <w:pPr>
              <w:tabs>
                <w:tab w:pos="202" w:val="left"/>
              </w:tabs>
              <w:spacing w:after="10" w:before="0" w:line="240" w:lineRule="auto"/>
              <w:ind w:left="202" w:hanging="202"/>
            </w:pPr>
            <w:r>
              <w:rPr>
                <w:sz w:val="17"/>
              </w:rPr>
              <w:t>•</w:t>
              <w:tab/>
              <w:t xml:space="preserve">A linked return restores stock at </w:t>
            </w:r>
            <w:r>
              <w:rPr>
                <w:b/>
                <w:sz w:val="17"/>
              </w:rPr>
              <w:t>the cost the goods were sold at</w:t>
            </w:r>
            <w:r>
              <w:rPr>
                <w:sz w:val="17"/>
              </w:rPr>
              <w:t>, never at the selling price or today's average, and goes back into the batches the goods came from.</w:t>
            </w:r>
          </w:p>
          <w:p>
            <w:pPr>
              <w:tabs>
                <w:tab w:pos="202" w:val="left"/>
              </w:tabs>
              <w:spacing w:after="10" w:before="0" w:line="240" w:lineRule="auto"/>
              <w:ind w:left="202" w:hanging="202"/>
            </w:pPr>
            <w:r>
              <w:rPr>
                <w:sz w:val="17"/>
              </w:rPr>
              <w:t>•</w:t>
              <w:tab/>
              <w:t>An unlinked return restores at the current average.</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Number, reversal</w:t>
            </w:r>
          </w:p>
        </w:tc>
        <w:tc>
          <w:tcPr>
            <w:tcW w:type="dxa" w:w="7733"/>
            <w:tcMar>
              <w:top w:w="20" w:type="dxa"/>
              <w:left w:w="60" w:type="dxa"/>
              <w:bottom w:w="20" w:type="dxa"/>
              <w:right w:w="60" w:type="dxa"/>
            </w:tcMar>
          </w:tcPr>
          <w:p>
            <w:pPr>
              <w:spacing w:after="10" w:before="0" w:line="240" w:lineRule="auto"/>
            </w:pPr>
            <w:r>
              <w:rPr>
                <w:sz w:val="17"/>
              </w:rPr>
              <w:t>SR-YYYY-NNNN. Reversed like any approved document.</w:t>
            </w:r>
          </w:p>
        </w:tc>
      </w:tr>
    </w:tbl>
    <w:p>
      <w:pPr>
        <w:spacing w:after="0" w:before="0"/>
        <w:rPr>
          <w:sz w:val="8"/>
        </w:rPr>
      </w:pPr>
    </w:p>
    <w:p>
      <w:pPr>
        <w:pStyle w:val="Caption"/>
      </w:pPr>
      <w:r>
        <w:t>Table 24. Sales return: 2 bags at AED 20.00 with 5% VAT, sold at a cost of 10.00 a bag</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Sales Revenue</w:t>
            </w:r>
          </w:p>
        </w:tc>
        <w:tc>
          <w:tcPr>
            <w:tcW w:type="dxa" w:w="2763"/>
            <w:tcMar>
              <w:top w:w="20" w:type="dxa"/>
              <w:left w:w="60" w:type="dxa"/>
              <w:bottom w:w="20" w:type="dxa"/>
              <w:right w:w="60" w:type="dxa"/>
            </w:tcMar>
            <w:vAlign w:val="top"/>
          </w:tcPr>
          <w:p>
            <w:pPr>
              <w:keepNext/>
              <w:spacing w:after="10" w:before="0" w:line="240" w:lineRule="auto"/>
            </w:pPr>
            <w:r>
              <w:rPr>
                <w:sz w:val="17"/>
              </w:rPr>
              <w:t>sales-revenue</w:t>
            </w:r>
          </w:p>
        </w:tc>
        <w:tc>
          <w:tcPr>
            <w:tcW w:type="dxa" w:w="1447"/>
            <w:tcMar>
              <w:top w:w="20" w:type="dxa"/>
              <w:left w:w="60" w:type="dxa"/>
              <w:bottom w:w="20" w:type="dxa"/>
              <w:right w:w="60" w:type="dxa"/>
            </w:tcMar>
            <w:vAlign w:val="top"/>
          </w:tcPr>
          <w:p>
            <w:pPr>
              <w:keepNext/>
              <w:spacing w:after="10" w:before="0" w:line="240" w:lineRule="auto"/>
              <w:jc w:val="right"/>
            </w:pPr>
            <w:r>
              <w:rPr>
                <w:sz w:val="17"/>
              </w:rPr>
              <w:t>40.00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Output VAT</w:t>
            </w:r>
          </w:p>
        </w:tc>
        <w:tc>
          <w:tcPr>
            <w:tcW w:type="dxa" w:w="2763"/>
            <w:tcMar>
              <w:top w:w="20" w:type="dxa"/>
              <w:left w:w="60" w:type="dxa"/>
              <w:bottom w:w="20" w:type="dxa"/>
              <w:right w:w="60" w:type="dxa"/>
            </w:tcMar>
            <w:vAlign w:val="top"/>
          </w:tcPr>
          <w:p>
            <w:pPr>
              <w:keepNext/>
              <w:spacing w:after="10" w:before="0" w:line="240" w:lineRule="auto"/>
            </w:pPr>
            <w:r>
              <w:rPr>
                <w:sz w:val="17"/>
              </w:rPr>
              <w:t>vat-sales</w:t>
            </w:r>
          </w:p>
        </w:tc>
        <w:tc>
          <w:tcPr>
            <w:tcW w:type="dxa" w:w="1447"/>
            <w:tcMar>
              <w:top w:w="20" w:type="dxa"/>
              <w:left w:w="60" w:type="dxa"/>
              <w:bottom w:w="20" w:type="dxa"/>
              <w:right w:w="60" w:type="dxa"/>
            </w:tcMar>
            <w:vAlign w:val="top"/>
          </w:tcPr>
          <w:p>
            <w:pPr>
              <w:keepNext/>
              <w:spacing w:after="10" w:before="0" w:line="240" w:lineRule="auto"/>
              <w:jc w:val="right"/>
            </w:pPr>
            <w:r>
              <w:rPr>
                <w:sz w:val="17"/>
              </w:rPr>
              <w:t>2.00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r>
              <w:rPr>
                <w:sz w:val="17"/>
              </w:rPr>
              <w:t>20.00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Customer - Al Noor</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42.00</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Cost of Goods Sold</w:t>
            </w:r>
          </w:p>
        </w:tc>
        <w:tc>
          <w:tcPr>
            <w:tcW w:type="dxa" w:w="2763"/>
            <w:tcMar>
              <w:top w:w="20" w:type="dxa"/>
              <w:left w:w="60" w:type="dxa"/>
              <w:bottom w:w="20" w:type="dxa"/>
              <w:right w:w="60" w:type="dxa"/>
            </w:tcMar>
            <w:vAlign w:val="top"/>
          </w:tcPr>
          <w:p>
            <w:pPr>
              <w:keepNext/>
              <w:spacing w:after="10" w:before="0" w:line="240" w:lineRule="auto"/>
            </w:pPr>
            <w:r>
              <w:rPr>
                <w:sz w:val="17"/>
              </w:rPr>
              <w:t>cogs</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20.00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62.00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62.00</w:t>
            </w:r>
          </w:p>
        </w:tc>
      </w:tr>
    </w:tbl>
    <w:p>
      <w:pPr>
        <w:spacing w:after="0" w:before="0"/>
        <w:rPr>
          <w:sz w:val="6"/>
        </w:rPr>
      </w:pPr>
    </w:p>
    <w:p>
      <w:r>
        <w:t>Test evidence: a sale at cost 10.00, then a purchase that moves the average above 10.00, then a linked return of the whole sale: the stock comes back at the original cost (returnsAgeingCredit.test.js).</w:t>
      </w:r>
    </w:p>
    <w:p>
      <w:pPr>
        <w:pStyle w:val="Heading2"/>
      </w:pPr>
      <w:r>
        <w:t>3.6 Receipts and payments: allocation and advances</w:t>
      </w:r>
    </w:p>
    <w:p>
      <w:r>
        <w:t>A receipt is money from a customer; a payment is money to a vendor. Both are vouchers, approved and posted when saved. The party side is the same for every mode; the money side depends on the mode (sections 3.7 to 3.9).</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Receipt voucher and payment voucher</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w:t>
            </w:r>
          </w:p>
        </w:tc>
        <w:tc>
          <w:tcPr>
            <w:tcW w:type="dxa" w:w="7733"/>
            <w:tcMar>
              <w:top w:w="20" w:type="dxa"/>
              <w:left w:w="60" w:type="dxa"/>
              <w:bottom w:w="20" w:type="dxa"/>
              <w:right w:w="60" w:type="dxa"/>
            </w:tcMar>
          </w:tcPr>
          <w:p>
            <w:pPr>
              <w:keepNext/>
              <w:spacing w:after="10" w:before="0" w:line="240" w:lineRule="auto"/>
            </w:pPr>
            <w:r>
              <w:rPr>
                <w:sz w:val="17"/>
              </w:rPr>
              <w:t>Saving a receipt or payment voucher. Its entries are posted whether the posting switch is on or off.</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Money side, party side</w:t>
            </w:r>
          </w:p>
        </w:tc>
        <w:tc>
          <w:tcPr>
            <w:tcW w:type="dxa" w:w="7733"/>
            <w:tcMar>
              <w:top w:w="20" w:type="dxa"/>
              <w:left w:w="60" w:type="dxa"/>
              <w:bottom w:w="20" w:type="dxa"/>
              <w:right w:w="60" w:type="dxa"/>
            </w:tcMar>
          </w:tcPr>
          <w:p>
            <w:pPr>
              <w:tabs>
                <w:tab w:pos="202" w:val="left"/>
              </w:tabs>
              <w:spacing w:after="10" w:before="0" w:line="240" w:lineRule="auto"/>
              <w:ind w:left="202" w:hanging="202"/>
            </w:pPr>
            <w:r>
              <w:rPr>
                <w:sz w:val="17"/>
              </w:rPr>
              <w:t>•</w:t>
              <w:tab/>
              <w:t>A receipt debits the money legs; a payment credits them.</w:t>
            </w:r>
          </w:p>
          <w:p>
            <w:pPr>
              <w:tabs>
                <w:tab w:pos="202" w:val="left"/>
              </w:tabs>
              <w:spacing w:after="10" w:before="0" w:line="240" w:lineRule="auto"/>
              <w:ind w:left="202" w:hanging="202"/>
            </w:pPr>
            <w:r>
              <w:rPr>
                <w:sz w:val="17"/>
              </w:rPr>
              <w:t>•</w:t>
              <w:tab/>
              <w:t xml:space="preserve">The part set against invoices goes to the party's own account: Cr </w:t>
            </w:r>
            <w:r>
              <w:rPr>
                <w:rFonts w:ascii="Consolas" w:hAnsi="Consolas" w:eastAsia="Consolas"/>
                <w:sz w:val="16"/>
              </w:rPr>
              <w:t>Customer - name</w:t>
            </w:r>
            <w:r>
              <w:rPr>
                <w:sz w:val="17"/>
              </w:rPr>
              <w:t xml:space="preserve"> on a receipt, Dr </w:t>
            </w:r>
            <w:r>
              <w:rPr>
                <w:rFonts w:ascii="Consolas" w:hAnsi="Consolas" w:eastAsia="Consolas"/>
                <w:sz w:val="16"/>
              </w:rPr>
              <w:t>Vendor - name</w:t>
            </w:r>
            <w:r>
              <w:rPr>
                <w:sz w:val="17"/>
              </w:rPr>
              <w:t xml:space="preserve"> on a payment.</w:t>
            </w:r>
          </w:p>
          <w:p>
            <w:pPr>
              <w:tabs>
                <w:tab w:pos="202" w:val="left"/>
              </w:tabs>
              <w:spacing w:after="10" w:before="0" w:line="240" w:lineRule="auto"/>
              <w:ind w:left="202" w:hanging="202"/>
            </w:pPr>
            <w:r>
              <w:rPr>
                <w:sz w:val="17"/>
              </w:rPr>
              <w:t>•</w:t>
              <w:tab/>
              <w:t xml:space="preserve">The rest is an advance: Cr </w:t>
            </w:r>
            <w:r>
              <w:rPr>
                <w:rFonts w:ascii="Consolas" w:hAnsi="Consolas" w:eastAsia="Consolas"/>
                <w:sz w:val="16"/>
              </w:rPr>
              <w:t>Customer Advance - name</w:t>
            </w:r>
            <w:r>
              <w:rPr>
                <w:sz w:val="17"/>
              </w:rPr>
              <w:t xml:space="preserve"> on a receipt, Dr </w:t>
            </w:r>
            <w:r>
              <w:rPr>
                <w:rFonts w:ascii="Consolas" w:hAnsi="Consolas" w:eastAsia="Consolas"/>
                <w:sz w:val="16"/>
              </w:rPr>
              <w:t>Advance to Vendor - name</w:t>
            </w:r>
            <w:r>
              <w:rPr>
                <w:sz w:val="17"/>
              </w:rPr>
              <w:t xml:space="preserve"> on a payment.</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Allocation rule</w:t>
            </w:r>
          </w:p>
        </w:tc>
        <w:tc>
          <w:tcPr>
            <w:tcW w:type="dxa" w:w="7733"/>
            <w:tcMar>
              <w:top w:w="20" w:type="dxa"/>
              <w:left w:w="60" w:type="dxa"/>
              <w:bottom w:w="20" w:type="dxa"/>
              <w:right w:w="60" w:type="dxa"/>
            </w:tcMar>
          </w:tcPr>
          <w:p>
            <w:pPr>
              <w:tabs>
                <w:tab w:pos="202" w:val="left"/>
              </w:tabs>
              <w:spacing w:after="10" w:before="0" w:line="240" w:lineRule="auto"/>
              <w:ind w:left="202" w:hanging="202"/>
            </w:pPr>
            <w:r>
              <w:rPr>
                <w:sz w:val="17"/>
              </w:rPr>
              <w:t>•</w:t>
              <w:tab/>
              <w:t>Each linked invoice must belong to the same party. The voucher states the amount allocated and the balance left, and the invoice's current outstanding amount must equal their sum to within 0.01, otherwise the voucher is refused (HTTP 409).</w:t>
            </w:r>
          </w:p>
          <w:p>
            <w:pPr>
              <w:tabs>
                <w:tab w:pos="202" w:val="left"/>
              </w:tabs>
              <w:spacing w:after="10" w:before="0" w:line="240" w:lineRule="auto"/>
              <w:ind w:left="202" w:hanging="202"/>
            </w:pPr>
            <w:r>
              <w:rPr>
                <w:sz w:val="17"/>
              </w:rPr>
              <w:t>•</w:t>
              <w:tab/>
              <w:t xml:space="preserve">The invoice's </w:t>
            </w:r>
            <w:r>
              <w:rPr>
                <w:rFonts w:ascii="Consolas" w:hAnsi="Consolas" w:eastAsia="Consolas"/>
                <w:sz w:val="16"/>
              </w:rPr>
              <w:t>paidAmount</w:t>
            </w:r>
            <w:r>
              <w:rPr>
                <w:sz w:val="17"/>
              </w:rPr>
              <w:t xml:space="preserve"> rises and </w:t>
            </w:r>
            <w:r>
              <w:rPr>
                <w:rFonts w:ascii="Consolas" w:hAnsi="Consolas" w:eastAsia="Consolas"/>
                <w:sz w:val="16"/>
              </w:rPr>
              <w:t>outstandingAmount</w:t>
            </w:r>
            <w:r>
              <w:rPr>
                <w:sz w:val="17"/>
              </w:rPr>
              <w:t xml:space="preserve"> is set to the stated balance; its status stays APPROVED. Total allocated cannot exceed the voucher total; on-account amount = total - allocated.</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Keys, numbers</w:t>
            </w:r>
          </w:p>
        </w:tc>
        <w:tc>
          <w:tcPr>
            <w:tcW w:type="dxa" w:w="7733"/>
            <w:tcMar>
              <w:top w:w="20" w:type="dxa"/>
              <w:left w:w="60" w:type="dxa"/>
              <w:bottom w:w="20" w:type="dxa"/>
              <w:right w:w="60" w:type="dxa"/>
            </w:tcMar>
          </w:tcPr>
          <w:p>
            <w:pPr>
              <w:spacing w:after="10" w:before="0" w:line="240" w:lineRule="auto"/>
            </w:pPr>
            <w:r>
              <w:rPr>
                <w:sz w:val="17"/>
              </w:rPr>
              <w:t xml:space="preserve">The cash or bank group keys, </w:t>
            </w:r>
            <w:r>
              <w:rPr>
                <w:rFonts w:ascii="Consolas" w:hAnsi="Consolas" w:eastAsia="Consolas"/>
                <w:sz w:val="16"/>
              </w:rPr>
              <w:t>pdc-receipt</w:t>
            </w:r>
            <w:r>
              <w:rPr>
                <w:sz w:val="17"/>
              </w:rPr>
              <w:t xml:space="preserve"> or </w:t>
            </w:r>
            <w:r>
              <w:rPr>
                <w:rFonts w:ascii="Consolas" w:hAnsi="Consolas" w:eastAsia="Consolas"/>
                <w:sz w:val="16"/>
              </w:rPr>
              <w:t>pdc-issue</w:t>
            </w:r>
            <w:r>
              <w:rPr>
                <w:sz w:val="17"/>
              </w:rPr>
              <w:t xml:space="preserve">, </w:t>
            </w:r>
            <w:r>
              <w:rPr>
                <w:rFonts w:ascii="Consolas" w:hAnsi="Consolas" w:eastAsia="Consolas"/>
                <w:sz w:val="16"/>
              </w:rPr>
              <w:t>card-charges</w:t>
            </w:r>
            <w:r>
              <w:rPr>
                <w:sz w:val="17"/>
              </w:rPr>
              <w:t>, as the mode needs; party accounts. RV-YYYY-NNNN for receipts, PV-YYYY-NNNN for payments.</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Edit, delete</w:t>
            </w:r>
          </w:p>
        </w:tc>
        <w:tc>
          <w:tcPr>
            <w:tcW w:type="dxa" w:w="7733"/>
            <w:tcMar>
              <w:top w:w="20" w:type="dxa"/>
              <w:left w:w="60" w:type="dxa"/>
              <w:bottom w:w="20" w:type="dxa"/>
              <w:right w:w="60" w:type="dxa"/>
            </w:tcMar>
          </w:tcPr>
          <w:p>
            <w:pPr>
              <w:spacing w:after="10" w:before="0" w:line="240" w:lineRule="auto"/>
            </w:pPr>
            <w:r>
              <w:rPr>
                <w:sz w:val="17"/>
              </w:rPr>
              <w:t>An approved voucher is edited only with the force flag: its entries and allocations are reversed and it is posted again. Deleting reverses entries, allocations and statement-log rows and marks the voucher 'cancelled'.</w:t>
            </w:r>
          </w:p>
        </w:tc>
      </w:tr>
    </w:tbl>
    <w:p>
      <w:pPr>
        <w:spacing w:after="0" w:before="0"/>
        <w:rPr>
          <w:sz w:val="8"/>
        </w:rPr>
      </w:pPr>
    </w:p>
    <w:p>
      <w:pPr>
        <w:pStyle w:val="Caption"/>
      </w:pPr>
      <w:r>
        <w:t>Table 25. Cash receipts and a payment (the second and fourth events are tests: ledgerReports.test.js)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Receipt 100.00 cash, set against invoice SO of 210.00 (110.00 stays outstanding)</w:t>
            </w:r>
          </w:p>
        </w:tc>
        <w:tc>
          <w:tcPr>
            <w:tcW w:type="dxa" w:w="2709"/>
            <w:tcMar>
              <w:top w:w="20" w:type="dxa"/>
              <w:left w:w="60" w:type="dxa"/>
              <w:bottom w:w="20" w:type="dxa"/>
              <w:right w:w="60" w:type="dxa"/>
            </w:tcMar>
            <w:vAlign w:val="top"/>
          </w:tcPr>
          <w:p>
            <w:pPr>
              <w:spacing w:after="10" w:before="0" w:line="240" w:lineRule="auto"/>
            </w:pPr>
            <w:r>
              <w:rPr>
                <w:sz w:val="17"/>
              </w:rPr>
              <w:t>Cash in Hand</w:t>
            </w:r>
          </w:p>
        </w:tc>
        <w:tc>
          <w:tcPr>
            <w:tcW w:type="dxa" w:w="1970"/>
            <w:tcMar>
              <w:top w:w="20" w:type="dxa"/>
              <w:left w:w="60" w:type="dxa"/>
              <w:bottom w:w="20" w:type="dxa"/>
              <w:right w:w="60" w:type="dxa"/>
            </w:tcMar>
            <w:vAlign w:val="top"/>
          </w:tcPr>
          <w:p>
            <w:pPr>
              <w:spacing w:after="10" w:before="0" w:line="240" w:lineRule="auto"/>
            </w:pPr>
            <w:r>
              <w:rPr>
                <w:sz w:val="17"/>
              </w:rPr>
              <w:t>cash-account-group</w:t>
            </w: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Receipt 100.00 cash, not set against an invoice</w:t>
            </w:r>
          </w:p>
        </w:tc>
        <w:tc>
          <w:tcPr>
            <w:tcW w:type="dxa" w:w="2709"/>
            <w:tcMar>
              <w:top w:w="20" w:type="dxa"/>
              <w:left w:w="60" w:type="dxa"/>
              <w:bottom w:w="20" w:type="dxa"/>
              <w:right w:w="60" w:type="dxa"/>
            </w:tcMar>
            <w:vAlign w:val="top"/>
          </w:tcPr>
          <w:p>
            <w:pPr>
              <w:spacing w:after="10" w:before="0" w:line="240" w:lineRule="auto"/>
            </w:pPr>
            <w:r>
              <w:rPr>
                <w:sz w:val="17"/>
              </w:rPr>
              <w:t>Cash in Hand</w:t>
            </w:r>
          </w:p>
        </w:tc>
        <w:tc>
          <w:tcPr>
            <w:tcW w:type="dxa" w:w="1970"/>
            <w:tcMar>
              <w:top w:w="20" w:type="dxa"/>
              <w:left w:w="60" w:type="dxa"/>
              <w:bottom w:w="20" w:type="dxa"/>
              <w:right w:w="60" w:type="dxa"/>
            </w:tcMar>
            <w:vAlign w:val="top"/>
          </w:tcPr>
          <w:p>
            <w:pPr>
              <w:spacing w:after="10" w:before="0" w:line="240" w:lineRule="auto"/>
            </w:pPr>
            <w:r>
              <w:rPr>
                <w:sz w:val="17"/>
              </w:rPr>
              <w:t>cash-account-group</w:t>
            </w: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Advance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Receipt 150.00 cash: 105.00 set against an invoice, 45.00 on account</w:t>
            </w:r>
          </w:p>
        </w:tc>
        <w:tc>
          <w:tcPr>
            <w:tcW w:type="dxa" w:w="2709"/>
            <w:tcMar>
              <w:top w:w="20" w:type="dxa"/>
              <w:left w:w="60" w:type="dxa"/>
              <w:bottom w:w="20" w:type="dxa"/>
              <w:right w:w="60" w:type="dxa"/>
            </w:tcMar>
            <w:vAlign w:val="top"/>
          </w:tcPr>
          <w:p>
            <w:pPr>
              <w:spacing w:after="10" w:before="0" w:line="240" w:lineRule="auto"/>
            </w:pPr>
            <w:r>
              <w:rPr>
                <w:sz w:val="17"/>
              </w:rPr>
              <w:t>Cash in Hand</w:t>
            </w:r>
          </w:p>
        </w:tc>
        <w:tc>
          <w:tcPr>
            <w:tcW w:type="dxa" w:w="1970"/>
            <w:tcMar>
              <w:top w:w="20" w:type="dxa"/>
              <w:left w:w="60" w:type="dxa"/>
              <w:bottom w:w="20" w:type="dxa"/>
              <w:right w:w="60" w:type="dxa"/>
            </w:tcMar>
            <w:vAlign w:val="top"/>
          </w:tcPr>
          <w:p>
            <w:pPr>
              <w:spacing w:after="10" w:before="0" w:line="240" w:lineRule="auto"/>
            </w:pPr>
            <w:r>
              <w:rPr>
                <w:sz w:val="17"/>
              </w:rPr>
              <w:t>cash-account-group</w:t>
            </w:r>
          </w:p>
        </w:tc>
        <w:tc>
          <w:tcPr>
            <w:tcW w:type="dxa" w:w="1108"/>
            <w:tcMar>
              <w:top w:w="20" w:type="dxa"/>
              <w:left w:w="60" w:type="dxa"/>
              <w:bottom w:w="20" w:type="dxa"/>
              <w:right w:w="60" w:type="dxa"/>
            </w:tcMar>
            <w:vAlign w:val="top"/>
          </w:tcPr>
          <w:p>
            <w:pPr>
              <w:spacing w:after="10" w:before="0" w:line="240" w:lineRule="auto"/>
              <w:jc w:val="right"/>
            </w:pPr>
            <w:r>
              <w:rPr>
                <w:sz w:val="17"/>
              </w:rPr>
              <w:t>150.00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105.00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Advance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45.00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Payment 300.00 cash to a vendor, not set against an invoice</w:t>
            </w:r>
          </w:p>
        </w:tc>
        <w:tc>
          <w:tcPr>
            <w:tcW w:type="dxa" w:w="2709"/>
            <w:tcMar>
              <w:top w:w="20" w:type="dxa"/>
              <w:left w:w="60" w:type="dxa"/>
              <w:bottom w:w="20" w:type="dxa"/>
              <w:right w:w="60" w:type="dxa"/>
            </w:tcMar>
            <w:vAlign w:val="top"/>
          </w:tcPr>
          <w:p>
            <w:pPr>
              <w:spacing w:after="10" w:before="0" w:line="240" w:lineRule="auto"/>
            </w:pPr>
            <w:r>
              <w:rPr>
                <w:sz w:val="17"/>
              </w:rPr>
              <w:t>Advance to Vendor - Gulf Mills</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r>
              <w:rPr>
                <w:sz w:val="17"/>
              </w:rPr>
              <w:t>300.00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Cash in Hand</w:t>
            </w:r>
          </w:p>
        </w:tc>
        <w:tc>
          <w:tcPr>
            <w:tcW w:type="dxa" w:w="1970"/>
            <w:tcMar>
              <w:top w:w="20" w:type="dxa"/>
              <w:left w:w="60" w:type="dxa"/>
              <w:bottom w:w="20" w:type="dxa"/>
              <w:right w:w="60" w:type="dxa"/>
            </w:tcMar>
            <w:vAlign w:val="top"/>
          </w:tcPr>
          <w:p>
            <w:pPr>
              <w:spacing w:after="10" w:before="0" w:line="240" w:lineRule="auto"/>
            </w:pPr>
            <w:r>
              <w:rPr>
                <w:sz w:val="17"/>
              </w:rPr>
              <w:t>cash-account-group</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300.00</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There is no action that applies an advance to a later invoice; the way is to edit the receipt or payment and allocate it. Until then the advance reduces the party's balance in the party-balances report while the ageing report still shows the invoice as outstanding (section 5.2).</w:t>
            </w:r>
          </w:p>
        </w:tc>
      </w:tr>
    </w:tbl>
    <w:p>
      <w:pPr>
        <w:spacing w:after="0" w:before="0"/>
        <w:rPr>
          <w:sz w:val="8"/>
        </w:rPr>
      </w:pPr>
    </w:p>
    <w:p>
      <w:pPr>
        <w:pStyle w:val="Heading2"/>
      </w:pPr>
      <w:r>
        <w:t>3.7 Cash, bank and transfer</w:t>
      </w:r>
    </w:p>
    <w:p>
      <w:pPr>
        <w:pStyle w:val="Caption"/>
      </w:pPr>
      <w:r>
        <w:t>Table 26. Cash, bank and transfer (PaymentModeService.resolve)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003"/>
        <w:gridCol w:w="3153"/>
        <w:gridCol w:w="2437"/>
        <w:gridCol w:w="2150"/>
        <w:gridCol w:w="860"/>
      </w:tblGrid>
      <w:tr>
        <w:trPr>
          <w:tblHeader w:val="true"/>
          <w:cantSplit w:val="true"/>
        </w:trPr>
        <w:tc>
          <w:tcPr>
            <w:tcW w:type="dxa" w:w="1003"/>
            <w:shd w:val="clear" w:color="auto" w:fill="1F3A5F"/>
            <w:tcMar>
              <w:top w:w="20" w:type="dxa"/>
              <w:left w:w="60" w:type="dxa"/>
              <w:bottom w:w="20" w:type="dxa"/>
              <w:right w:w="60" w:type="dxa"/>
            </w:tcMar>
            <w:vAlign w:val="center"/>
          </w:tcPr>
          <w:p>
            <w:pPr>
              <w:spacing w:after="10" w:before="0" w:line="240" w:lineRule="auto"/>
            </w:pPr>
            <w:r>
              <w:rPr>
                <w:b/>
                <w:color w:val="FFFFFF"/>
                <w:sz w:val="17"/>
              </w:rPr>
              <w:t>Mode</w:t>
            </w:r>
          </w:p>
        </w:tc>
        <w:tc>
          <w:tcPr>
            <w:tcW w:type="dxa" w:w="3154"/>
            <w:shd w:val="clear" w:color="auto" w:fill="1F3A5F"/>
            <w:tcMar>
              <w:top w:w="20" w:type="dxa"/>
              <w:left w:w="60" w:type="dxa"/>
              <w:bottom w:w="20" w:type="dxa"/>
              <w:right w:w="60" w:type="dxa"/>
            </w:tcMar>
            <w:vAlign w:val="center"/>
          </w:tcPr>
          <w:p>
            <w:pPr>
              <w:spacing w:after="10" w:before="0" w:line="240" w:lineRule="auto"/>
            </w:pPr>
            <w:r>
              <w:rPr>
                <w:b/>
                <w:color w:val="FFFFFF"/>
                <w:sz w:val="17"/>
              </w:rPr>
              <w:t>Account used</w:t>
            </w:r>
          </w:p>
        </w:tc>
        <w:tc>
          <w:tcPr>
            <w:tcW w:type="dxa" w:w="2437"/>
            <w:shd w:val="clear" w:color="auto" w:fill="1F3A5F"/>
            <w:tcMar>
              <w:top w:w="20" w:type="dxa"/>
              <w:left w:w="60" w:type="dxa"/>
              <w:bottom w:w="20" w:type="dxa"/>
              <w:right w:w="60" w:type="dxa"/>
            </w:tcMar>
            <w:vAlign w:val="center"/>
          </w:tcPr>
          <w:p>
            <w:pPr>
              <w:spacing w:after="10" w:before="0" w:line="240" w:lineRule="auto"/>
            </w:pPr>
            <w:r>
              <w:rPr>
                <w:b/>
                <w:color w:val="FFFFFF"/>
                <w:sz w:val="17"/>
              </w:rPr>
              <w:t>Required details</w:t>
            </w:r>
          </w:p>
        </w:tc>
        <w:tc>
          <w:tcPr>
            <w:tcW w:type="dxa" w:w="2150"/>
            <w:shd w:val="clear" w:color="auto" w:fill="1F3A5F"/>
            <w:tcMar>
              <w:top w:w="20" w:type="dxa"/>
              <w:left w:w="60" w:type="dxa"/>
              <w:bottom w:w="20" w:type="dxa"/>
              <w:right w:w="60" w:type="dxa"/>
            </w:tcMar>
            <w:vAlign w:val="center"/>
          </w:tcPr>
          <w:p>
            <w:pPr>
              <w:spacing w:after="10" w:before="0" w:line="240" w:lineRule="auto"/>
            </w:pPr>
            <w:r>
              <w:rPr>
                <w:b/>
                <w:color w:val="FFFFFF"/>
                <w:sz w:val="17"/>
              </w:rPr>
              <w:t>Money-side entry</w:t>
            </w:r>
          </w:p>
        </w:tc>
        <w:tc>
          <w:tcPr>
            <w:tcW w:type="dxa" w:w="860"/>
            <w:shd w:val="clear" w:color="auto" w:fill="1F3A5F"/>
            <w:tcMar>
              <w:top w:w="20" w:type="dxa"/>
              <w:left w:w="60" w:type="dxa"/>
              <w:bottom w:w="20" w:type="dxa"/>
              <w:right w:w="60" w:type="dxa"/>
            </w:tcMar>
            <w:vAlign w:val="center"/>
          </w:tcPr>
          <w:p>
            <w:pPr>
              <w:spacing w:after="10" w:before="0" w:line="240" w:lineRule="auto"/>
            </w:pPr>
            <w:r>
              <w:rPr>
                <w:b/>
                <w:color w:val="FFFFFF"/>
                <w:sz w:val="17"/>
              </w:rPr>
              <w:t>Stored as</w:t>
            </w:r>
          </w:p>
        </w:tc>
      </w:tr>
      <w:tr>
        <w:trPr>
          <w:cantSplit w:val="true"/>
        </w:trPr>
        <w:tc>
          <w:tcPr>
            <w:tcW w:type="dxa" w:w="1003"/>
            <w:tcMar>
              <w:top w:w="20" w:type="dxa"/>
              <w:left w:w="60" w:type="dxa"/>
              <w:bottom w:w="20" w:type="dxa"/>
              <w:right w:w="60" w:type="dxa"/>
            </w:tcMar>
            <w:vAlign w:val="top"/>
          </w:tcPr>
          <w:p>
            <w:pPr>
              <w:spacing w:after="10" w:before="0" w:line="240" w:lineRule="auto"/>
            </w:pPr>
            <w:r>
              <w:rPr>
                <w:b/>
                <w:sz w:val="17"/>
              </w:rPr>
              <w:t>Cash</w:t>
            </w:r>
          </w:p>
        </w:tc>
        <w:tc>
          <w:tcPr>
            <w:tcW w:type="dxa" w:w="3154"/>
            <w:tcMar>
              <w:top w:w="20" w:type="dxa"/>
              <w:left w:w="60" w:type="dxa"/>
              <w:bottom w:w="20" w:type="dxa"/>
              <w:right w:w="60" w:type="dxa"/>
            </w:tcMar>
            <w:vAlign w:val="top"/>
          </w:tcPr>
          <w:p>
            <w:pPr>
              <w:spacing w:after="10" w:before="0" w:line="240" w:lineRule="auto"/>
            </w:pPr>
            <w:r>
              <w:rPr>
                <w:sz w:val="17"/>
              </w:rPr>
              <w:t>Chosen from the cash group family; if none is chosen, the first cash account by code.</w:t>
            </w:r>
          </w:p>
        </w:tc>
        <w:tc>
          <w:tcPr>
            <w:tcW w:type="dxa" w:w="2437"/>
            <w:tcMar>
              <w:top w:w="20" w:type="dxa"/>
              <w:left w:w="60" w:type="dxa"/>
              <w:bottom w:w="20" w:type="dxa"/>
              <w:right w:w="60" w:type="dxa"/>
            </w:tcMar>
            <w:vAlign w:val="top"/>
          </w:tcPr>
          <w:p>
            <w:pPr>
              <w:spacing w:after="10" w:before="0" w:line="240" w:lineRule="auto"/>
            </w:pPr>
            <w:r>
              <w:rPr>
                <w:sz w:val="17"/>
              </w:rPr>
              <w:t>None.</w:t>
            </w:r>
          </w:p>
        </w:tc>
        <w:tc>
          <w:tcPr>
            <w:tcW w:type="dxa" w:w="2150"/>
            <w:tcMar>
              <w:top w:w="20" w:type="dxa"/>
              <w:left w:w="60" w:type="dxa"/>
              <w:bottom w:w="20" w:type="dxa"/>
              <w:right w:w="60" w:type="dxa"/>
            </w:tcMar>
            <w:vAlign w:val="top"/>
          </w:tcPr>
          <w:p>
            <w:pPr>
              <w:spacing w:after="10" w:before="0" w:line="240" w:lineRule="auto"/>
            </w:pPr>
            <w:r>
              <w:rPr>
                <w:sz w:val="17"/>
              </w:rPr>
              <w:t>Receipt: Dr the cash account. Payment: Cr it.</w:t>
            </w:r>
          </w:p>
        </w:tc>
        <w:tc>
          <w:tcPr>
            <w:tcW w:type="dxa" w:w="860"/>
            <w:tcMar>
              <w:top w:w="20" w:type="dxa"/>
              <w:left w:w="60" w:type="dxa"/>
              <w:bottom w:w="20" w:type="dxa"/>
              <w:right w:w="60" w:type="dxa"/>
            </w:tcMar>
            <w:vAlign w:val="top"/>
          </w:tcPr>
          <w:p>
            <w:pPr>
              <w:spacing w:after="10" w:before="0" w:line="240" w:lineRule="auto"/>
            </w:pPr>
            <w:r>
              <w:rPr>
                <w:sz w:val="17"/>
              </w:rPr>
              <w:t>cash</w:t>
            </w:r>
          </w:p>
        </w:tc>
      </w:tr>
      <w:tr>
        <w:trPr>
          <w:cantSplit w:val="true"/>
        </w:trPr>
        <w:tc>
          <w:tcPr>
            <w:tcW w:type="dxa" w:w="1003"/>
            <w:tcMar>
              <w:top w:w="20" w:type="dxa"/>
              <w:left w:w="60" w:type="dxa"/>
              <w:bottom w:w="20" w:type="dxa"/>
              <w:right w:w="60" w:type="dxa"/>
            </w:tcMar>
            <w:vAlign w:val="top"/>
          </w:tcPr>
          <w:p>
            <w:pPr>
              <w:spacing w:after="10" w:before="0" w:line="240" w:lineRule="auto"/>
            </w:pPr>
            <w:r>
              <w:rPr>
                <w:b/>
                <w:sz w:val="17"/>
              </w:rPr>
              <w:t>Bank</w:t>
            </w:r>
          </w:p>
        </w:tc>
        <w:tc>
          <w:tcPr>
            <w:tcW w:type="dxa" w:w="3154"/>
            <w:tcMar>
              <w:top w:w="20" w:type="dxa"/>
              <w:left w:w="60" w:type="dxa"/>
              <w:bottom w:w="20" w:type="dxa"/>
              <w:right w:w="60" w:type="dxa"/>
            </w:tcMar>
            <w:vAlign w:val="top"/>
          </w:tcPr>
          <w:p>
            <w:pPr>
              <w:spacing w:after="10" w:before="0" w:line="240" w:lineRule="auto"/>
            </w:pPr>
            <w:r>
              <w:rPr>
                <w:sz w:val="17"/>
              </w:rPr>
              <w:t>Chosen from the bank group family. With more than one bank account the user must choose (BANK_ACCOUNT_REQUIRED).</w:t>
            </w:r>
          </w:p>
        </w:tc>
        <w:tc>
          <w:tcPr>
            <w:tcW w:type="dxa" w:w="2437"/>
            <w:tcMar>
              <w:top w:w="20" w:type="dxa"/>
              <w:left w:w="60" w:type="dxa"/>
              <w:bottom w:w="20" w:type="dxa"/>
              <w:right w:w="60" w:type="dxa"/>
            </w:tcMar>
            <w:vAlign w:val="top"/>
          </w:tcPr>
          <w:p>
            <w:pPr>
              <w:spacing w:after="10" w:before="0" w:line="240" w:lineRule="auto"/>
            </w:pPr>
            <w:r>
              <w:rPr>
                <w:sz w:val="17"/>
              </w:rPr>
              <w:t>Slip reference optional.</w:t>
            </w:r>
          </w:p>
        </w:tc>
        <w:tc>
          <w:tcPr>
            <w:tcW w:type="dxa" w:w="2150"/>
            <w:tcMar>
              <w:top w:w="20" w:type="dxa"/>
              <w:left w:w="60" w:type="dxa"/>
              <w:bottom w:w="20" w:type="dxa"/>
              <w:right w:w="60" w:type="dxa"/>
            </w:tcMar>
            <w:vAlign w:val="top"/>
          </w:tcPr>
          <w:p>
            <w:pPr>
              <w:spacing w:after="10" w:before="0" w:line="240" w:lineRule="auto"/>
            </w:pPr>
            <w:r>
              <w:rPr>
                <w:sz w:val="17"/>
              </w:rPr>
              <w:t>Receipt: Dr the bank account. Payment: Cr it.</w:t>
            </w:r>
          </w:p>
        </w:tc>
        <w:tc>
          <w:tcPr>
            <w:tcW w:type="dxa" w:w="860"/>
            <w:tcMar>
              <w:top w:w="20" w:type="dxa"/>
              <w:left w:w="60" w:type="dxa"/>
              <w:bottom w:w="20" w:type="dxa"/>
              <w:right w:w="60" w:type="dxa"/>
            </w:tcMar>
            <w:vAlign w:val="top"/>
          </w:tcPr>
          <w:p>
            <w:pPr>
              <w:spacing w:after="10" w:before="0" w:line="240" w:lineRule="auto"/>
            </w:pPr>
            <w:r>
              <w:rPr>
                <w:sz w:val="17"/>
              </w:rPr>
              <w:t>bank</w:t>
            </w:r>
          </w:p>
        </w:tc>
      </w:tr>
      <w:tr>
        <w:trPr>
          <w:cantSplit w:val="true"/>
        </w:trPr>
        <w:tc>
          <w:tcPr>
            <w:tcW w:type="dxa" w:w="1003"/>
            <w:tcMar>
              <w:top w:w="20" w:type="dxa"/>
              <w:left w:w="60" w:type="dxa"/>
              <w:bottom w:w="20" w:type="dxa"/>
              <w:right w:w="60" w:type="dxa"/>
            </w:tcMar>
            <w:vAlign w:val="top"/>
          </w:tcPr>
          <w:p>
            <w:pPr>
              <w:spacing w:after="10" w:before="0" w:line="240" w:lineRule="auto"/>
            </w:pPr>
            <w:r>
              <w:rPr>
                <w:b/>
                <w:sz w:val="17"/>
              </w:rPr>
              <w:t>Transfer</w:t>
            </w:r>
          </w:p>
        </w:tc>
        <w:tc>
          <w:tcPr>
            <w:tcW w:type="dxa" w:w="3154"/>
            <w:tcMar>
              <w:top w:w="20" w:type="dxa"/>
              <w:left w:w="60" w:type="dxa"/>
              <w:bottom w:w="20" w:type="dxa"/>
              <w:right w:w="60" w:type="dxa"/>
            </w:tcMar>
            <w:vAlign w:val="top"/>
          </w:tcPr>
          <w:p>
            <w:pPr>
              <w:spacing w:after="10" w:before="0" w:line="240" w:lineRule="auto"/>
            </w:pPr>
            <w:r>
              <w:rPr>
                <w:sz w:val="17"/>
              </w:rPr>
              <w:t>As bank.</w:t>
            </w:r>
          </w:p>
        </w:tc>
        <w:tc>
          <w:tcPr>
            <w:tcW w:type="dxa" w:w="2437"/>
            <w:tcMar>
              <w:top w:w="20" w:type="dxa"/>
              <w:left w:w="60" w:type="dxa"/>
              <w:bottom w:w="20" w:type="dxa"/>
              <w:right w:w="60" w:type="dxa"/>
            </w:tcMar>
            <w:vAlign w:val="top"/>
          </w:tcPr>
          <w:p>
            <w:pPr>
              <w:spacing w:after="10" w:before="0" w:line="240" w:lineRule="auto"/>
            </w:pPr>
            <w:r>
              <w:rPr>
                <w:sz w:val="17"/>
              </w:rPr>
              <w:t>The transfer reference (REFERENCE_REQUIRED) and optionally its date, which defaults to the voucher date.</w:t>
            </w:r>
          </w:p>
        </w:tc>
        <w:tc>
          <w:tcPr>
            <w:tcW w:type="dxa" w:w="2150"/>
            <w:tcMar>
              <w:top w:w="20" w:type="dxa"/>
              <w:left w:w="60" w:type="dxa"/>
              <w:bottom w:w="20" w:type="dxa"/>
              <w:right w:w="60" w:type="dxa"/>
            </w:tcMar>
            <w:vAlign w:val="top"/>
          </w:tcPr>
          <w:p>
            <w:pPr>
              <w:spacing w:after="10" w:before="0" w:line="240" w:lineRule="auto"/>
            </w:pPr>
            <w:r>
              <w:rPr>
                <w:sz w:val="17"/>
              </w:rPr>
              <w:t>As bank.</w:t>
            </w:r>
          </w:p>
        </w:tc>
        <w:tc>
          <w:tcPr>
            <w:tcW w:type="dxa" w:w="860"/>
            <w:tcMar>
              <w:top w:w="20" w:type="dxa"/>
              <w:left w:w="60" w:type="dxa"/>
              <w:bottom w:w="20" w:type="dxa"/>
              <w:right w:w="60" w:type="dxa"/>
            </w:tcMar>
            <w:vAlign w:val="top"/>
          </w:tcPr>
          <w:p>
            <w:pPr>
              <w:spacing w:after="10" w:before="0" w:line="240" w:lineRule="auto"/>
            </w:pPr>
            <w:r>
              <w:rPr>
                <w:sz w:val="17"/>
              </w:rPr>
              <w:t>transfer</w:t>
            </w:r>
          </w:p>
        </w:tc>
      </w:tr>
    </w:tbl>
    <w:p>
      <w:pPr>
        <w:spacing w:after="0" w:before="0"/>
        <w:rPr>
          <w:sz w:val="6"/>
        </w:rPr>
      </w:pPr>
    </w:p>
    <w:p>
      <w:pPr>
        <w:pStyle w:val="ListBullet"/>
      </w:pPr>
      <w:r>
        <w:t>The old mode name 'online' is accepted and stored as 'transfer'. The account must be active, accept direct posting and belong to the right group family, otherwise NOT_A_CASH_ACCOUNT or NOT_A_BANK_ACCOUNT.</w:t>
      </w:r>
    </w:p>
    <w:p>
      <w:pPr>
        <w:pStyle w:val="ListBullet"/>
      </w:pPr>
      <w:r>
        <w:t>A cash payment is not blocked by the cash balance. Only a contra voucher refuses to take cash below zero (section 3.13).</w:t>
      </w:r>
    </w:p>
    <w:p>
      <w:pPr>
        <w:pStyle w:val="Heading2"/>
      </w:pPr>
      <w:r>
        <w:t>3.8 Cheques</w:t>
      </w:r>
    </w:p>
    <w:p>
      <w:r>
        <w:t>A cheque is not money until it clears. The amount waits in a post-dated-cheques account, the cheque is recorded in the cheque register, and it moves to the bank when it clears.</w:t>
      </w:r>
    </w:p>
    <w:p>
      <w:pPr>
        <w:pStyle w:val="Caption"/>
      </w:pPr>
      <w:r>
        <w:t>Table 27. Cheque life cycle (ChequeService)</w:t>
      </w:r>
    </w:p>
    <w:tbl>
      <w:tblPr>
        <w:tblW w:type="dxa" w:w="9604"/>
        <w:jc w:val="left"/>
        <w:tblLayout w:type="fixed"/>
        <w:tblLook w:firstColumn="1" w:firstRow="1" w:lastColumn="0" w:lastRow="0" w:noHBand="0" w:noVBand="1" w:val="04A0"/>
      </w:tblPr>
      <w:tblGrid>
        <w:gridCol w:w="2120"/>
        <w:gridCol w:w="374"/>
        <w:gridCol w:w="2120"/>
        <w:gridCol w:w="374"/>
        <w:gridCol w:w="2120"/>
        <w:gridCol w:w="374"/>
        <w:gridCol w:w="2120"/>
      </w:tblGrid>
      <w:tr>
        <w:trPr>
          <w:cantSplit w:val="true"/>
        </w:trPr>
        <w:tc>
          <w:tcPr>
            <w:tcW w:type="dxa" w:w="2120"/>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Voucher saved with a cheque</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2120"/>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Pending: cheques-in-hand or cheques-issued account</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2120"/>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Cleared on or after the cheque date: moved to the bank</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2120"/>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Bounced or cancelled: whole voucher reversed</w:t>
            </w:r>
          </w:p>
        </w:tc>
      </w:tr>
    </w:tbl>
    <w:p>
      <w:pPr>
        <w:spacing w:after="0" w:before="0"/>
        <w:rPr>
          <w:sz w:val="12"/>
        </w:rPr>
      </w:pPr>
    </w:p>
    <w:p>
      <w:pPr>
        <w:pStyle w:val="Caption"/>
      </w:pPr>
      <w:r>
        <w:t>Table 28. Cheque events and their entries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91"/>
        <w:gridCol w:w="3056"/>
        <w:gridCol w:w="2910"/>
        <w:gridCol w:w="1746"/>
      </w:tblGrid>
      <w:tr>
        <w:trPr>
          <w:tblHeader w:val="true"/>
          <w:cantSplit w:val="true"/>
        </w:trPr>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3056"/>
            <w:shd w:val="clear" w:color="auto" w:fill="1F3A5F"/>
            <w:tcMar>
              <w:top w:w="20" w:type="dxa"/>
              <w:left w:w="60" w:type="dxa"/>
              <w:bottom w:w="20" w:type="dxa"/>
              <w:right w:w="60" w:type="dxa"/>
            </w:tcMar>
            <w:vAlign w:val="center"/>
          </w:tcPr>
          <w:p>
            <w:pPr>
              <w:spacing w:after="10" w:before="0" w:line="240" w:lineRule="auto"/>
            </w:pPr>
            <w:r>
              <w:rPr>
                <w:b/>
                <w:color w:val="FFFFFF"/>
                <w:sz w:val="17"/>
              </w:rPr>
              <w:t>Receipt of a customer cheque</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Payment by our cheque</w:t>
            </w:r>
          </w:p>
        </w:tc>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Cheque status</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Voucher saved</w:t>
            </w:r>
          </w:p>
        </w:tc>
        <w:tc>
          <w:tcPr>
            <w:tcW w:type="dxa" w:w="3056"/>
            <w:tcMar>
              <w:top w:w="20" w:type="dxa"/>
              <w:left w:w="60" w:type="dxa"/>
              <w:bottom w:w="20" w:type="dxa"/>
              <w:right w:w="60" w:type="dxa"/>
            </w:tcMar>
            <w:vAlign w:val="top"/>
          </w:tcPr>
          <w:p>
            <w:pPr>
              <w:spacing w:after="10" w:before="0" w:line="240" w:lineRule="auto"/>
            </w:pPr>
            <w:r>
              <w:rPr>
                <w:sz w:val="17"/>
              </w:rPr>
              <w:t xml:space="preserve">Dr </w:t>
            </w:r>
            <w:r>
              <w:rPr>
                <w:rFonts w:ascii="Consolas" w:hAnsi="Consolas" w:eastAsia="Consolas"/>
                <w:sz w:val="16"/>
              </w:rPr>
              <w:t>pdc-receipt</w:t>
            </w:r>
            <w:r>
              <w:rPr>
                <w:sz w:val="17"/>
              </w:rPr>
              <w:t xml:space="preserve"> (Cheques in Hand), Cr customer</w:t>
            </w:r>
          </w:p>
        </w:tc>
        <w:tc>
          <w:tcPr>
            <w:tcW w:type="dxa" w:w="2911"/>
            <w:tcMar>
              <w:top w:w="20" w:type="dxa"/>
              <w:left w:w="60" w:type="dxa"/>
              <w:bottom w:w="20" w:type="dxa"/>
              <w:right w:w="60" w:type="dxa"/>
            </w:tcMar>
            <w:vAlign w:val="top"/>
          </w:tcPr>
          <w:p>
            <w:pPr>
              <w:spacing w:after="10" w:before="0" w:line="240" w:lineRule="auto"/>
            </w:pPr>
            <w:r>
              <w:rPr>
                <w:sz w:val="17"/>
              </w:rPr>
              <w:t xml:space="preserve">Cr </w:t>
            </w:r>
            <w:r>
              <w:rPr>
                <w:rFonts w:ascii="Consolas" w:hAnsi="Consolas" w:eastAsia="Consolas"/>
                <w:sz w:val="16"/>
              </w:rPr>
              <w:t>pdc-issue</w:t>
            </w:r>
            <w:r>
              <w:rPr>
                <w:sz w:val="17"/>
              </w:rPr>
              <w:t xml:space="preserve"> (Cheques Issued), Dr vendor</w:t>
            </w:r>
          </w:p>
        </w:tc>
        <w:tc>
          <w:tcPr>
            <w:tcW w:type="dxa" w:w="1746"/>
            <w:tcMar>
              <w:top w:w="20" w:type="dxa"/>
              <w:left w:w="60" w:type="dxa"/>
              <w:bottom w:w="20" w:type="dxa"/>
              <w:right w:w="60" w:type="dxa"/>
            </w:tcMar>
            <w:vAlign w:val="top"/>
          </w:tcPr>
          <w:p>
            <w:pPr>
              <w:spacing w:after="10" w:before="0" w:line="240" w:lineRule="auto"/>
            </w:pPr>
            <w:r>
              <w:rPr>
                <w:sz w:val="17"/>
              </w:rPr>
              <w:t>pending (PDC flag if dated after the voucher)</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Cleared</w:t>
            </w:r>
          </w:p>
        </w:tc>
        <w:tc>
          <w:tcPr>
            <w:tcW w:type="dxa" w:w="3056"/>
            <w:tcMar>
              <w:top w:w="20" w:type="dxa"/>
              <w:left w:w="60" w:type="dxa"/>
              <w:bottom w:w="20" w:type="dxa"/>
              <w:right w:w="60" w:type="dxa"/>
            </w:tcMar>
            <w:vAlign w:val="top"/>
          </w:tcPr>
          <w:p>
            <w:pPr>
              <w:spacing w:after="10" w:before="0" w:line="240" w:lineRule="auto"/>
            </w:pPr>
            <w:r>
              <w:rPr>
                <w:sz w:val="17"/>
              </w:rPr>
              <w:t>Dr bank account, Cr Cheques in Hand</w:t>
            </w:r>
          </w:p>
        </w:tc>
        <w:tc>
          <w:tcPr>
            <w:tcW w:type="dxa" w:w="2911"/>
            <w:tcMar>
              <w:top w:w="20" w:type="dxa"/>
              <w:left w:w="60" w:type="dxa"/>
              <w:bottom w:w="20" w:type="dxa"/>
              <w:right w:w="60" w:type="dxa"/>
            </w:tcMar>
            <w:vAlign w:val="top"/>
          </w:tcPr>
          <w:p>
            <w:pPr>
              <w:spacing w:after="10" w:before="0" w:line="240" w:lineRule="auto"/>
            </w:pPr>
            <w:r>
              <w:rPr>
                <w:sz w:val="17"/>
              </w:rPr>
              <w:t>Dr Cheques Issued, Cr bank account</w:t>
            </w:r>
          </w:p>
        </w:tc>
        <w:tc>
          <w:tcPr>
            <w:tcW w:type="dxa" w:w="1746"/>
            <w:tcMar>
              <w:top w:w="20" w:type="dxa"/>
              <w:left w:w="60" w:type="dxa"/>
              <w:bottom w:w="20" w:type="dxa"/>
              <w:right w:w="60" w:type="dxa"/>
            </w:tcMar>
            <w:vAlign w:val="top"/>
          </w:tcPr>
          <w:p>
            <w:pPr>
              <w:spacing w:after="10" w:before="0" w:line="240" w:lineRule="auto"/>
            </w:pPr>
            <w:r>
              <w:rPr>
                <w:sz w:val="17"/>
              </w:rPr>
              <w:t>cleared</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Bounced (pending or cleared)</w:t>
            </w:r>
          </w:p>
        </w:tc>
        <w:tc>
          <w:tcPr>
            <w:tcW w:type="dxa" w:w="3056"/>
            <w:tcMar>
              <w:top w:w="20" w:type="dxa"/>
              <w:left w:w="60" w:type="dxa"/>
              <w:bottom w:w="20" w:type="dxa"/>
              <w:right w:w="60" w:type="dxa"/>
            </w:tcMar>
            <w:vAlign w:val="top"/>
          </w:tcPr>
          <w:p>
            <w:pPr>
              <w:spacing w:after="10" w:before="0" w:line="240" w:lineRule="auto"/>
            </w:pPr>
            <w:r>
              <w:rPr>
                <w:sz w:val="17"/>
              </w:rPr>
              <w:t>Whole voucher reversed, clearing entries included; invoices reopen</w:t>
            </w:r>
          </w:p>
        </w:tc>
        <w:tc>
          <w:tcPr>
            <w:tcW w:type="dxa" w:w="2911"/>
            <w:tcMar>
              <w:top w:w="20" w:type="dxa"/>
              <w:left w:w="60" w:type="dxa"/>
              <w:bottom w:w="20" w:type="dxa"/>
              <w:right w:w="60" w:type="dxa"/>
            </w:tcMar>
            <w:vAlign w:val="top"/>
          </w:tcPr>
          <w:p>
            <w:pPr>
              <w:spacing w:after="10" w:before="0" w:line="240" w:lineRule="auto"/>
            </w:pPr>
            <w:r>
              <w:rPr>
                <w:sz w:val="17"/>
              </w:rPr>
              <w:t>Same</w:t>
            </w:r>
          </w:p>
        </w:tc>
        <w:tc>
          <w:tcPr>
            <w:tcW w:type="dxa" w:w="1746"/>
            <w:tcMar>
              <w:top w:w="20" w:type="dxa"/>
              <w:left w:w="60" w:type="dxa"/>
              <w:bottom w:w="20" w:type="dxa"/>
              <w:right w:w="60" w:type="dxa"/>
            </w:tcMar>
            <w:vAlign w:val="top"/>
          </w:tcPr>
          <w:p>
            <w:pPr>
              <w:spacing w:after="10" w:before="0" w:line="240" w:lineRule="auto"/>
            </w:pPr>
            <w:r>
              <w:rPr>
                <w:sz w:val="17"/>
              </w:rPr>
              <w:t>bounced; reason required</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Cancelled (pending only)</w:t>
            </w:r>
          </w:p>
        </w:tc>
        <w:tc>
          <w:tcPr>
            <w:tcW w:type="dxa" w:w="3056"/>
            <w:tcMar>
              <w:top w:w="20" w:type="dxa"/>
              <w:left w:w="60" w:type="dxa"/>
              <w:bottom w:w="20" w:type="dxa"/>
              <w:right w:w="60" w:type="dxa"/>
            </w:tcMar>
            <w:vAlign w:val="top"/>
          </w:tcPr>
          <w:p>
            <w:pPr>
              <w:spacing w:after="10" w:before="0" w:line="240" w:lineRule="auto"/>
            </w:pPr>
            <w:r>
              <w:rPr>
                <w:sz w:val="17"/>
              </w:rPr>
              <w:t>Whole voucher reversed</w:t>
            </w:r>
          </w:p>
        </w:tc>
        <w:tc>
          <w:tcPr>
            <w:tcW w:type="dxa" w:w="2911"/>
            <w:tcMar>
              <w:top w:w="20" w:type="dxa"/>
              <w:left w:w="60" w:type="dxa"/>
              <w:bottom w:w="20" w:type="dxa"/>
              <w:right w:w="60" w:type="dxa"/>
            </w:tcMar>
            <w:vAlign w:val="top"/>
          </w:tcPr>
          <w:p>
            <w:pPr>
              <w:spacing w:after="10" w:before="0" w:line="240" w:lineRule="auto"/>
            </w:pPr>
            <w:r>
              <w:rPr>
                <w:sz w:val="17"/>
              </w:rPr>
              <w:t>Same</w:t>
            </w:r>
          </w:p>
        </w:tc>
        <w:tc>
          <w:tcPr>
            <w:tcW w:type="dxa" w:w="1746"/>
            <w:tcMar>
              <w:top w:w="20" w:type="dxa"/>
              <w:left w:w="60" w:type="dxa"/>
              <w:bottom w:w="20" w:type="dxa"/>
              <w:right w:w="60" w:type="dxa"/>
            </w:tcMar>
            <w:vAlign w:val="top"/>
          </w:tcPr>
          <w:p>
            <w:pPr>
              <w:spacing w:after="10" w:before="0" w:line="240" w:lineRule="auto"/>
            </w:pPr>
            <w:r>
              <w:rPr>
                <w:sz w:val="17"/>
              </w:rPr>
              <w:t>cancelled</w:t>
            </w:r>
          </w:p>
        </w:tc>
      </w:tr>
    </w:tbl>
    <w:p>
      <w:pPr>
        <w:spacing w:after="0" w:before="0"/>
        <w:rPr>
          <w:sz w:val="6"/>
        </w:rPr>
      </w:pPr>
    </w:p>
    <w:p>
      <w:pPr>
        <w:pStyle w:val="Caption"/>
      </w:pPr>
      <w:r>
        <w:t>Table 29. Customer cheque of AED 105.00 for invoice SO of 105.00 (bankingAndVouchers.test.js)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Voucher saved</w:t>
            </w:r>
          </w:p>
        </w:tc>
        <w:tc>
          <w:tcPr>
            <w:tcW w:type="dxa" w:w="2709"/>
            <w:tcMar>
              <w:top w:w="20" w:type="dxa"/>
              <w:left w:w="60" w:type="dxa"/>
              <w:bottom w:w="20" w:type="dxa"/>
              <w:right w:w="60" w:type="dxa"/>
            </w:tcMar>
            <w:vAlign w:val="top"/>
          </w:tcPr>
          <w:p>
            <w:pPr>
              <w:spacing w:after="10" w:before="0" w:line="240" w:lineRule="auto"/>
            </w:pPr>
            <w:r>
              <w:rPr>
                <w:sz w:val="17"/>
              </w:rPr>
              <w:t>Cheques in Hand</w:t>
            </w:r>
          </w:p>
        </w:tc>
        <w:tc>
          <w:tcPr>
            <w:tcW w:type="dxa" w:w="1970"/>
            <w:tcMar>
              <w:top w:w="20" w:type="dxa"/>
              <w:left w:w="60" w:type="dxa"/>
              <w:bottom w:w="20" w:type="dxa"/>
              <w:right w:w="60" w:type="dxa"/>
            </w:tcMar>
            <w:vAlign w:val="top"/>
          </w:tcPr>
          <w:p>
            <w:pPr>
              <w:spacing w:after="10" w:before="0" w:line="240" w:lineRule="auto"/>
            </w:pPr>
            <w:r>
              <w:rPr>
                <w:sz w:val="17"/>
              </w:rPr>
              <w:t>pdc-receipt</w:t>
            </w:r>
          </w:p>
        </w:tc>
        <w:tc>
          <w:tcPr>
            <w:tcW w:type="dxa" w:w="1108"/>
            <w:tcMar>
              <w:top w:w="20" w:type="dxa"/>
              <w:left w:w="60" w:type="dxa"/>
              <w:bottom w:w="20" w:type="dxa"/>
              <w:right w:w="60" w:type="dxa"/>
            </w:tcMar>
            <w:vAlign w:val="top"/>
          </w:tcPr>
          <w:p>
            <w:pPr>
              <w:spacing w:after="10" w:before="0" w:line="240" w:lineRule="auto"/>
              <w:jc w:val="right"/>
            </w:pPr>
            <w:r>
              <w:rPr>
                <w:sz w:val="17"/>
              </w:rPr>
              <w:t>105.00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105.00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Cleared into ENBD Current</w:t>
            </w:r>
          </w:p>
        </w:tc>
        <w:tc>
          <w:tcPr>
            <w:tcW w:type="dxa" w:w="2709"/>
            <w:tcMar>
              <w:top w:w="20" w:type="dxa"/>
              <w:left w:w="60" w:type="dxa"/>
              <w:bottom w:w="20" w:type="dxa"/>
              <w:right w:w="60" w:type="dxa"/>
            </w:tcMar>
            <w:vAlign w:val="top"/>
          </w:tcPr>
          <w:p>
            <w:pPr>
              <w:spacing w:after="10" w:before="0" w:line="240" w:lineRule="auto"/>
            </w:pPr>
            <w:r>
              <w:rPr>
                <w:sz w:val="17"/>
              </w:rPr>
              <w:t>ENBD Current</w:t>
            </w:r>
          </w:p>
        </w:tc>
        <w:tc>
          <w:tcPr>
            <w:tcW w:type="dxa" w:w="1970"/>
            <w:tcMar>
              <w:top w:w="20" w:type="dxa"/>
              <w:left w:w="60" w:type="dxa"/>
              <w:bottom w:w="20" w:type="dxa"/>
              <w:right w:w="60" w:type="dxa"/>
            </w:tcMar>
            <w:vAlign w:val="top"/>
          </w:tcPr>
          <w:p>
            <w:pPr>
              <w:spacing w:after="10" w:before="0" w:line="240" w:lineRule="auto"/>
            </w:pPr>
            <w:r>
              <w:rPr>
                <w:sz w:val="17"/>
              </w:rPr>
              <w:t>bank-account-group</w:t>
            </w:r>
          </w:p>
        </w:tc>
        <w:tc>
          <w:tcPr>
            <w:tcW w:type="dxa" w:w="1108"/>
            <w:tcMar>
              <w:top w:w="20" w:type="dxa"/>
              <w:left w:w="60" w:type="dxa"/>
              <w:bottom w:w="20" w:type="dxa"/>
              <w:right w:w="60" w:type="dxa"/>
            </w:tcMar>
            <w:vAlign w:val="top"/>
          </w:tcPr>
          <w:p>
            <w:pPr>
              <w:spacing w:after="10" w:before="0" w:line="240" w:lineRule="auto"/>
              <w:jc w:val="right"/>
            </w:pPr>
            <w:r>
              <w:rPr>
                <w:sz w:val="17"/>
              </w:rPr>
              <w:t>105.00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Cheques in Hand</w:t>
            </w:r>
          </w:p>
        </w:tc>
        <w:tc>
          <w:tcPr>
            <w:tcW w:type="dxa" w:w="1970"/>
            <w:tcMar>
              <w:top w:w="20" w:type="dxa"/>
              <w:left w:w="60" w:type="dxa"/>
              <w:bottom w:w="20" w:type="dxa"/>
              <w:right w:w="60" w:type="dxa"/>
            </w:tcMar>
            <w:vAlign w:val="top"/>
          </w:tcPr>
          <w:p>
            <w:pPr>
              <w:spacing w:after="10" w:before="0" w:line="240" w:lineRule="auto"/>
            </w:pPr>
            <w:r>
              <w:rPr>
                <w:sz w:val="17"/>
              </w:rPr>
              <w:t>pdc-receipt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105.00</w:t>
            </w:r>
          </w:p>
        </w:tc>
      </w:tr>
    </w:tbl>
    <w:p>
      <w:pPr>
        <w:spacing w:after="0" w:before="0"/>
        <w:rPr>
          <w:sz w:val="6"/>
        </w:rPr>
      </w:pPr>
    </w:p>
    <w:p>
      <w:pPr>
        <w:pStyle w:val="ListBullet"/>
      </w:pPr>
      <w:r>
        <w:rPr>
          <w:b/>
        </w:rPr>
        <w:t>Rules at saving.</w:t>
      </w:r>
      <w:r>
        <w:t xml:space="preserve"> Cheque number of 3 to 20 letters, digits or dashes; a cheque date; for a receipt the bank it is drawn on; the bank account it is deposited to or drawn on. A cheque dated more than 183 days before the voucher is stale (STALE_CHEQUE). The same number from the same bank cannot be recorded twice while pending or cleared (DUPLICATE_CHEQUE).</w:t>
      </w:r>
    </w:p>
    <w:p>
      <w:pPr>
        <w:pStyle w:val="ListBullet"/>
      </w:pPr>
      <w:r>
        <w:rPr>
          <w:b/>
        </w:rPr>
        <w:t>Clearing.</w:t>
      </w:r>
      <w:r>
        <w:t xml:space="preserve"> The clearing date cannot be before the cheque date (CHEQUE_NOT_MATURE) and must be in an open period. The clearing entries carry the voucher type 'cheque_clearance' and the same voucher id as the original voucher, so a bounce reverses everything with one lookup. A bounced cheque reopens the invoice (outstanding returns to 105.00 in the test).</w:t>
      </w:r>
    </w:p>
    <w:p>
      <w:pPr>
        <w:pStyle w:val="ListBullet"/>
      </w:pPr>
      <w:r>
        <w:rPr>
          <w:b/>
        </w:rPr>
        <w:t>Edit and delete.</w:t>
      </w:r>
      <w:r>
        <w:t xml:space="preserve"> Editing a voucher whose cheque has cleared is refused (CHEQUE_CLEARED); mark the cheque bounced first. Deleting a voucher with a pending cheque withdraws the cheque. A bounced or cancelled voucher cannot be edited (VOUCHER_VOIDED).</w:t>
      </w:r>
    </w:p>
    <w:p>
      <w:pPr>
        <w:pStyle w:val="Heading2"/>
      </w:pPr>
      <w:r>
        <w:t>3.9 Cards</w:t>
      </w:r>
    </w:p>
    <w:p>
      <w:pPr>
        <w:pStyle w:val="Caption"/>
      </w:pPr>
      <w:r>
        <w:t>Table 30. Card receipts and payments (PaymentModeService, CardService)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91"/>
        <w:gridCol w:w="1891"/>
        <w:gridCol w:w="3201"/>
        <w:gridCol w:w="2619"/>
      </w:tblGrid>
      <w:tr>
        <w:trPr>
          <w:tblHeader w:val="true"/>
          <w:cantSplit w:val="true"/>
        </w:trPr>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Direction</w:t>
            </w:r>
          </w:p>
        </w:tc>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Card kinds</w:t>
            </w:r>
          </w:p>
        </w:tc>
        <w:tc>
          <w:tcPr>
            <w:tcW w:type="dxa" w:w="3202"/>
            <w:shd w:val="clear" w:color="auto" w:fill="1F3A5F"/>
            <w:tcMar>
              <w:top w:w="20" w:type="dxa"/>
              <w:left w:w="60" w:type="dxa"/>
              <w:bottom w:w="20" w:type="dxa"/>
              <w:right w:w="60" w:type="dxa"/>
            </w:tcMar>
            <w:vAlign w:val="center"/>
          </w:tcPr>
          <w:p>
            <w:pPr>
              <w:spacing w:after="10" w:before="0" w:line="240" w:lineRule="auto"/>
            </w:pPr>
            <w:r>
              <w:rPr>
                <w:b/>
                <w:color w:val="FFFFFF"/>
                <w:sz w:val="17"/>
              </w:rPr>
              <w:t>Posting</w:t>
            </w:r>
          </w:p>
        </w:tc>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Rules</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Receipt (customer pays by card)</w:t>
            </w:r>
          </w:p>
        </w:tc>
        <w:tc>
          <w:tcPr>
            <w:tcW w:type="dxa" w:w="1892"/>
            <w:tcMar>
              <w:top w:w="20" w:type="dxa"/>
              <w:left w:w="60" w:type="dxa"/>
              <w:bottom w:w="20" w:type="dxa"/>
              <w:right w:w="60" w:type="dxa"/>
            </w:tcMar>
            <w:vAlign w:val="top"/>
          </w:tcPr>
          <w:p>
            <w:pPr>
              <w:spacing w:after="10" w:before="0" w:line="240" w:lineRule="auto"/>
            </w:pPr>
            <w:r>
              <w:rPr>
                <w:sz w:val="17"/>
              </w:rPr>
              <w:t>Merchant terminal only</w:t>
            </w:r>
          </w:p>
        </w:tc>
        <w:tc>
          <w:tcPr>
            <w:tcW w:type="dxa" w:w="3202"/>
            <w:tcMar>
              <w:top w:w="20" w:type="dxa"/>
              <w:left w:w="60" w:type="dxa"/>
              <w:bottom w:w="20" w:type="dxa"/>
              <w:right w:w="60" w:type="dxa"/>
            </w:tcMar>
            <w:vAlign w:val="top"/>
          </w:tcPr>
          <w:p>
            <w:pPr>
              <w:spacing w:after="10" w:before="0" w:line="240" w:lineRule="auto"/>
            </w:pPr>
            <w:r>
              <w:rPr>
                <w:sz w:val="17"/>
              </w:rPr>
              <w:t xml:space="preserve">Dr the terminal's settlement bank account for amount - fee; Dr </w:t>
            </w:r>
            <w:r>
              <w:rPr>
                <w:rFonts w:ascii="Consolas" w:hAnsi="Consolas" w:eastAsia="Consolas"/>
                <w:sz w:val="16"/>
              </w:rPr>
              <w:t>card-charges</w:t>
            </w:r>
            <w:r>
              <w:rPr>
                <w:sz w:val="17"/>
              </w:rPr>
              <w:t xml:space="preserve"> for the fee; Cr customer</w:t>
            </w:r>
          </w:p>
        </w:tc>
        <w:tc>
          <w:tcPr>
            <w:tcW w:type="dxa" w:w="2619"/>
            <w:tcMar>
              <w:top w:w="20" w:type="dxa"/>
              <w:left w:w="60" w:type="dxa"/>
              <w:bottom w:w="20" w:type="dxa"/>
              <w:right w:w="60" w:type="dxa"/>
            </w:tcMar>
            <w:vAlign w:val="top"/>
          </w:tcPr>
          <w:p>
            <w:pPr>
              <w:spacing w:after="10" w:before="0" w:line="240" w:lineRule="auto"/>
            </w:pPr>
            <w:r>
              <w:rPr>
                <w:sz w:val="17"/>
              </w:rPr>
              <w:t>Approval code from the slip is required. Fee = round(amount x fee% / 100); the fee % is the terminal's own if set, otherwise the card type's.</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Payment (we pay a vendor by card)</w:t>
            </w:r>
          </w:p>
        </w:tc>
        <w:tc>
          <w:tcPr>
            <w:tcW w:type="dxa" w:w="1892"/>
            <w:tcMar>
              <w:top w:w="20" w:type="dxa"/>
              <w:left w:w="60" w:type="dxa"/>
              <w:bottom w:w="20" w:type="dxa"/>
              <w:right w:w="60" w:type="dxa"/>
            </w:tcMar>
            <w:vAlign w:val="top"/>
          </w:tcPr>
          <w:p>
            <w:pPr>
              <w:spacing w:after="10" w:before="0" w:line="240" w:lineRule="auto"/>
            </w:pPr>
            <w:r>
              <w:rPr>
                <w:sz w:val="17"/>
              </w:rPr>
              <w:t>Company credit, debit or prepaid card; not a terminal</w:t>
            </w:r>
          </w:p>
        </w:tc>
        <w:tc>
          <w:tcPr>
            <w:tcW w:type="dxa" w:w="3202"/>
            <w:tcMar>
              <w:top w:w="20" w:type="dxa"/>
              <w:left w:w="60" w:type="dxa"/>
              <w:bottom w:w="20" w:type="dxa"/>
              <w:right w:w="60" w:type="dxa"/>
            </w:tcMar>
            <w:vAlign w:val="top"/>
          </w:tcPr>
          <w:p>
            <w:pPr>
              <w:spacing w:after="10" w:before="0" w:line="240" w:lineRule="auto"/>
            </w:pPr>
            <w:r>
              <w:rPr>
                <w:sz w:val="17"/>
              </w:rPr>
              <w:t>Cr the card's account (credit card: its own liability account); Dr vendor</w:t>
            </w:r>
          </w:p>
        </w:tc>
        <w:tc>
          <w:tcPr>
            <w:tcW w:type="dxa" w:w="2619"/>
            <w:tcMar>
              <w:top w:w="20" w:type="dxa"/>
              <w:left w:w="60" w:type="dxa"/>
              <w:bottom w:w="20" w:type="dxa"/>
              <w:right w:w="60" w:type="dxa"/>
            </w:tcMar>
            <w:vAlign w:val="top"/>
          </w:tcPr>
          <w:p>
            <w:pPr>
              <w:spacing w:after="10" w:before="0" w:line="240" w:lineRule="auto"/>
            </w:pPr>
            <w:r>
              <w:rPr>
                <w:sz w:val="17"/>
              </w:rPr>
              <w:t>A credit card cannot exceed its limit: owed + payment &lt;= limit (CARD_LIMIT_EXCEEDED). An expired card is refused.</w:t>
            </w:r>
          </w:p>
        </w:tc>
      </w:tr>
    </w:tbl>
    <w:p>
      <w:pPr>
        <w:spacing w:after="0" w:before="0"/>
        <w:rPr>
          <w:sz w:val="6"/>
        </w:rPr>
      </w:pPr>
    </w:p>
    <w:p>
      <w:pPr>
        <w:pStyle w:val="Caption"/>
      </w:pPr>
      <w:r>
        <w:t>Table 31. Card receipt and card payment (bankingAndVouchers.test.js)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Receipt AED 200.00 on a terminal with a 2.5% fee</w:t>
            </w:r>
          </w:p>
        </w:tc>
        <w:tc>
          <w:tcPr>
            <w:tcW w:type="dxa" w:w="2709"/>
            <w:tcMar>
              <w:top w:w="20" w:type="dxa"/>
              <w:left w:w="60" w:type="dxa"/>
              <w:bottom w:w="20" w:type="dxa"/>
              <w:right w:w="60" w:type="dxa"/>
            </w:tcMar>
            <w:vAlign w:val="top"/>
          </w:tcPr>
          <w:p>
            <w:pPr>
              <w:spacing w:after="10" w:before="0" w:line="240" w:lineRule="auto"/>
            </w:pPr>
            <w:r>
              <w:rPr>
                <w:sz w:val="17"/>
              </w:rPr>
              <w:t>Settlement Bank</w:t>
            </w:r>
          </w:p>
        </w:tc>
        <w:tc>
          <w:tcPr>
            <w:tcW w:type="dxa" w:w="1970"/>
            <w:tcMar>
              <w:top w:w="20" w:type="dxa"/>
              <w:left w:w="60" w:type="dxa"/>
              <w:bottom w:w="20" w:type="dxa"/>
              <w:right w:w="60" w:type="dxa"/>
            </w:tcMar>
            <w:vAlign w:val="top"/>
          </w:tcPr>
          <w:p>
            <w:pPr>
              <w:spacing w:after="10" w:before="0" w:line="240" w:lineRule="auto"/>
            </w:pPr>
            <w:r>
              <w:rPr>
                <w:sz w:val="17"/>
              </w:rPr>
              <w:t>bank-account-group</w:t>
            </w:r>
          </w:p>
        </w:tc>
        <w:tc>
          <w:tcPr>
            <w:tcW w:type="dxa" w:w="1108"/>
            <w:tcMar>
              <w:top w:w="20" w:type="dxa"/>
              <w:left w:w="60" w:type="dxa"/>
              <w:bottom w:w="20" w:type="dxa"/>
              <w:right w:w="60" w:type="dxa"/>
            </w:tcMar>
            <w:vAlign w:val="top"/>
          </w:tcPr>
          <w:p>
            <w:pPr>
              <w:spacing w:after="10" w:before="0" w:line="240" w:lineRule="auto"/>
              <w:jc w:val="right"/>
            </w:pPr>
            <w:r>
              <w:rPr>
                <w:sz w:val="17"/>
              </w:rPr>
              <w:t>195.00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Card Processing Fees</w:t>
            </w:r>
          </w:p>
        </w:tc>
        <w:tc>
          <w:tcPr>
            <w:tcW w:type="dxa" w:w="1970"/>
            <w:tcMar>
              <w:top w:w="20" w:type="dxa"/>
              <w:left w:w="60" w:type="dxa"/>
              <w:bottom w:w="20" w:type="dxa"/>
              <w:right w:w="60" w:type="dxa"/>
            </w:tcMar>
            <w:vAlign w:val="top"/>
          </w:tcPr>
          <w:p>
            <w:pPr>
              <w:spacing w:after="10" w:before="0" w:line="240" w:lineRule="auto"/>
            </w:pPr>
            <w:r>
              <w:rPr>
                <w:sz w:val="17"/>
              </w:rPr>
              <w:t>card-charges</w:t>
            </w:r>
          </w:p>
        </w:tc>
        <w:tc>
          <w:tcPr>
            <w:tcW w:type="dxa" w:w="1108"/>
            <w:tcMar>
              <w:top w:w="20" w:type="dxa"/>
              <w:left w:w="60" w:type="dxa"/>
              <w:bottom w:w="20" w:type="dxa"/>
              <w:right w:w="60" w:type="dxa"/>
            </w:tcMar>
            <w:vAlign w:val="top"/>
          </w:tcPr>
          <w:p>
            <w:pPr>
              <w:spacing w:after="10" w:before="0" w:line="240" w:lineRule="auto"/>
              <w:jc w:val="right"/>
            </w:pPr>
            <w:r>
              <w:rPr>
                <w:sz w:val="17"/>
              </w:rPr>
              <w:t>5.00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Advance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Payment AED 3,000.00 on the company credit card (limit 5,000.00)</w:t>
            </w:r>
          </w:p>
        </w:tc>
        <w:tc>
          <w:tcPr>
            <w:tcW w:type="dxa" w:w="2709"/>
            <w:tcMar>
              <w:top w:w="20" w:type="dxa"/>
              <w:left w:w="60" w:type="dxa"/>
              <w:bottom w:w="20" w:type="dxa"/>
              <w:right w:w="60" w:type="dxa"/>
            </w:tcMar>
            <w:vAlign w:val="top"/>
          </w:tcPr>
          <w:p>
            <w:pPr>
              <w:spacing w:after="10" w:before="0" w:line="240" w:lineRule="auto"/>
            </w:pPr>
            <w:r>
              <w:rPr>
                <w:sz w:val="17"/>
              </w:rPr>
              <w:t>Advance to Vendor - Gulf Mills</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r>
              <w:rPr>
                <w:sz w:val="17"/>
              </w:rPr>
              <w:t>3,000.00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Credit Card - Company Amex</w:t>
            </w:r>
          </w:p>
        </w:tc>
        <w:tc>
          <w:tcPr>
            <w:tcW w:type="dxa" w:w="1970"/>
            <w:tcMar>
              <w:top w:w="20" w:type="dxa"/>
              <w:left w:w="60" w:type="dxa"/>
              <w:bottom w:w="20" w:type="dxa"/>
              <w:right w:w="60" w:type="dxa"/>
            </w:tcMar>
            <w:vAlign w:val="top"/>
          </w:tcPr>
          <w:p>
            <w:pPr>
              <w:spacing w:after="10" w:before="0" w:line="240" w:lineRule="auto"/>
            </w:pPr>
            <w:r>
              <w:rPr>
                <w:sz w:val="17"/>
              </w:rPr>
              <w:t>credit-card-group</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3,000.00</w:t>
            </w:r>
          </w:p>
        </w:tc>
      </w:tr>
    </w:tbl>
    <w:p>
      <w:pPr>
        <w:spacing w:after="0" w:before="0"/>
        <w:rPr>
          <w:sz w:val="6"/>
        </w:rPr>
      </w:pPr>
    </w:p>
    <w:p>
      <w:pPr>
        <w:pStyle w:val="ListBullet"/>
      </w:pPr>
      <w:r>
        <w:rPr>
          <w:b/>
        </w:rPr>
        <w:t>Card accounts.</w:t>
      </w:r>
      <w:r>
        <w:t xml:space="preserve"> A credit card's account is a liability 'Credit Card - &lt;label&gt;' in the credit-card group; a prepaid card's account is an asset 'Prepaid Card - &lt;label&gt;' in the bank group; a terminal or debit card points at an existing bank account. A credit card needs a credit limit; every card except a terminal needs a holder's name.</w:t>
      </w:r>
    </w:p>
    <w:p>
      <w:pPr>
        <w:pStyle w:val="ListBullet"/>
      </w:pPr>
      <w:r>
        <w:rPr>
          <w:b/>
        </w:rPr>
        <w:t>What is stored.</w:t>
      </w:r>
      <w:r>
        <w:t xml:space="preserve"> Only the last four digits and the expiry. A longer number or a CVV is refused (ONLY_LAST4, NO_FULL_NUMBER). A card's kind and account cannot change after creation.</w:t>
      </w:r>
    </w:p>
    <w:p>
      <w:pPr>
        <w:pStyle w:val="Heading2"/>
      </w:pPr>
      <w:r>
        <w:t>3.10 Expense voucher with VAT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Expense voucher (ledger-based)</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 xml:space="preserve">Saving an expense voucher with ledgerBased true (all current screens). The expense account must be an active posting account of type expense (NOT_AN_EXPENSE_ACCOUNT); the amount is above zero and is </w:t>
            </w:r>
            <w:r>
              <w:rPr>
                <w:b/>
                <w:sz w:val="17"/>
              </w:rPr>
              <w:t>before VAT</w:t>
            </w:r>
            <w:r>
              <w:rPr>
                <w:sz w:val="17"/>
              </w:rPr>
              <w:t>; a description is required. VAT = round(amount x rate / 100), the rate being that of the tax code on the voucher date; no code, no VAT.</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Keys used, payment</w:t>
            </w:r>
          </w:p>
        </w:tc>
        <w:tc>
          <w:tcPr>
            <w:tcW w:type="dxa" w:w="7733"/>
            <w:tcMar>
              <w:top w:w="20" w:type="dxa"/>
              <w:left w:w="60" w:type="dxa"/>
              <w:bottom w:w="20" w:type="dxa"/>
              <w:right w:w="60" w:type="dxa"/>
            </w:tcMar>
          </w:tcPr>
          <w:p>
            <w:pPr>
              <w:spacing w:after="10" w:before="0" w:line="240" w:lineRule="auto"/>
            </w:pPr>
            <w:r>
              <w:rPr>
                <w:rFonts w:ascii="Consolas" w:hAnsi="Consolas" w:eastAsia="Consolas"/>
                <w:sz w:val="16"/>
              </w:rPr>
              <w:t>vat-purchase</w:t>
            </w:r>
            <w:r>
              <w:rPr>
                <w:sz w:val="17"/>
              </w:rPr>
              <w:t xml:space="preserve"> (only if VAT &gt; 0) and the payment mode's keys. Any mode: cash, bank, transfer, cheque, card; a cheque waits in the cheques-issued account like any other.</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Number, reversal</w:t>
            </w:r>
          </w:p>
        </w:tc>
        <w:tc>
          <w:tcPr>
            <w:tcW w:type="dxa" w:w="7733"/>
            <w:tcMar>
              <w:top w:w="20" w:type="dxa"/>
              <w:left w:w="60" w:type="dxa"/>
              <w:bottom w:w="20" w:type="dxa"/>
              <w:right w:w="60" w:type="dxa"/>
            </w:tcMar>
          </w:tcPr>
          <w:p>
            <w:pPr>
              <w:spacing w:after="10" w:before="0" w:line="240" w:lineRule="auto"/>
            </w:pPr>
            <w:r>
              <w:rPr>
                <w:sz w:val="17"/>
              </w:rPr>
              <w:t>EV-YYYY-NNNN. Deleting reverses the entries and withdraws a pending cheque.</w:t>
            </w:r>
          </w:p>
        </w:tc>
      </w:tr>
    </w:tbl>
    <w:p>
      <w:pPr>
        <w:spacing w:after="0" w:before="0"/>
        <w:rPr>
          <w:sz w:val="8"/>
        </w:rPr>
      </w:pPr>
    </w:p>
    <w:p>
      <w:pPr>
        <w:pStyle w:val="Caption"/>
      </w:pPr>
      <w:r>
        <w:t>Table 32. Office rent AED 200.00 plus 5% VAT, paid in cash (bankingAndVouchers.test.js)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Rent Expense</w:t>
            </w:r>
          </w:p>
        </w:tc>
        <w:tc>
          <w:tcPr>
            <w:tcW w:type="dxa" w:w="2763"/>
            <w:tcMar>
              <w:top w:w="20" w:type="dxa"/>
              <w:left w:w="60" w:type="dxa"/>
              <w:bottom w:w="20" w:type="dxa"/>
              <w:right w:w="60" w:type="dxa"/>
            </w:tcMar>
            <w:vAlign w:val="top"/>
          </w:tcPr>
          <w:p>
            <w:pPr>
              <w:keepNext/>
              <w:spacing w:after="10" w:before="0" w:line="240" w:lineRule="auto"/>
            </w:pPr>
            <w:r>
              <w:rPr>
                <w:sz w:val="17"/>
              </w:rPr>
              <w:t>chosen account</w:t>
            </w:r>
          </w:p>
        </w:tc>
        <w:tc>
          <w:tcPr>
            <w:tcW w:type="dxa" w:w="1447"/>
            <w:tcMar>
              <w:top w:w="20" w:type="dxa"/>
              <w:left w:w="60" w:type="dxa"/>
              <w:bottom w:w="20" w:type="dxa"/>
              <w:right w:w="60" w:type="dxa"/>
            </w:tcMar>
            <w:vAlign w:val="top"/>
          </w:tcPr>
          <w:p>
            <w:pPr>
              <w:keepNext/>
              <w:spacing w:after="10" w:before="0" w:line="240" w:lineRule="auto"/>
              <w:jc w:val="right"/>
            </w:pPr>
            <w:r>
              <w:rPr>
                <w:sz w:val="17"/>
              </w:rPr>
              <w:t>200.00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Input VAT</w:t>
            </w:r>
          </w:p>
        </w:tc>
        <w:tc>
          <w:tcPr>
            <w:tcW w:type="dxa" w:w="2763"/>
            <w:tcMar>
              <w:top w:w="20" w:type="dxa"/>
              <w:left w:w="60" w:type="dxa"/>
              <w:bottom w:w="20" w:type="dxa"/>
              <w:right w:w="60" w:type="dxa"/>
            </w:tcMar>
            <w:vAlign w:val="top"/>
          </w:tcPr>
          <w:p>
            <w:pPr>
              <w:keepNext/>
              <w:spacing w:after="10" w:before="0" w:line="240" w:lineRule="auto"/>
            </w:pPr>
            <w:r>
              <w:rPr>
                <w:sz w:val="17"/>
              </w:rPr>
              <w:t>vat-purchase</w:t>
            </w:r>
          </w:p>
        </w:tc>
        <w:tc>
          <w:tcPr>
            <w:tcW w:type="dxa" w:w="1447"/>
            <w:tcMar>
              <w:top w:w="20" w:type="dxa"/>
              <w:left w:w="60" w:type="dxa"/>
              <w:bottom w:w="20" w:type="dxa"/>
              <w:right w:w="60" w:type="dxa"/>
            </w:tcMar>
            <w:vAlign w:val="top"/>
          </w:tcPr>
          <w:p>
            <w:pPr>
              <w:keepNext/>
              <w:spacing w:after="10" w:before="0" w:line="240" w:lineRule="auto"/>
              <w:jc w:val="right"/>
            </w:pPr>
            <w:r>
              <w:rPr>
                <w:sz w:val="17"/>
              </w:rPr>
              <w:t>10.00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Cash in Hand</w:t>
            </w:r>
          </w:p>
        </w:tc>
        <w:tc>
          <w:tcPr>
            <w:tcW w:type="dxa" w:w="2763"/>
            <w:tcMar>
              <w:top w:w="20" w:type="dxa"/>
              <w:left w:w="60" w:type="dxa"/>
              <w:bottom w:w="20" w:type="dxa"/>
              <w:right w:w="60" w:type="dxa"/>
            </w:tcMar>
            <w:vAlign w:val="top"/>
          </w:tcPr>
          <w:p>
            <w:pPr>
              <w:keepNext/>
              <w:spacing w:after="10" w:before="0" w:line="240" w:lineRule="auto"/>
            </w:pPr>
            <w:r>
              <w:rPr>
                <w:sz w:val="17"/>
              </w:rPr>
              <w:t>cash-account-group</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210.00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210.00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210.00</w:t>
            </w:r>
          </w:p>
        </w:tc>
      </w:tr>
    </w:tbl>
    <w:p>
      <w:pPr>
        <w:spacing w:after="0" w:before="0"/>
        <w:rPr>
          <w:sz w:val="6"/>
        </w:rPr>
      </w:pPr>
    </w:p>
    <w:p>
      <w:r>
        <w:t>The expense appears in box 9 of the VAT return as 200.00 with VAT 10.00 (section 4.13). A vendor can be named on the voucher for reference; no payable is created.</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 xml:space="preserve">Older expense, journal and contra vouchers posted to the 'Transactor' account list instead of the chart. The screens no longer create them, but the API still routes a request without </w:t>
            </w:r>
            <w:r>
              <w:rPr>
                <w:rFonts w:ascii="Consolas" w:hAnsi="Consolas" w:eastAsia="Consolas"/>
                <w:sz w:val="19"/>
              </w:rPr>
              <w:t>ledgerBased</w:t>
            </w:r>
            <w:r>
              <w:rPr>
                <w:sz w:val="20"/>
              </w:rPr>
              <w:t xml:space="preserve"> (or a journal without </w:t>
            </w:r>
            <w:r>
              <w:rPr>
                <w:rFonts w:ascii="Consolas" w:hAnsi="Consolas" w:eastAsia="Consolas"/>
                <w:sz w:val="19"/>
              </w:rPr>
              <w:t>lines</w:t>
            </w:r>
            <w:r>
              <w:rPr>
                <w:sz w:val="20"/>
              </w:rPr>
              <w:t>) to that older path (section 7.3).</w:t>
            </w:r>
          </w:p>
        </w:tc>
      </w:tr>
    </w:tbl>
    <w:p>
      <w:pPr>
        <w:spacing w:after="0" w:before="0"/>
        <w:rPr>
          <w:sz w:val="8"/>
        </w:rPr>
      </w:pPr>
    </w:p>
    <w:p>
      <w:pPr>
        <w:pStyle w:val="Heading2"/>
      </w:pPr>
      <w:r>
        <w:t>3.11 Debit notes and credit notes</w:t>
      </w:r>
    </w:p>
    <w:p>
      <w:r>
        <w:t xml:space="preserve">A note adjusts what a party owes without a stock movement. A </w:t>
      </w:r>
      <w:r>
        <w:rPr>
          <w:b/>
        </w:rPr>
        <w:t>debit note</w:t>
      </w:r>
      <w:r>
        <w:t xml:space="preserve"> debits the party; a </w:t>
      </w:r>
      <w:r>
        <w:rPr>
          <w:b/>
        </w:rPr>
        <w:t>credit note</w:t>
      </w:r>
      <w:r>
        <w:t xml:space="preserve"> credits the party. The lines are on income or expense accounts chosen by the user. VAT follows the party: output VAT for a customer, input VAT for a vendor.</w:t>
      </w:r>
    </w:p>
    <w:p>
      <w:pPr>
        <w:pStyle w:val="Caption"/>
      </w:pPr>
      <w:r>
        <w:t>Table 33. The four notes (LedgerVoucherService.processNote)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182"/>
        <w:gridCol w:w="1891"/>
        <w:gridCol w:w="1891"/>
        <w:gridCol w:w="1746"/>
        <w:gridCol w:w="1891"/>
      </w:tblGrid>
      <w:tr>
        <w:trPr>
          <w:tblHeader w:val="true"/>
          <w:cantSplit w:val="true"/>
        </w:trPr>
        <w:tc>
          <w:tcPr>
            <w:tcW w:type="dxa" w:w="2183"/>
            <w:shd w:val="clear" w:color="auto" w:fill="1F3A5F"/>
            <w:tcMar>
              <w:top w:w="20" w:type="dxa"/>
              <w:left w:w="60" w:type="dxa"/>
              <w:bottom w:w="20" w:type="dxa"/>
              <w:right w:w="60" w:type="dxa"/>
            </w:tcMar>
            <w:vAlign w:val="center"/>
          </w:tcPr>
          <w:p>
            <w:pPr>
              <w:spacing w:after="10" w:before="0" w:line="240" w:lineRule="auto"/>
            </w:pPr>
            <w:r>
              <w:rPr>
                <w:b/>
                <w:color w:val="FFFFFF"/>
                <w:sz w:val="17"/>
              </w:rPr>
              <w:t>Note</w:t>
            </w:r>
          </w:p>
        </w:tc>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Party account</w:t>
            </w:r>
          </w:p>
        </w:tc>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Lines</w:t>
            </w:r>
          </w:p>
        </w:tc>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VAT account</w:t>
            </w:r>
          </w:p>
        </w:tc>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Set against an invoice</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Credit note to a customer</w:t>
            </w:r>
          </w:p>
        </w:tc>
        <w:tc>
          <w:tcPr>
            <w:tcW w:type="dxa" w:w="1892"/>
            <w:tcMar>
              <w:top w:w="20" w:type="dxa"/>
              <w:left w:w="60" w:type="dxa"/>
              <w:bottom w:w="20" w:type="dxa"/>
              <w:right w:w="60" w:type="dxa"/>
            </w:tcMar>
            <w:vAlign w:val="top"/>
          </w:tcPr>
          <w:p>
            <w:pPr>
              <w:spacing w:after="10" w:before="0" w:line="240" w:lineRule="auto"/>
            </w:pPr>
            <w:r>
              <w:rPr>
                <w:sz w:val="17"/>
              </w:rPr>
              <w:t xml:space="preserve">Cr </w:t>
            </w:r>
            <w:r>
              <w:rPr>
                <w:rFonts w:ascii="Consolas" w:hAnsi="Consolas" w:eastAsia="Consolas"/>
                <w:sz w:val="16"/>
              </w:rPr>
              <w:t>Customer - name</w:t>
            </w:r>
          </w:p>
        </w:tc>
        <w:tc>
          <w:tcPr>
            <w:tcW w:type="dxa" w:w="1892"/>
            <w:tcMar>
              <w:top w:w="20" w:type="dxa"/>
              <w:left w:w="60" w:type="dxa"/>
              <w:bottom w:w="20" w:type="dxa"/>
              <w:right w:w="60" w:type="dxa"/>
            </w:tcMar>
            <w:vAlign w:val="top"/>
          </w:tcPr>
          <w:p>
            <w:pPr>
              <w:spacing w:after="10" w:before="0" w:line="240" w:lineRule="auto"/>
            </w:pPr>
            <w:r>
              <w:rPr>
                <w:sz w:val="17"/>
              </w:rPr>
              <w:t>Dr the chosen accounts</w:t>
            </w:r>
          </w:p>
        </w:tc>
        <w:tc>
          <w:tcPr>
            <w:tcW w:type="dxa" w:w="1746"/>
            <w:tcMar>
              <w:top w:w="20" w:type="dxa"/>
              <w:left w:w="60" w:type="dxa"/>
              <w:bottom w:w="20" w:type="dxa"/>
              <w:right w:w="60" w:type="dxa"/>
            </w:tcMar>
            <w:vAlign w:val="top"/>
          </w:tcPr>
          <w:p>
            <w:pPr>
              <w:spacing w:after="10" w:before="0" w:line="240" w:lineRule="auto"/>
            </w:pPr>
            <w:r>
              <w:rPr>
                <w:sz w:val="17"/>
              </w:rPr>
              <w:t xml:space="preserve">Dr </w:t>
            </w:r>
            <w:r>
              <w:rPr>
                <w:rFonts w:ascii="Consolas" w:hAnsi="Consolas" w:eastAsia="Consolas"/>
                <w:sz w:val="16"/>
              </w:rPr>
              <w:t>vat-sales</w:t>
            </w:r>
          </w:p>
        </w:tc>
        <w:tc>
          <w:tcPr>
            <w:tcW w:type="dxa" w:w="1892"/>
            <w:tcMar>
              <w:top w:w="20" w:type="dxa"/>
              <w:left w:w="60" w:type="dxa"/>
              <w:bottom w:w="20" w:type="dxa"/>
              <w:right w:w="60" w:type="dxa"/>
            </w:tcMar>
            <w:vAlign w:val="top"/>
          </w:tcPr>
          <w:p>
            <w:pPr>
              <w:spacing w:after="10" w:before="0" w:line="240" w:lineRule="auto"/>
            </w:pPr>
            <w:r>
              <w:rPr>
                <w:sz w:val="17"/>
              </w:rPr>
              <w:t>Yes: an approved sales invoice of the customer</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Debit note to a customer</w:t>
            </w:r>
          </w:p>
        </w:tc>
        <w:tc>
          <w:tcPr>
            <w:tcW w:type="dxa" w:w="1892"/>
            <w:tcMar>
              <w:top w:w="20" w:type="dxa"/>
              <w:left w:w="60" w:type="dxa"/>
              <w:bottom w:w="20" w:type="dxa"/>
              <w:right w:w="60" w:type="dxa"/>
            </w:tcMar>
            <w:vAlign w:val="top"/>
          </w:tcPr>
          <w:p>
            <w:pPr>
              <w:spacing w:after="10" w:before="0" w:line="240" w:lineRule="auto"/>
            </w:pPr>
            <w:r>
              <w:rPr>
                <w:sz w:val="17"/>
              </w:rPr>
              <w:t xml:space="preserve">Dr </w:t>
            </w:r>
            <w:r>
              <w:rPr>
                <w:rFonts w:ascii="Consolas" w:hAnsi="Consolas" w:eastAsia="Consolas"/>
                <w:sz w:val="16"/>
              </w:rPr>
              <w:t>Customer - name</w:t>
            </w:r>
          </w:p>
        </w:tc>
        <w:tc>
          <w:tcPr>
            <w:tcW w:type="dxa" w:w="1892"/>
            <w:tcMar>
              <w:top w:w="20" w:type="dxa"/>
              <w:left w:w="60" w:type="dxa"/>
              <w:bottom w:w="20" w:type="dxa"/>
              <w:right w:w="60" w:type="dxa"/>
            </w:tcMar>
            <w:vAlign w:val="top"/>
          </w:tcPr>
          <w:p>
            <w:pPr>
              <w:spacing w:after="10" w:before="0" w:line="240" w:lineRule="auto"/>
            </w:pPr>
            <w:r>
              <w:rPr>
                <w:sz w:val="17"/>
              </w:rPr>
              <w:t>Cr the chosen accounts</w:t>
            </w:r>
          </w:p>
        </w:tc>
        <w:tc>
          <w:tcPr>
            <w:tcW w:type="dxa" w:w="1746"/>
            <w:tcMar>
              <w:top w:w="20" w:type="dxa"/>
              <w:left w:w="60" w:type="dxa"/>
              <w:bottom w:w="20" w:type="dxa"/>
              <w:right w:w="60" w:type="dxa"/>
            </w:tcMar>
            <w:vAlign w:val="top"/>
          </w:tcPr>
          <w:p>
            <w:pPr>
              <w:spacing w:after="10" w:before="0" w:line="240" w:lineRule="auto"/>
            </w:pPr>
            <w:r>
              <w:rPr>
                <w:sz w:val="17"/>
              </w:rPr>
              <w:t xml:space="preserve">Cr </w:t>
            </w:r>
            <w:r>
              <w:rPr>
                <w:rFonts w:ascii="Consolas" w:hAnsi="Consolas" w:eastAsia="Consolas"/>
                <w:sz w:val="16"/>
              </w:rPr>
              <w:t>vat-sales</w:t>
            </w:r>
          </w:p>
        </w:tc>
        <w:tc>
          <w:tcPr>
            <w:tcW w:type="dxa" w:w="1892"/>
            <w:tcMar>
              <w:top w:w="20" w:type="dxa"/>
              <w:left w:w="60" w:type="dxa"/>
              <w:bottom w:w="20" w:type="dxa"/>
              <w:right w:w="60" w:type="dxa"/>
            </w:tcMar>
            <w:vAlign w:val="top"/>
          </w:tcPr>
          <w:p>
            <w:pPr>
              <w:spacing w:after="10" w:before="0" w:line="240" w:lineRule="auto"/>
            </w:pPr>
            <w:r>
              <w:rPr>
                <w:sz w:val="17"/>
              </w:rPr>
              <w:t>No (NOTE_CANNOT_SETTLE)</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Debit note to a vendor</w:t>
            </w:r>
          </w:p>
        </w:tc>
        <w:tc>
          <w:tcPr>
            <w:tcW w:type="dxa" w:w="1892"/>
            <w:tcMar>
              <w:top w:w="20" w:type="dxa"/>
              <w:left w:w="60" w:type="dxa"/>
              <w:bottom w:w="20" w:type="dxa"/>
              <w:right w:w="60" w:type="dxa"/>
            </w:tcMar>
            <w:vAlign w:val="top"/>
          </w:tcPr>
          <w:p>
            <w:pPr>
              <w:spacing w:after="10" w:before="0" w:line="240" w:lineRule="auto"/>
            </w:pPr>
            <w:r>
              <w:rPr>
                <w:sz w:val="17"/>
              </w:rPr>
              <w:t xml:space="preserve">Dr </w:t>
            </w:r>
            <w:r>
              <w:rPr>
                <w:rFonts w:ascii="Consolas" w:hAnsi="Consolas" w:eastAsia="Consolas"/>
                <w:sz w:val="16"/>
              </w:rPr>
              <w:t>Vendor - name</w:t>
            </w:r>
          </w:p>
        </w:tc>
        <w:tc>
          <w:tcPr>
            <w:tcW w:type="dxa" w:w="1892"/>
            <w:tcMar>
              <w:top w:w="20" w:type="dxa"/>
              <w:left w:w="60" w:type="dxa"/>
              <w:bottom w:w="20" w:type="dxa"/>
              <w:right w:w="60" w:type="dxa"/>
            </w:tcMar>
            <w:vAlign w:val="top"/>
          </w:tcPr>
          <w:p>
            <w:pPr>
              <w:spacing w:after="10" w:before="0" w:line="240" w:lineRule="auto"/>
            </w:pPr>
            <w:r>
              <w:rPr>
                <w:sz w:val="17"/>
              </w:rPr>
              <w:t>Cr the chosen accounts</w:t>
            </w:r>
          </w:p>
        </w:tc>
        <w:tc>
          <w:tcPr>
            <w:tcW w:type="dxa" w:w="1746"/>
            <w:tcMar>
              <w:top w:w="20" w:type="dxa"/>
              <w:left w:w="60" w:type="dxa"/>
              <w:bottom w:w="20" w:type="dxa"/>
              <w:right w:w="60" w:type="dxa"/>
            </w:tcMar>
            <w:vAlign w:val="top"/>
          </w:tcPr>
          <w:p>
            <w:pPr>
              <w:spacing w:after="10" w:before="0" w:line="240" w:lineRule="auto"/>
            </w:pPr>
            <w:r>
              <w:rPr>
                <w:sz w:val="17"/>
              </w:rPr>
              <w:t xml:space="preserve">Cr </w:t>
            </w:r>
            <w:r>
              <w:rPr>
                <w:rFonts w:ascii="Consolas" w:hAnsi="Consolas" w:eastAsia="Consolas"/>
                <w:sz w:val="16"/>
              </w:rPr>
              <w:t>vat-purchase</w:t>
            </w:r>
          </w:p>
        </w:tc>
        <w:tc>
          <w:tcPr>
            <w:tcW w:type="dxa" w:w="1892"/>
            <w:tcMar>
              <w:top w:w="20" w:type="dxa"/>
              <w:left w:w="60" w:type="dxa"/>
              <w:bottom w:w="20" w:type="dxa"/>
              <w:right w:w="60" w:type="dxa"/>
            </w:tcMar>
            <w:vAlign w:val="top"/>
          </w:tcPr>
          <w:p>
            <w:pPr>
              <w:spacing w:after="10" w:before="0" w:line="240" w:lineRule="auto"/>
            </w:pPr>
            <w:r>
              <w:rPr>
                <w:sz w:val="17"/>
              </w:rPr>
              <w:t>Yes: an approved purchase invoice of the vendor</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Credit note to a vendor</w:t>
            </w:r>
          </w:p>
        </w:tc>
        <w:tc>
          <w:tcPr>
            <w:tcW w:type="dxa" w:w="1892"/>
            <w:tcMar>
              <w:top w:w="20" w:type="dxa"/>
              <w:left w:w="60" w:type="dxa"/>
              <w:bottom w:w="20" w:type="dxa"/>
              <w:right w:w="60" w:type="dxa"/>
            </w:tcMar>
            <w:vAlign w:val="top"/>
          </w:tcPr>
          <w:p>
            <w:pPr>
              <w:spacing w:after="10" w:before="0" w:line="240" w:lineRule="auto"/>
            </w:pPr>
            <w:r>
              <w:rPr>
                <w:sz w:val="17"/>
              </w:rPr>
              <w:t xml:space="preserve">Cr </w:t>
            </w:r>
            <w:r>
              <w:rPr>
                <w:rFonts w:ascii="Consolas" w:hAnsi="Consolas" w:eastAsia="Consolas"/>
                <w:sz w:val="16"/>
              </w:rPr>
              <w:t>Vendor - name</w:t>
            </w:r>
          </w:p>
        </w:tc>
        <w:tc>
          <w:tcPr>
            <w:tcW w:type="dxa" w:w="1892"/>
            <w:tcMar>
              <w:top w:w="20" w:type="dxa"/>
              <w:left w:w="60" w:type="dxa"/>
              <w:bottom w:w="20" w:type="dxa"/>
              <w:right w:w="60" w:type="dxa"/>
            </w:tcMar>
            <w:vAlign w:val="top"/>
          </w:tcPr>
          <w:p>
            <w:pPr>
              <w:spacing w:after="10" w:before="0" w:line="240" w:lineRule="auto"/>
            </w:pPr>
            <w:r>
              <w:rPr>
                <w:sz w:val="17"/>
              </w:rPr>
              <w:t>Dr the chosen accounts</w:t>
            </w:r>
          </w:p>
        </w:tc>
        <w:tc>
          <w:tcPr>
            <w:tcW w:type="dxa" w:w="1746"/>
            <w:tcMar>
              <w:top w:w="20" w:type="dxa"/>
              <w:left w:w="60" w:type="dxa"/>
              <w:bottom w:w="20" w:type="dxa"/>
              <w:right w:w="60" w:type="dxa"/>
            </w:tcMar>
            <w:vAlign w:val="top"/>
          </w:tcPr>
          <w:p>
            <w:pPr>
              <w:spacing w:after="10" w:before="0" w:line="240" w:lineRule="auto"/>
            </w:pPr>
            <w:r>
              <w:rPr>
                <w:sz w:val="17"/>
              </w:rPr>
              <w:t xml:space="preserve">Dr </w:t>
            </w:r>
            <w:r>
              <w:rPr>
                <w:rFonts w:ascii="Consolas" w:hAnsi="Consolas" w:eastAsia="Consolas"/>
                <w:sz w:val="16"/>
              </w:rPr>
              <w:t>vat-purchase</w:t>
            </w:r>
          </w:p>
        </w:tc>
        <w:tc>
          <w:tcPr>
            <w:tcW w:type="dxa" w:w="1892"/>
            <w:tcMar>
              <w:top w:w="20" w:type="dxa"/>
              <w:left w:w="60" w:type="dxa"/>
              <w:bottom w:w="20" w:type="dxa"/>
              <w:right w:w="60" w:type="dxa"/>
            </w:tcMar>
            <w:vAlign w:val="top"/>
          </w:tcPr>
          <w:p>
            <w:pPr>
              <w:spacing w:after="10" w:before="0" w:line="240" w:lineRule="auto"/>
            </w:pPr>
            <w:r>
              <w:rPr>
                <w:sz w:val="17"/>
              </w:rPr>
              <w:t>No</w:t>
            </w:r>
          </w:p>
        </w:tc>
      </w:tr>
    </w:tbl>
    <w:p>
      <w:pPr>
        <w:spacing w:after="0" w:before="0"/>
        <w:rPr>
          <w:sz w:val="6"/>
        </w:rPr>
      </w:pPr>
    </w:p>
    <w:p>
      <w:pPr>
        <w:pStyle w:val="ListBullet"/>
      </w:pPr>
      <w:r>
        <w:rPr>
          <w:b/>
        </w:rPr>
        <w:t>Set against an invoice</w:t>
      </w:r>
      <w:r>
        <w:t xml:space="preserve"> (only a note that lowers what the party owes): the invoice must be approved, of the right type and party, and the note total cannot exceed its outstanding amount (NOTE_EXCEEDS_INVOICE). Paid and outstanding amounts move as for a receipt; deleting the note reopens the invoice. A note that lowers the balance and is not set against an invoice is money on account.</w:t>
      </w:r>
    </w:p>
    <w:p>
      <w:pPr>
        <w:pStyle w:val="ListBullet"/>
      </w:pPr>
      <w:r>
        <w:rPr>
          <w:b/>
        </w:rPr>
        <w:t>Numbers.</w:t>
      </w:r>
      <w:r>
        <w:t xml:space="preserve"> CN-YYYY-NNNN for credit notes, DN-YYYY-NNNN for debit notes.</w:t>
      </w:r>
    </w:p>
    <w:p>
      <w:pPr>
        <w:pStyle w:val="Caption"/>
      </w:pPr>
      <w:r>
        <w:t>Table 34. Notes (bankingAndVouchers.test.js)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Credit note to a customer: 40.00 plus 5% VAT, set against invoice SO of 210.00 (168.00 left)</w:t>
            </w:r>
          </w:p>
        </w:tc>
        <w:tc>
          <w:tcPr>
            <w:tcW w:type="dxa" w:w="2709"/>
            <w:tcMar>
              <w:top w:w="20" w:type="dxa"/>
              <w:left w:w="60" w:type="dxa"/>
              <w:bottom w:w="20" w:type="dxa"/>
              <w:right w:w="60" w:type="dxa"/>
            </w:tcMar>
            <w:vAlign w:val="top"/>
          </w:tcPr>
          <w:p>
            <w:pPr>
              <w:spacing w:after="10" w:before="0" w:line="240" w:lineRule="auto"/>
            </w:pPr>
            <w:r>
              <w:rPr>
                <w:sz w:val="17"/>
              </w:rPr>
              <w:t>Sales Discounts Given</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r>
              <w:rPr>
                <w:sz w:val="17"/>
              </w:rPr>
              <w:t>40.00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Output VAT</w:t>
            </w:r>
          </w:p>
        </w:tc>
        <w:tc>
          <w:tcPr>
            <w:tcW w:type="dxa" w:w="1970"/>
            <w:tcMar>
              <w:top w:w="20" w:type="dxa"/>
              <w:left w:w="60" w:type="dxa"/>
              <w:bottom w:w="20" w:type="dxa"/>
              <w:right w:w="60" w:type="dxa"/>
            </w:tcMar>
            <w:vAlign w:val="top"/>
          </w:tcPr>
          <w:p>
            <w:pPr>
              <w:spacing w:after="10" w:before="0" w:line="240" w:lineRule="auto"/>
            </w:pPr>
            <w:r>
              <w:rPr>
                <w:sz w:val="17"/>
              </w:rPr>
              <w:t>vat-sales</w:t>
            </w:r>
          </w:p>
        </w:tc>
        <w:tc>
          <w:tcPr>
            <w:tcW w:type="dxa" w:w="1108"/>
            <w:tcMar>
              <w:top w:w="20" w:type="dxa"/>
              <w:left w:w="60" w:type="dxa"/>
              <w:bottom w:w="20" w:type="dxa"/>
              <w:right w:w="60" w:type="dxa"/>
            </w:tcMar>
            <w:vAlign w:val="top"/>
          </w:tcPr>
          <w:p>
            <w:pPr>
              <w:spacing w:after="10" w:before="0" w:line="240" w:lineRule="auto"/>
              <w:jc w:val="right"/>
            </w:pPr>
            <w:r>
              <w:rPr>
                <w:sz w:val="17"/>
              </w:rPr>
              <w:t>2.00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42.00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Debit note to a customer: freight recovered 100.00 plus 5% VAT</w:t>
            </w: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r>
              <w:rPr>
                <w:sz w:val="17"/>
              </w:rPr>
              <w:t>105.00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Freight Recovered</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Output VAT</w:t>
            </w:r>
          </w:p>
        </w:tc>
        <w:tc>
          <w:tcPr>
            <w:tcW w:type="dxa" w:w="1970"/>
            <w:tcMar>
              <w:top w:w="20" w:type="dxa"/>
              <w:left w:w="60" w:type="dxa"/>
              <w:bottom w:w="20" w:type="dxa"/>
              <w:right w:w="60" w:type="dxa"/>
            </w:tcMar>
            <w:vAlign w:val="top"/>
          </w:tcPr>
          <w:p>
            <w:pPr>
              <w:spacing w:after="10" w:before="0" w:line="240" w:lineRule="auto"/>
            </w:pPr>
            <w:r>
              <w:rPr>
                <w:sz w:val="17"/>
              </w:rPr>
              <w:t>vat-sales</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5.00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Debit note to a vendor: purchase variance 200.00 plus 5% VAT (on account)</w:t>
            </w:r>
          </w:p>
        </w:tc>
        <w:tc>
          <w:tcPr>
            <w:tcW w:type="dxa" w:w="2709"/>
            <w:tcMar>
              <w:top w:w="20" w:type="dxa"/>
              <w:left w:w="60" w:type="dxa"/>
              <w:bottom w:w="20" w:type="dxa"/>
              <w:right w:w="60" w:type="dxa"/>
            </w:tcMar>
            <w:vAlign w:val="top"/>
          </w:tcPr>
          <w:p>
            <w:pPr>
              <w:spacing w:after="10" w:before="0" w:line="240" w:lineRule="auto"/>
            </w:pPr>
            <w:r>
              <w:rPr>
                <w:sz w:val="17"/>
              </w:rPr>
              <w:t>Vendor - Gulf Mills</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r>
              <w:rPr>
                <w:sz w:val="17"/>
              </w:rPr>
              <w:t>210.00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Purchase Variance</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Input VAT</w:t>
            </w:r>
          </w:p>
        </w:tc>
        <w:tc>
          <w:tcPr>
            <w:tcW w:type="dxa" w:w="1970"/>
            <w:tcMar>
              <w:top w:w="20" w:type="dxa"/>
              <w:left w:w="60" w:type="dxa"/>
              <w:bottom w:w="20" w:type="dxa"/>
              <w:right w:w="60" w:type="dxa"/>
            </w:tcMar>
            <w:vAlign w:val="top"/>
          </w:tcPr>
          <w:p>
            <w:pPr>
              <w:spacing w:after="10" w:before="0" w:line="240" w:lineRule="auto"/>
            </w:pPr>
            <w:r>
              <w:rPr>
                <w:sz w:val="17"/>
              </w:rPr>
              <w:t>vat-purchase</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w:t>
            </w:r>
          </w:p>
        </w:tc>
      </w:tr>
    </w:tbl>
    <w:p>
      <w:pPr>
        <w:spacing w:after="0" w:before="0"/>
        <w:rPr>
          <w:sz w:val="6"/>
        </w:rPr>
      </w:pPr>
    </w:p>
    <w:p>
      <w:pPr>
        <w:pStyle w:val="Heading2"/>
      </w:pPr>
      <w:r>
        <w:t>3.12 Journal voucher</w:t>
      </w:r>
    </w:p>
    <w:p>
      <w:r>
        <w:t>A journal has any number of lines. At least two; each line is a debit or a credit, not both and not neither; no negative amounts; a blank spare row is ignored. Debits and credits must be equal to within 0.005 (UNBALANCED). Each account must exist, be active and accept direct posting. It uses no configuration key: the user chooses every account. Number JV-YYYY-NNNN. Deleting reverses the entries and marks the voucher cancelled.</w:t>
      </w:r>
    </w:p>
    <w:p>
      <w:pPr>
        <w:pStyle w:val="Caption"/>
      </w:pPr>
      <w:r>
        <w:t>Table 35. Month-end accrual of AED 1,000.00 (bankingAndVouchers.test.js)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Rent Expense</w:t>
            </w:r>
          </w:p>
        </w:tc>
        <w:tc>
          <w:tcPr>
            <w:tcW w:type="dxa" w:w="2763"/>
            <w:tcMar>
              <w:top w:w="20" w:type="dxa"/>
              <w:left w:w="60" w:type="dxa"/>
              <w:bottom w:w="20" w:type="dxa"/>
              <w:right w:w="60" w:type="dxa"/>
            </w:tcMar>
            <w:vAlign w:val="top"/>
          </w:tcPr>
          <w:p>
            <w:pPr>
              <w:keepNext/>
              <w:spacing w:after="10" w:before="0" w:line="240" w:lineRule="auto"/>
            </w:pPr>
            <w:r>
              <w:rPr>
                <w:sz w:val="17"/>
              </w:rPr>
              <w:t>chosen account</w:t>
            </w:r>
          </w:p>
        </w:tc>
        <w:tc>
          <w:tcPr>
            <w:tcW w:type="dxa" w:w="1447"/>
            <w:tcMar>
              <w:top w:w="20" w:type="dxa"/>
              <w:left w:w="60" w:type="dxa"/>
              <w:bottom w:w="20" w:type="dxa"/>
              <w:right w:w="60" w:type="dxa"/>
            </w:tcMar>
            <w:vAlign w:val="top"/>
          </w:tcPr>
          <w:p>
            <w:pPr>
              <w:keepNext/>
              <w:spacing w:after="10" w:before="0" w:line="240" w:lineRule="auto"/>
              <w:jc w:val="right"/>
            </w:pPr>
            <w:r>
              <w:rPr>
                <w:sz w:val="17"/>
              </w:rPr>
              <w:t>700.00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Utilities</w:t>
            </w:r>
          </w:p>
        </w:tc>
        <w:tc>
          <w:tcPr>
            <w:tcW w:type="dxa" w:w="2763"/>
            <w:tcMar>
              <w:top w:w="20" w:type="dxa"/>
              <w:left w:w="60" w:type="dxa"/>
              <w:bottom w:w="20" w:type="dxa"/>
              <w:right w:w="60" w:type="dxa"/>
            </w:tcMar>
            <w:vAlign w:val="top"/>
          </w:tcPr>
          <w:p>
            <w:pPr>
              <w:keepNext/>
              <w:spacing w:after="10" w:before="0" w:line="240" w:lineRule="auto"/>
            </w:pPr>
            <w:r>
              <w:rPr>
                <w:sz w:val="17"/>
              </w:rPr>
              <w:t>chosen account</w:t>
            </w:r>
          </w:p>
        </w:tc>
        <w:tc>
          <w:tcPr>
            <w:tcW w:type="dxa" w:w="1447"/>
            <w:tcMar>
              <w:top w:w="20" w:type="dxa"/>
              <w:left w:w="60" w:type="dxa"/>
              <w:bottom w:w="20" w:type="dxa"/>
              <w:right w:w="60" w:type="dxa"/>
            </w:tcMar>
            <w:vAlign w:val="top"/>
          </w:tcPr>
          <w:p>
            <w:pPr>
              <w:keepNext/>
              <w:spacing w:after="10" w:before="0" w:line="240" w:lineRule="auto"/>
              <w:jc w:val="right"/>
            </w:pPr>
            <w:r>
              <w:rPr>
                <w:sz w:val="17"/>
              </w:rPr>
              <w:t>300.00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Cash in Hand</w:t>
            </w:r>
          </w:p>
        </w:tc>
        <w:tc>
          <w:tcPr>
            <w:tcW w:type="dxa" w:w="2763"/>
            <w:tcMar>
              <w:top w:w="20" w:type="dxa"/>
              <w:left w:w="60" w:type="dxa"/>
              <w:bottom w:w="20" w:type="dxa"/>
              <w:right w:w="60" w:type="dxa"/>
            </w:tcMar>
            <w:vAlign w:val="top"/>
          </w:tcPr>
          <w:p>
            <w:pPr>
              <w:keepNext/>
              <w:spacing w:after="10" w:before="0" w:line="240" w:lineRule="auto"/>
            </w:pPr>
            <w:r>
              <w:rPr>
                <w:sz w:val="17"/>
              </w:rPr>
              <w:t>chosen account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1,000.00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1,000.00</w:t>
            </w:r>
          </w:p>
        </w:tc>
      </w:tr>
    </w:tbl>
    <w:p>
      <w:pPr>
        <w:spacing w:after="0" w:before="0"/>
        <w:rPr>
          <w:sz w:val="6"/>
        </w:rPr>
      </w:pPr>
    </w:p>
    <w:p>
      <w:pPr>
        <w:pStyle w:val="Heading2"/>
      </w:pPr>
      <w:r>
        <w:t>3.13 Contra voucher</w:t>
      </w:r>
    </w:p>
    <w:p>
      <w:r>
        <w:t>A contra moves money between cash and bank accounts: a deposit, a withdrawal, a bank-to-bank transfer. Both accounts must be in the cash or bank group family (NOT_CASH_OR_BANK), must differ (SAME_ACCOUNT), and the amount must be above zero. If the account the money leaves is a cash account its current balance must cover the amount (CASH_INSUFFICIENT); a bank account may be overdrawn. Keys: the two group keys, to check the accounts. Number CV-YYYY-NNNN.</w:t>
      </w:r>
    </w:p>
    <w:p>
      <w:pPr>
        <w:pStyle w:val="Caption"/>
      </w:pPr>
      <w:r>
        <w:t>Table 36. Deposit of AED 1,000.00 from Cash in Hand to ENBD Current (ledgerReports.test.js)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ENBD Current</w:t>
            </w:r>
          </w:p>
        </w:tc>
        <w:tc>
          <w:tcPr>
            <w:tcW w:type="dxa" w:w="2763"/>
            <w:tcMar>
              <w:top w:w="20" w:type="dxa"/>
              <w:left w:w="60" w:type="dxa"/>
              <w:bottom w:w="20" w:type="dxa"/>
              <w:right w:w="60" w:type="dxa"/>
            </w:tcMar>
            <w:vAlign w:val="top"/>
          </w:tcPr>
          <w:p>
            <w:pPr>
              <w:keepNext/>
              <w:spacing w:after="10" w:before="0" w:line="240" w:lineRule="auto"/>
            </w:pPr>
            <w:r>
              <w:rPr>
                <w:sz w:val="17"/>
              </w:rPr>
              <w:t>bank-account-group</w:t>
            </w:r>
          </w:p>
        </w:tc>
        <w:tc>
          <w:tcPr>
            <w:tcW w:type="dxa" w:w="1447"/>
            <w:tcMar>
              <w:top w:w="20" w:type="dxa"/>
              <w:left w:w="60" w:type="dxa"/>
              <w:bottom w:w="20" w:type="dxa"/>
              <w:right w:w="60" w:type="dxa"/>
            </w:tcMar>
            <w:vAlign w:val="top"/>
          </w:tcPr>
          <w:p>
            <w:pPr>
              <w:keepNext/>
              <w:spacing w:after="10" w:before="0" w:line="240" w:lineRule="auto"/>
              <w:jc w:val="right"/>
            </w:pPr>
            <w:r>
              <w:rPr>
                <w:sz w:val="17"/>
              </w:rPr>
              <w:t>1,000.00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Cash in Hand</w:t>
            </w:r>
          </w:p>
        </w:tc>
        <w:tc>
          <w:tcPr>
            <w:tcW w:type="dxa" w:w="2763"/>
            <w:tcMar>
              <w:top w:w="20" w:type="dxa"/>
              <w:left w:w="60" w:type="dxa"/>
              <w:bottom w:w="20" w:type="dxa"/>
              <w:right w:w="60" w:type="dxa"/>
            </w:tcMar>
            <w:vAlign w:val="top"/>
          </w:tcPr>
          <w:p>
            <w:pPr>
              <w:keepNext/>
              <w:spacing w:after="10" w:before="0" w:line="240" w:lineRule="auto"/>
            </w:pPr>
            <w:r>
              <w:rPr>
                <w:sz w:val="17"/>
              </w:rPr>
              <w:t>cash-account-group</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1,000.00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1,000.00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1,000.00</w:t>
            </w:r>
          </w:p>
        </w:tc>
      </w:tr>
    </w:tbl>
    <w:p>
      <w:pPr>
        <w:spacing w:after="0" w:before="0"/>
        <w:rPr>
          <w:sz w:val="6"/>
        </w:rPr>
      </w:pPr>
    </w:p>
    <w:p>
      <w:r>
        <w:t>In the cash flow reports a contra nets to nothing, because both legs are on cash or bank accounts (section 4.4); in the cash and bank book it appears as money in on one account and money out on the other.</w:t>
      </w:r>
    </w:p>
    <w:p>
      <w:pPr>
        <w:pStyle w:val="Heading2"/>
      </w:pPr>
      <w:r>
        <w:t>3.14 Stock write-off and manual stock adjustment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Stock write-off (WriteOffService)</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Writing off part or all of a batch from the batch list, for expiry or damage (roles super admin, admin, manager). Open fiscal period for today; the quantity does not exceed the batch quantity (EXCEEDS_BATCH_QTY). The write-off is dated the moment it is made and cannot be back-dated.</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Stock effect</w:t>
            </w:r>
          </w:p>
        </w:tc>
        <w:tc>
          <w:tcPr>
            <w:tcW w:type="dxa" w:w="7733"/>
            <w:tcMar>
              <w:top w:w="20" w:type="dxa"/>
              <w:left w:w="60" w:type="dxa"/>
              <w:bottom w:w="20" w:type="dxa"/>
              <w:right w:w="60" w:type="dxa"/>
            </w:tcMar>
          </w:tcPr>
          <w:p>
            <w:pPr>
              <w:spacing w:after="10" w:before="0" w:line="240" w:lineRule="auto"/>
            </w:pPr>
            <w:r>
              <w:rPr>
                <w:sz w:val="17"/>
              </w:rPr>
              <w:t>The stock leaves at quantity x the item's current average cost (the 'sale' basis of the cost engine), so the average does not change. An inventory movement of type DAMAGED_STOCK is written for both reasons. The batch quantity falls; at zero the batch becomes 'written_off'.</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Posting</w:t>
            </w:r>
          </w:p>
        </w:tc>
        <w:tc>
          <w:tcPr>
            <w:tcW w:type="dxa" w:w="7733"/>
            <w:tcMar>
              <w:top w:w="20" w:type="dxa"/>
              <w:left w:w="60" w:type="dxa"/>
              <w:bottom w:w="20" w:type="dxa"/>
              <w:right w:w="60" w:type="dxa"/>
            </w:tcMar>
          </w:tcPr>
          <w:p>
            <w:pPr>
              <w:spacing w:after="10" w:before="0" w:line="240" w:lineRule="auto"/>
            </w:pPr>
            <w:r>
              <w:rPr>
                <w:sz w:val="17"/>
              </w:rPr>
              <w:t xml:space="preserve">Only if posting is on and the cost is above zero: Dr </w:t>
            </w:r>
            <w:r>
              <w:rPr>
                <w:rFonts w:ascii="Consolas" w:hAnsi="Consolas" w:eastAsia="Consolas"/>
                <w:sz w:val="16"/>
              </w:rPr>
              <w:t>write-off-expiry</w:t>
            </w:r>
            <w:r>
              <w:rPr>
                <w:sz w:val="17"/>
              </w:rPr>
              <w:t xml:space="preserve"> or </w:t>
            </w:r>
            <w:r>
              <w:rPr>
                <w:rFonts w:ascii="Consolas" w:hAnsi="Consolas" w:eastAsia="Consolas"/>
                <w:sz w:val="16"/>
              </w:rPr>
              <w:t>damage-loss</w:t>
            </w:r>
            <w:r>
              <w:rPr>
                <w:sz w:val="17"/>
              </w:rPr>
              <w:t xml:space="preserve">, Cr </w:t>
            </w:r>
            <w:r>
              <w:rPr>
                <w:rFonts w:ascii="Consolas" w:hAnsi="Consolas" w:eastAsia="Consolas"/>
                <w:sz w:val="16"/>
              </w:rPr>
              <w:t>inventory-asset</w:t>
            </w:r>
            <w:r>
              <w:rPr>
                <w:sz w:val="17"/>
              </w:rPr>
              <w:t>, voucher type stock_writeoff. Number WO-YYYY-NNNN.</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If reversed</w:t>
            </w:r>
          </w:p>
        </w:tc>
        <w:tc>
          <w:tcPr>
            <w:tcW w:type="dxa" w:w="7733"/>
            <w:tcMar>
              <w:top w:w="20" w:type="dxa"/>
              <w:left w:w="60" w:type="dxa"/>
              <w:bottom w:w="20" w:type="dxa"/>
              <w:right w:w="60" w:type="dxa"/>
            </w:tcMar>
          </w:tcPr>
          <w:p>
            <w:pPr>
              <w:spacing w:after="10" w:before="0" w:line="240" w:lineRule="auto"/>
            </w:pPr>
            <w:r>
              <w:rPr>
                <w:sz w:val="17"/>
              </w:rPr>
              <w:t>There is no reversal action. A mistaken write-off is corrected by a journal and a stock entry. Input VAT claimed on the purchase is not reversed.</w:t>
            </w:r>
          </w:p>
        </w:tc>
      </w:tr>
    </w:tbl>
    <w:p>
      <w:pPr>
        <w:spacing w:after="0" w:before="0"/>
        <w:rPr>
          <w:sz w:val="8"/>
        </w:rPr>
      </w:pPr>
    </w:p>
    <w:p>
      <w:pPr>
        <w:pStyle w:val="Caption"/>
      </w:pPr>
      <w:r>
        <w:t>Table 37. Write-off of 15 units of expired oil at an average of 20.66667 = AED 310.00 (stockReports.test.js)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Stock Write-off - Expiry</w:t>
            </w:r>
          </w:p>
        </w:tc>
        <w:tc>
          <w:tcPr>
            <w:tcW w:type="dxa" w:w="2763"/>
            <w:tcMar>
              <w:top w:w="20" w:type="dxa"/>
              <w:left w:w="60" w:type="dxa"/>
              <w:bottom w:w="20" w:type="dxa"/>
              <w:right w:w="60" w:type="dxa"/>
            </w:tcMar>
            <w:vAlign w:val="top"/>
          </w:tcPr>
          <w:p>
            <w:pPr>
              <w:keepNext/>
              <w:spacing w:after="10" w:before="0" w:line="240" w:lineRule="auto"/>
            </w:pPr>
            <w:r>
              <w:rPr>
                <w:sz w:val="17"/>
              </w:rPr>
              <w:t>write-off-expiry</w:t>
            </w:r>
          </w:p>
        </w:tc>
        <w:tc>
          <w:tcPr>
            <w:tcW w:type="dxa" w:w="1447"/>
            <w:tcMar>
              <w:top w:w="20" w:type="dxa"/>
              <w:left w:w="60" w:type="dxa"/>
              <w:bottom w:w="20" w:type="dxa"/>
              <w:right w:w="60" w:type="dxa"/>
            </w:tcMar>
            <w:vAlign w:val="top"/>
          </w:tcPr>
          <w:p>
            <w:pPr>
              <w:keepNext/>
              <w:spacing w:after="10" w:before="0" w:line="240" w:lineRule="auto"/>
              <w:jc w:val="right"/>
            </w:pPr>
            <w:r>
              <w:rPr>
                <w:sz w:val="17"/>
              </w:rPr>
              <w:t>310.00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Inventory Stock</w:t>
            </w:r>
          </w:p>
        </w:tc>
        <w:tc>
          <w:tcPr>
            <w:tcW w:type="dxa" w:w="2763"/>
            <w:tcMar>
              <w:top w:w="20" w:type="dxa"/>
              <w:left w:w="60" w:type="dxa"/>
              <w:bottom w:w="20" w:type="dxa"/>
              <w:right w:w="60" w:type="dxa"/>
            </w:tcMar>
            <w:vAlign w:val="top"/>
          </w:tcPr>
          <w:p>
            <w:pPr>
              <w:keepNext/>
              <w:spacing w:after="10" w:before="0" w:line="240" w:lineRule="auto"/>
            </w:pPr>
            <w:r>
              <w:rPr>
                <w:sz w:val="17"/>
              </w:rPr>
              <w:t>inventory-asset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310.00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310.00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310.00</w:t>
            </w:r>
          </w:p>
        </w:tc>
      </w:tr>
    </w:tbl>
    <w:p>
      <w:pPr>
        <w:spacing w:after="0" w:before="0"/>
        <w:rPr>
          <w:sz w:val="6"/>
        </w:rPr>
      </w:pPr>
    </w:p>
    <w:p>
      <w:pPr>
        <w:pStyle w:val="Heading3"/>
      </w:pPr>
      <w:r>
        <w:t>3.14.1 Manual stock adjustment and initial stock</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72"/>
        <w:gridCol w:w="7732"/>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Manual stock adjustment (StockAdjustmentService)</w:t>
            </w:r>
          </w:p>
        </w:tc>
      </w:tr>
      <w:tr>
        <w:tc>
          <w:tcPr>
            <w:tcW w:type="dxa" w:w="1872"/>
            <w:shd w:val="clear" w:color="auto" w:fill="E7EBF1"/>
            <w:tcMar>
              <w:top w:w="20" w:type="dxa"/>
              <w:left w:w="60" w:type="dxa"/>
              <w:bottom w:w="20" w:type="dxa"/>
              <w:right w:w="60" w:type="dxa"/>
            </w:tcMar>
          </w:tcPr>
          <w:p>
            <w:pPr>
              <w:keepNext/>
              <w:spacing w:after="10" w:before="0" w:line="240" w:lineRule="auto"/>
            </w:pPr>
            <w:r>
              <w:rPr>
                <w:b/>
                <w:color w:val="1B2433"/>
                <w:sz w:val="17"/>
              </w:rPr>
              <w:t>Trigger and preconditions</w:t>
            </w:r>
          </w:p>
        </w:tc>
        <w:tc>
          <w:tcPr>
            <w:tcW w:type="dxa" w:w="7733"/>
            <w:tcMar>
              <w:top w:w="20" w:type="dxa"/>
              <w:left w:w="60" w:type="dxa"/>
              <w:bottom w:w="20" w:type="dxa"/>
              <w:right w:w="60" w:type="dxa"/>
            </w:tcMar>
          </w:tcPr>
          <w:p>
            <w:pPr>
              <w:keepNext/>
              <w:spacing w:after="10" w:before="0" w:line="240" w:lineRule="auto"/>
            </w:pPr>
            <w:r>
              <w:rPr>
                <w:sz w:val="17"/>
              </w:rPr>
              <w:t xml:space="preserve">A change of an item's quantity that is not a trade document: editing the quantity on the item (PUT /stock/stock/:id with </w:t>
            </w:r>
            <w:r>
              <w:rPr>
                <w:rFonts w:ascii="Consolas" w:hAnsi="Consolas" w:eastAsia="Consolas"/>
                <w:sz w:val="16"/>
              </w:rPr>
              <w:t>currentStock</w:t>
            </w:r>
            <w:r>
              <w:rPr>
                <w:sz w:val="17"/>
              </w:rPr>
              <w:t>, or PATCH /stock/stock/:id/quantity) or typing a movement on the Inventory page (POST /inventory/inventory, a signed quantity). The new quantity cannot be negative. The fiscal period of today must be open; this is checked whether or not posting is on. A request that leaves the quantity as it is records nothing.</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Stock effect</w:t>
            </w:r>
          </w:p>
        </w:tc>
        <w:tc>
          <w:tcPr>
            <w:tcW w:type="dxa" w:w="7733"/>
            <w:tcMar>
              <w:top w:w="20" w:type="dxa"/>
              <w:left w:w="60" w:type="dxa"/>
              <w:bottom w:w="20" w:type="dxa"/>
              <w:right w:w="60" w:type="dxa"/>
            </w:tcMar>
          </w:tcPr>
          <w:p>
            <w:pPr>
              <w:spacing w:after="10" w:before="0" w:line="240" w:lineRule="auto"/>
            </w:pPr>
            <w:r>
              <w:rPr>
                <w:sz w:val="17"/>
              </w:rPr>
              <w:t xml:space="preserve">A </w:t>
            </w:r>
            <w:r>
              <w:rPr>
                <w:b/>
                <w:sz w:val="17"/>
              </w:rPr>
              <w:t>decrease</w:t>
            </w:r>
            <w:r>
              <w:rPr>
                <w:sz w:val="17"/>
              </w:rPr>
              <w:t xml:space="preserve"> leaves at the item's average cost (the 'sale' basis of the cost engine), so the average does not change, and takes the batches first-expiry-first-out. An </w:t>
            </w:r>
            <w:r>
              <w:rPr>
                <w:b/>
                <w:sz w:val="17"/>
              </w:rPr>
              <w:t>increase</w:t>
            </w:r>
            <w:r>
              <w:rPr>
                <w:sz w:val="17"/>
              </w:rPr>
              <w:t xml:space="preserve"> enters at the unit cost sent with the request (</w:t>
            </w:r>
            <w:r>
              <w:rPr>
                <w:rFonts w:ascii="Consolas" w:hAnsi="Consolas" w:eastAsia="Consolas"/>
                <w:sz w:val="16"/>
              </w:rPr>
              <w:t>unitCost</w:t>
            </w:r>
            <w:r>
              <w:rPr>
                <w:sz w:val="17"/>
              </w:rPr>
              <w:t xml:space="preserve"> on the Inventory page, </w:t>
            </w:r>
            <w:r>
              <w:rPr>
                <w:rFonts w:ascii="Consolas" w:hAnsi="Consolas" w:eastAsia="Consolas"/>
                <w:sz w:val="16"/>
              </w:rPr>
              <w:t>purchasePrice</w:t>
            </w:r>
            <w:r>
              <w:rPr>
                <w:sz w:val="17"/>
              </w:rPr>
              <w:t xml:space="preserve"> on the item edit), else at the current average, so the average is unchanged; a different cost re-averages the pool; a batch number creates a batch of the added quantity. Quantity, cost value and average cost change together. One inventory movement is written (event type STOCK_ADJUSTMENT, or the type chosen on the Inventory page; cost basis 'adjustment') with the rate before and after. The number is SA-YYYY-NNNN; the movement's reference is the one typed, else that number.</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Posting</w:t>
            </w:r>
          </w:p>
        </w:tc>
        <w:tc>
          <w:tcPr>
            <w:tcW w:type="dxa" w:w="7733"/>
            <w:tcMar>
              <w:top w:w="20" w:type="dxa"/>
              <w:left w:w="60" w:type="dxa"/>
              <w:bottom w:w="20" w:type="dxa"/>
              <w:right w:w="60" w:type="dxa"/>
            </w:tcMar>
          </w:tcPr>
          <w:p>
            <w:pPr>
              <w:spacing w:after="10" w:before="0" w:line="240" w:lineRule="auto"/>
            </w:pPr>
            <w:r>
              <w:rPr>
                <w:sz w:val="17"/>
              </w:rPr>
              <w:t xml:space="preserve">Only if posting is on and the cost is above zero. Gain: Dr </w:t>
            </w:r>
            <w:r>
              <w:rPr>
                <w:rFonts w:ascii="Consolas" w:hAnsi="Consolas" w:eastAsia="Consolas"/>
                <w:sz w:val="16"/>
              </w:rPr>
              <w:t>inventory-asset</w:t>
            </w:r>
            <w:r>
              <w:rPr>
                <w:sz w:val="17"/>
              </w:rPr>
              <w:t xml:space="preserve">, Cr </w:t>
            </w:r>
            <w:r>
              <w:rPr>
                <w:rFonts w:ascii="Consolas" w:hAnsi="Consolas" w:eastAsia="Consolas"/>
                <w:sz w:val="16"/>
              </w:rPr>
              <w:t>stock-adjustment</w:t>
            </w:r>
            <w:r>
              <w:rPr>
                <w:sz w:val="17"/>
              </w:rPr>
              <w:t xml:space="preserve">. Loss: Dr </w:t>
            </w:r>
            <w:r>
              <w:rPr>
                <w:rFonts w:ascii="Consolas" w:hAnsi="Consolas" w:eastAsia="Consolas"/>
                <w:sz w:val="16"/>
              </w:rPr>
              <w:t>stock-adjustment</w:t>
            </w:r>
            <w:r>
              <w:rPr>
                <w:sz w:val="17"/>
              </w:rPr>
              <w:t xml:space="preserve">, Cr </w:t>
            </w:r>
            <w:r>
              <w:rPr>
                <w:rFonts w:ascii="Consolas" w:hAnsi="Consolas" w:eastAsia="Consolas"/>
                <w:sz w:val="16"/>
              </w:rPr>
              <w:t>inventory-asset</w:t>
            </w:r>
            <w:r>
              <w:rPr>
                <w:sz w:val="17"/>
              </w:rPr>
              <w:t>. Amount = the cost of the units added or removed. Voucher type stock_adjustment, voucher number the SA number, dated the moment it is made; the narration names the item, the sign and the quantity. On the default chart the account sits in Cost of Goods Sold, so a loss raises direct costs and a gain lowers them.</w:t>
            </w:r>
          </w:p>
        </w:tc>
      </w:tr>
      <w:tr>
        <w:tc>
          <w:tcPr>
            <w:tcW w:type="dxa" w:w="1872"/>
            <w:shd w:val="clear" w:color="auto" w:fill="E7EBF1"/>
            <w:tcMar>
              <w:top w:w="20" w:type="dxa"/>
              <w:left w:w="60" w:type="dxa"/>
              <w:bottom w:w="20" w:type="dxa"/>
              <w:right w:w="60" w:type="dxa"/>
            </w:tcMar>
          </w:tcPr>
          <w:p>
            <w:pPr>
              <w:spacing w:after="10" w:before="0" w:line="240" w:lineRule="auto"/>
            </w:pPr>
            <w:r>
              <w:rPr>
                <w:b/>
                <w:color w:val="1B2433"/>
                <w:sz w:val="17"/>
              </w:rPr>
              <w:t>If reversed or missed</w:t>
            </w:r>
          </w:p>
        </w:tc>
        <w:tc>
          <w:tcPr>
            <w:tcW w:type="dxa" w:w="7733"/>
            <w:tcMar>
              <w:top w:w="20" w:type="dxa"/>
              <w:left w:w="60" w:type="dxa"/>
              <w:bottom w:w="20" w:type="dxa"/>
              <w:right w:w="60" w:type="dxa"/>
            </w:tcMar>
          </w:tcPr>
          <w:p>
            <w:pPr>
              <w:spacing w:after="10" w:before="0" w:line="240" w:lineRule="auto"/>
            </w:pPr>
            <w:r>
              <w:rPr>
                <w:sz w:val="17"/>
              </w:rPr>
              <w:t>There is no reversal action: correct a mistake with an opposite adjustment. With posting off the quantity, cost pool, batches and movement still change, and the number is used, but nothing reaches the ledger and the later catch-up does not add it (section 2.5).</w:t>
            </w:r>
          </w:p>
        </w:tc>
      </w:tr>
    </w:tbl>
    <w:p>
      <w:pPr>
        <w:spacing w:after="0" w:before="0"/>
        <w:rPr>
          <w:sz w:val="8"/>
        </w:rPr>
      </w:pPr>
    </w:p>
    <w:p>
      <w:pPr>
        <w:pStyle w:val="Caption"/>
      </w:pPr>
      <w:r>
        <w:t>Table 38. Manual adjustments of one item (stockAdjustment.test.js)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Count finds 10 units, entered at 12.00: gain of 120.00</w:t>
            </w:r>
          </w:p>
        </w:tc>
        <w:tc>
          <w:tcPr>
            <w:tcW w:type="dxa" w:w="2709"/>
            <w:tcMar>
              <w:top w:w="20" w:type="dxa"/>
              <w:left w:w="60" w:type="dxa"/>
              <w:bottom w:w="20" w:type="dxa"/>
              <w:right w:w="60" w:type="dxa"/>
            </w:tcMar>
            <w:vAlign w:val="top"/>
          </w:tcPr>
          <w:p>
            <w:pPr>
              <w:spacing w:after="10" w:before="0" w:line="240" w:lineRule="auto"/>
            </w:pPr>
            <w:r>
              <w:rPr>
                <w:sz w:val="17"/>
              </w:rPr>
              <w:t>Inventory Stock</w:t>
            </w:r>
          </w:p>
        </w:tc>
        <w:tc>
          <w:tcPr>
            <w:tcW w:type="dxa" w:w="1970"/>
            <w:tcMar>
              <w:top w:w="20" w:type="dxa"/>
              <w:left w:w="60" w:type="dxa"/>
              <w:bottom w:w="20" w:type="dxa"/>
              <w:right w:w="60" w:type="dxa"/>
            </w:tcMar>
            <w:vAlign w:val="top"/>
          </w:tcPr>
          <w:p>
            <w:pPr>
              <w:spacing w:after="10" w:before="0" w:line="240" w:lineRule="auto"/>
            </w:pPr>
            <w:r>
              <w:rPr>
                <w:sz w:val="17"/>
              </w:rPr>
              <w:t>inventory-asset</w:t>
            </w:r>
          </w:p>
        </w:tc>
        <w:tc>
          <w:tcPr>
            <w:tcW w:type="dxa" w:w="1108"/>
            <w:tcMar>
              <w:top w:w="20" w:type="dxa"/>
              <w:left w:w="60" w:type="dxa"/>
              <w:bottom w:w="20" w:type="dxa"/>
              <w:right w:w="60" w:type="dxa"/>
            </w:tcMar>
            <w:vAlign w:val="top"/>
          </w:tcPr>
          <w:p>
            <w:pPr>
              <w:spacing w:after="10" w:before="0" w:line="240" w:lineRule="auto"/>
              <w:jc w:val="right"/>
            </w:pPr>
            <w:r>
              <w:rPr>
                <w:sz w:val="17"/>
              </w:rPr>
              <w:t>120.00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Stock Adjustment</w:t>
            </w:r>
          </w:p>
        </w:tc>
        <w:tc>
          <w:tcPr>
            <w:tcW w:type="dxa" w:w="1970"/>
            <w:tcMar>
              <w:top w:w="20" w:type="dxa"/>
              <w:left w:w="60" w:type="dxa"/>
              <w:bottom w:w="20" w:type="dxa"/>
              <w:right w:w="60" w:type="dxa"/>
            </w:tcMar>
            <w:vAlign w:val="top"/>
          </w:tcPr>
          <w:p>
            <w:pPr>
              <w:spacing w:after="10" w:before="0" w:line="240" w:lineRule="auto"/>
            </w:pPr>
            <w:r>
              <w:rPr>
                <w:sz w:val="17"/>
              </w:rPr>
              <w:t>stock-adjustment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120.00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Quantity corrected from 10 to 6: loss of 4 units at the average 12.00 = 48.00</w:t>
            </w:r>
          </w:p>
        </w:tc>
        <w:tc>
          <w:tcPr>
            <w:tcW w:type="dxa" w:w="2709"/>
            <w:tcMar>
              <w:top w:w="20" w:type="dxa"/>
              <w:left w:w="60" w:type="dxa"/>
              <w:bottom w:w="20" w:type="dxa"/>
              <w:right w:w="60" w:type="dxa"/>
            </w:tcMar>
            <w:vAlign w:val="top"/>
          </w:tcPr>
          <w:p>
            <w:pPr>
              <w:spacing w:after="10" w:before="0" w:line="240" w:lineRule="auto"/>
            </w:pPr>
            <w:r>
              <w:rPr>
                <w:sz w:val="17"/>
              </w:rPr>
              <w:t>Stock Adjustment</w:t>
            </w:r>
          </w:p>
        </w:tc>
        <w:tc>
          <w:tcPr>
            <w:tcW w:type="dxa" w:w="1970"/>
            <w:tcMar>
              <w:top w:w="20" w:type="dxa"/>
              <w:left w:w="60" w:type="dxa"/>
              <w:bottom w:w="20" w:type="dxa"/>
              <w:right w:w="60" w:type="dxa"/>
            </w:tcMar>
            <w:vAlign w:val="top"/>
          </w:tcPr>
          <w:p>
            <w:pPr>
              <w:spacing w:after="10" w:before="0" w:line="240" w:lineRule="auto"/>
            </w:pPr>
            <w:r>
              <w:rPr>
                <w:sz w:val="17"/>
              </w:rPr>
              <w:t>stock-adjustment</w:t>
            </w:r>
          </w:p>
        </w:tc>
        <w:tc>
          <w:tcPr>
            <w:tcW w:type="dxa" w:w="1108"/>
            <w:tcMar>
              <w:top w:w="20" w:type="dxa"/>
              <w:left w:w="60" w:type="dxa"/>
              <w:bottom w:w="20" w:type="dxa"/>
              <w:right w:w="60" w:type="dxa"/>
            </w:tcMar>
            <w:vAlign w:val="top"/>
          </w:tcPr>
          <w:p>
            <w:pPr>
              <w:spacing w:after="10" w:before="0" w:line="240" w:lineRule="auto"/>
              <w:jc w:val="right"/>
            </w:pPr>
            <w:r>
              <w:rPr>
                <w:sz w:val="17"/>
              </w:rPr>
              <w:t>48.00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Inventory Stock</w:t>
            </w:r>
          </w:p>
        </w:tc>
        <w:tc>
          <w:tcPr>
            <w:tcW w:type="dxa" w:w="1970"/>
            <w:tcMar>
              <w:top w:w="20" w:type="dxa"/>
              <w:left w:w="60" w:type="dxa"/>
              <w:bottom w:w="20" w:type="dxa"/>
              <w:right w:w="60" w:type="dxa"/>
            </w:tcMar>
            <w:vAlign w:val="top"/>
          </w:tcPr>
          <w:p>
            <w:pPr>
              <w:spacing w:after="10" w:before="0" w:line="240" w:lineRule="auto"/>
            </w:pPr>
            <w:r>
              <w:rPr>
                <w:sz w:val="17"/>
              </w:rPr>
              <w:t>inventory-asset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48.00</w:t>
            </w:r>
          </w:p>
        </w:tc>
      </w:tr>
    </w:tbl>
    <w:p>
      <w:pPr>
        <w:spacing w:after="0" w:before="0"/>
        <w:rPr>
          <w:sz w:val="6"/>
        </w:rPr>
      </w:pPr>
    </w:p>
    <w:p>
      <w:r>
        <w:t>After both events Inventory is debited 72.00 net, which is 6 units at 12.00, and Stock Adjustment is credited 72.00 net. A later gain of 4 units at 14.00 on top of 8 units at 12.00 re-averages the pool to 152.00 over 12 units (12.66667). The test also shows that an edit which leaves the quantity alone writes no movement and no entry, and that a closed period refuses the adjustment and leaves the stock untouched.</w:t>
      </w:r>
    </w:p>
    <w:p>
      <w:r>
        <w:rPr>
          <w:b/>
        </w:rPr>
        <w:t>Initial stock.</w:t>
      </w:r>
      <w:r>
        <w:t xml:space="preserve"> Creating an item with a quantity (POST /stock/stock with </w:t>
      </w:r>
      <w:r>
        <w:rPr>
          <w:rFonts w:ascii="Consolas" w:hAnsi="Consolas" w:eastAsia="Consolas"/>
        </w:rPr>
        <w:t>currentStock</w:t>
      </w:r>
      <w:r>
        <w:t>) writes an INITIAL_STOCK movement at the purchase price entered. Its reference is INIT-&lt;item code&gt;; it takes no number from a series, does not set the cost value and is not posted to the ledger. Opening stock for a company going live belongs in Opening balances (next section), which is posted.</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 xml:space="preserve">Manual adjustments post when ledger posting is on. </w:t>
            </w:r>
            <w:r>
              <w:rPr>
                <w:b/>
                <w:sz w:val="20"/>
              </w:rPr>
              <w:t>Not posted:</w:t>
            </w:r>
            <w:r>
              <w:rPr>
                <w:sz w:val="20"/>
              </w:rPr>
              <w:t xml:space="preserve"> the quantity entered when an item is created, and any adjustment made while posting was off. The stock valuation (section 4.15) shows both as a difference against the Inventory account.</w:t>
            </w:r>
          </w:p>
        </w:tc>
      </w:tr>
    </w:tbl>
    <w:p>
      <w:pPr>
        <w:spacing w:after="0" w:before="0"/>
        <w:rPr>
          <w:sz w:val="8"/>
        </w:rPr>
      </w:pPr>
    </w:p>
    <w:p>
      <w:pPr>
        <w:pStyle w:val="Heading2"/>
      </w:pPr>
      <w:r>
        <w:t>3.15 Opening balances</w:t>
      </w:r>
    </w:p>
    <w:p>
      <w:r>
        <w:t xml:space="preserve">Opening balances are the go-live set-up: a company moving from another system chooses a go-live date and enters, as at that date, account balances, customer and vendor open invoices, and stock. Everything is posted against </w:t>
      </w:r>
      <w:r>
        <w:rPr>
          <w:b/>
        </w:rPr>
        <w:t>Opening Balance Equity</w:t>
      </w:r>
      <w:r>
        <w:t xml:space="preserve"> (key </w:t>
      </w:r>
      <w:r>
        <w:rPr>
          <w:rFonts w:ascii="Consolas" w:hAnsi="Consolas" w:eastAsia="Consolas"/>
        </w:rPr>
        <w:t>opening-balance-equity</w:t>
      </w:r>
      <w:r>
        <w:t>), so the opening trial balance balances by construction and the difference lands in equity.</w:t>
      </w:r>
    </w:p>
    <w:p>
      <w:pPr>
        <w:pStyle w:val="Caption"/>
      </w:pPr>
      <w:r>
        <w:t>Table 39. Opening balances: the rules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182"/>
        <w:gridCol w:w="7421"/>
      </w:tblGrid>
      <w:tr>
        <w:trPr>
          <w:tblHeader w:val="true"/>
          <w:cantSplit w:val="true"/>
        </w:trPr>
        <w:tc>
          <w:tcPr>
            <w:tcW w:type="dxa" w:w="2183"/>
            <w:shd w:val="clear" w:color="auto" w:fill="1F3A5F"/>
            <w:tcMar>
              <w:top w:w="20" w:type="dxa"/>
              <w:left w:w="60" w:type="dxa"/>
              <w:bottom w:w="20" w:type="dxa"/>
              <w:right w:w="60" w:type="dxa"/>
            </w:tcMar>
            <w:vAlign w:val="center"/>
          </w:tcPr>
          <w:p>
            <w:pPr>
              <w:spacing w:after="10" w:before="0" w:line="240" w:lineRule="auto"/>
            </w:pPr>
            <w:r>
              <w:rPr>
                <w:b/>
                <w:color w:val="FFFFFF"/>
                <w:sz w:val="17"/>
              </w:rPr>
              <w:t>Rule</w:t>
            </w:r>
          </w:p>
        </w:tc>
        <w:tc>
          <w:tcPr>
            <w:tcW w:type="dxa" w:w="7422"/>
            <w:shd w:val="clear" w:color="auto" w:fill="1F3A5F"/>
            <w:tcMar>
              <w:top w:w="20" w:type="dxa"/>
              <w:left w:w="60" w:type="dxa"/>
              <w:bottom w:w="20" w:type="dxa"/>
              <w:right w:w="60" w:type="dxa"/>
            </w:tcMar>
            <w:vAlign w:val="center"/>
          </w:tcPr>
          <w:p>
            <w:pPr>
              <w:spacing w:after="10" w:before="0" w:line="240" w:lineRule="auto"/>
            </w:pPr>
            <w:r>
              <w:rPr>
                <w:b/>
                <w:color w:val="FFFFFF"/>
                <w:sz w:val="17"/>
              </w:rPr>
              <w:t>Detail</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Go-live date</w:t>
            </w:r>
          </w:p>
        </w:tc>
        <w:tc>
          <w:tcPr>
            <w:tcW w:type="dxa" w:w="7422"/>
            <w:tcMar>
              <w:top w:w="20" w:type="dxa"/>
              <w:left w:w="60" w:type="dxa"/>
              <w:bottom w:w="20" w:type="dxa"/>
              <w:right w:w="60" w:type="dxa"/>
            </w:tcMar>
            <w:vAlign w:val="top"/>
          </w:tcPr>
          <w:p>
            <w:pPr>
              <w:spacing w:after="10" w:before="0" w:line="240" w:lineRule="auto"/>
            </w:pPr>
            <w:r>
              <w:rPr>
                <w:sz w:val="17"/>
              </w:rPr>
              <w:t>One date for the company; every opening entry is dated that day (00:00 UTC, 04:00 Dubai). It is fixed once any live opening entry exists (GO_LIVE_DATE_LOCKED). Setting it warns, without blocking, if approved documents or vouchers are dated earlier.</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Posting, period, reversal</w:t>
            </w:r>
          </w:p>
        </w:tc>
        <w:tc>
          <w:tcPr>
            <w:tcW w:type="dxa" w:w="7422"/>
            <w:tcMar>
              <w:top w:w="20" w:type="dxa"/>
              <w:left w:w="60" w:type="dxa"/>
              <w:bottom w:w="20" w:type="dxa"/>
              <w:right w:w="60" w:type="dxa"/>
            </w:tcMar>
            <w:vAlign w:val="top"/>
          </w:tcPr>
          <w:p>
            <w:pPr>
              <w:spacing w:after="10" w:before="0" w:line="240" w:lineRule="auto"/>
            </w:pPr>
            <w:r>
              <w:rPr>
                <w:sz w:val="17"/>
              </w:rPr>
              <w:t>Posting must be on (POSTING_DISABLED otherwise): there is no 'stored only' mode. Every post and reversal is checked against the fiscal years. An accounts or stock voucher is reversed as a whole while its period is open; an opening invoice only while nothing has been received, paid or noted against it.</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Numbers</w:t>
            </w:r>
          </w:p>
        </w:tc>
        <w:tc>
          <w:tcPr>
            <w:tcW w:type="dxa" w:w="7422"/>
            <w:tcMar>
              <w:top w:w="20" w:type="dxa"/>
              <w:left w:w="60" w:type="dxa"/>
              <w:bottom w:w="20" w:type="dxa"/>
              <w:right w:w="60" w:type="dxa"/>
            </w:tcMar>
            <w:vAlign w:val="top"/>
          </w:tcPr>
          <w:p>
            <w:pPr>
              <w:spacing w:after="10" w:before="0" w:line="240" w:lineRule="auto"/>
            </w:pPr>
            <w:r>
              <w:rPr>
                <w:sz w:val="17"/>
              </w:rPr>
              <w:t>OBV-YYYY-NNNN accounts voucher; OSI- opening sales invoice; OPI- opening purchase invoice; OST- opening stock voucher.</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Account balances</w:t>
            </w:r>
          </w:p>
        </w:tc>
        <w:tc>
          <w:tcPr>
            <w:tcW w:type="dxa" w:w="7422"/>
            <w:tcMar>
              <w:top w:w="20" w:type="dxa"/>
              <w:left w:w="60" w:type="dxa"/>
              <w:bottom w:w="20" w:type="dxa"/>
              <w:right w:w="60" w:type="dxa"/>
            </w:tcMar>
            <w:vAlign w:val="top"/>
          </w:tcPr>
          <w:p>
            <w:pPr>
              <w:spacing w:after="10" w:before="0" w:line="240" w:lineRule="auto"/>
            </w:pPr>
            <w:r>
              <w:rPr>
                <w:sz w:val="17"/>
              </w:rPr>
              <w:t>Debit or credit balances for ordinary accounts. Party accounts, the Inventory account and Opening Balance Equity are refused. An account that already has an opening entry is refused until that voucher is reversed. The difference between total debits and credits goes to Opening Balance Equity on the short side.</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Customer and vendor open invoices</w:t>
            </w:r>
          </w:p>
        </w:tc>
        <w:tc>
          <w:tcPr>
            <w:tcW w:type="dxa" w:w="7422"/>
            <w:tcMar>
              <w:top w:w="20" w:type="dxa"/>
              <w:left w:w="60" w:type="dxa"/>
              <w:bottom w:w="20" w:type="dxa"/>
              <w:right w:w="60" w:type="dxa"/>
            </w:tcMar>
            <w:vAlign w:val="top"/>
          </w:tcPr>
          <w:p>
            <w:pPr>
              <w:spacing w:after="10" w:before="0" w:line="240" w:lineRule="auto"/>
            </w:pPr>
            <w:r>
              <w:rPr>
                <w:sz w:val="17"/>
              </w:rPr>
              <w:t xml:space="preserve">Each row is a real trade document: type sales_order or purchase_order, status APPROVED, no lines, </w:t>
            </w:r>
            <w:r>
              <w:rPr>
                <w:rFonts w:ascii="Consolas" w:hAnsi="Consolas" w:eastAsia="Consolas"/>
                <w:sz w:val="16"/>
              </w:rPr>
              <w:t>isOpening</w:t>
            </w:r>
            <w:r>
              <w:rPr>
                <w:sz w:val="17"/>
              </w:rPr>
              <w:t xml:space="preserve"> true, keeping its original invoice date and optional due date for ageing. A row without a reference is the party's lump sum (one per party). Duplicates and dates after the go-live day are refused. No stock, VAT, cost of goods or e-invoice is created; the party's running balance and statement log are updated as for an approved invoice.</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Opening stock</w:t>
            </w:r>
          </w:p>
        </w:tc>
        <w:tc>
          <w:tcPr>
            <w:tcW w:type="dxa" w:w="7422"/>
            <w:tcMar>
              <w:top w:w="20" w:type="dxa"/>
              <w:left w:w="60" w:type="dxa"/>
              <w:bottom w:w="20" w:type="dxa"/>
              <w:right w:w="60" w:type="dxa"/>
            </w:tcMar>
            <w:vAlign w:val="top"/>
          </w:tcPr>
          <w:p>
            <w:pPr>
              <w:spacing w:after="10" w:before="0" w:line="240" w:lineRule="auto"/>
            </w:pPr>
            <w:r>
              <w:rPr>
                <w:sz w:val="17"/>
              </w:rPr>
              <w:t xml:space="preserve">Each row is an item, quantity and unit cost, with batch number and expiry for batch-tracked items. Same cost and batch path as a purchase receipt (movement OPENING_STOCK, basis 'opening'), dated the go-live day, with </w:t>
            </w:r>
            <w:r>
              <w:rPr>
                <w:b/>
                <w:sz w:val="17"/>
              </w:rPr>
              <w:t>one</w:t>
            </w:r>
            <w:r>
              <w:rPr>
                <w:sz w:val="17"/>
              </w:rPr>
              <w:t xml:space="preserve"> ledger voucher for the submission. Only an item with no movements and no stock on hand can take an opening entry; a later movement blocks the reversal.</w:t>
            </w:r>
          </w:p>
        </w:tc>
      </w:tr>
    </w:tbl>
    <w:p>
      <w:pPr>
        <w:spacing w:after="0" w:before="0"/>
        <w:rPr>
          <w:sz w:val="6"/>
        </w:rPr>
      </w:pPr>
    </w:p>
    <w:p>
      <w:pPr>
        <w:pStyle w:val="Caption"/>
      </w:pPr>
      <w:r>
        <w:t>Table 40. Opening entries (openingBalances.test.js)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09"/>
        <w:gridCol w:w="2709"/>
        <w:gridCol w:w="1970"/>
        <w:gridCol w:w="1108"/>
        <w:gridCol w:w="1108"/>
      </w:tblGrid>
      <w:tr>
        <w:trPr>
          <w:tblHeader w:val="true"/>
          <w:cantSplit w:val="true"/>
        </w:trPr>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2709"/>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970"/>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08"/>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Accounts voucher OBV: cash 5,000, bank 20,000, vehicles 30,000 debit; loan 15,000, capital 10,000 credit</w:t>
            </w:r>
          </w:p>
        </w:tc>
        <w:tc>
          <w:tcPr>
            <w:tcW w:type="dxa" w:w="2709"/>
            <w:tcMar>
              <w:top w:w="20" w:type="dxa"/>
              <w:left w:w="60" w:type="dxa"/>
              <w:bottom w:w="20" w:type="dxa"/>
              <w:right w:w="60" w:type="dxa"/>
            </w:tcMar>
            <w:vAlign w:val="top"/>
          </w:tcPr>
          <w:p>
            <w:pPr>
              <w:spacing w:after="10" w:before="0" w:line="240" w:lineRule="auto"/>
            </w:pPr>
            <w:r>
              <w:rPr>
                <w:sz w:val="17"/>
              </w:rPr>
              <w:t>Cash in Hand</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r>
              <w:rPr>
                <w:sz w:val="17"/>
              </w:rPr>
              <w:t>5,000.00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Bank Account</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r>
              <w:rPr>
                <w:sz w:val="17"/>
              </w:rPr>
              <w:t>20,000.00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Vehicles</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r>
              <w:rPr>
                <w:sz w:val="17"/>
              </w:rPr>
              <w:t>30,000.00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Bank Loan</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15,000.00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Owner's Capital</w:t>
            </w:r>
          </w:p>
        </w:tc>
        <w:tc>
          <w:tcPr>
            <w:tcW w:type="dxa" w:w="1970"/>
            <w:tcMar>
              <w:top w:w="20" w:type="dxa"/>
              <w:left w:w="60" w:type="dxa"/>
              <w:bottom w:w="20" w:type="dxa"/>
              <w:right w:w="60" w:type="dxa"/>
            </w:tcMar>
            <w:vAlign w:val="top"/>
          </w:tcPr>
          <w:p>
            <w:pPr>
              <w:spacing w:after="10" w:before="0" w:line="240" w:lineRule="auto"/>
            </w:pPr>
            <w:r>
              <w:rPr>
                <w:sz w:val="17"/>
              </w:rPr>
              <w:t>chosen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10,000.00</w:t>
            </w: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Opening Balance Equity</w:t>
            </w:r>
          </w:p>
        </w:tc>
        <w:tc>
          <w:tcPr>
            <w:tcW w:type="dxa" w:w="1970"/>
            <w:tcMar>
              <w:top w:w="20" w:type="dxa"/>
              <w:left w:w="60" w:type="dxa"/>
              <w:bottom w:w="20" w:type="dxa"/>
              <w:right w:w="60" w:type="dxa"/>
            </w:tcMar>
            <w:vAlign w:val="top"/>
          </w:tcPr>
          <w:p>
            <w:pPr>
              <w:spacing w:after="10" w:before="0" w:line="240" w:lineRule="auto"/>
            </w:pPr>
            <w:r>
              <w:rPr>
                <w:sz w:val="17"/>
              </w:rPr>
              <w:t>opening-balance-equity</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30,000.00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Opening customer invoice INV-1001 of 1,200.50</w:t>
            </w:r>
          </w:p>
        </w:tc>
        <w:tc>
          <w:tcPr>
            <w:tcW w:type="dxa" w:w="2709"/>
            <w:tcMar>
              <w:top w:w="20" w:type="dxa"/>
              <w:left w:w="60" w:type="dxa"/>
              <w:bottom w:w="20" w:type="dxa"/>
              <w:right w:w="60" w:type="dxa"/>
            </w:tcMar>
            <w:vAlign w:val="top"/>
          </w:tcPr>
          <w:p>
            <w:pPr>
              <w:spacing w:after="10" w:before="0" w:line="240" w:lineRule="auto"/>
            </w:pPr>
            <w:r>
              <w:rPr>
                <w:sz w:val="17"/>
              </w:rPr>
              <w:t>Customer - Al Noor</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r>
              <w:rPr>
                <w:sz w:val="17"/>
              </w:rPr>
              <w:t>1,200.50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Opening Balance Equity</w:t>
            </w:r>
          </w:p>
        </w:tc>
        <w:tc>
          <w:tcPr>
            <w:tcW w:type="dxa" w:w="1970"/>
            <w:tcMar>
              <w:top w:w="20" w:type="dxa"/>
              <w:left w:w="60" w:type="dxa"/>
              <w:bottom w:w="20" w:type="dxa"/>
              <w:right w:w="60" w:type="dxa"/>
            </w:tcMar>
            <w:vAlign w:val="top"/>
          </w:tcPr>
          <w:p>
            <w:pPr>
              <w:spacing w:after="10" w:before="0" w:line="240" w:lineRule="auto"/>
            </w:pPr>
            <w:r>
              <w:rPr>
                <w:sz w:val="17"/>
              </w:rPr>
              <w:t>opening-balance-equity</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1,200.50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Opening vendor invoice INV-V-77 of 3,000.00</w:t>
            </w:r>
          </w:p>
        </w:tc>
        <w:tc>
          <w:tcPr>
            <w:tcW w:type="dxa" w:w="2709"/>
            <w:tcMar>
              <w:top w:w="20" w:type="dxa"/>
              <w:left w:w="60" w:type="dxa"/>
              <w:bottom w:w="20" w:type="dxa"/>
              <w:right w:w="60" w:type="dxa"/>
            </w:tcMar>
            <w:vAlign w:val="top"/>
          </w:tcPr>
          <w:p>
            <w:pPr>
              <w:spacing w:after="10" w:before="0" w:line="240" w:lineRule="auto"/>
            </w:pPr>
            <w:r>
              <w:rPr>
                <w:sz w:val="17"/>
              </w:rPr>
              <w:t>Opening Balance Equity</w:t>
            </w:r>
          </w:p>
        </w:tc>
        <w:tc>
          <w:tcPr>
            <w:tcW w:type="dxa" w:w="1970"/>
            <w:tcMar>
              <w:top w:w="20" w:type="dxa"/>
              <w:left w:w="60" w:type="dxa"/>
              <w:bottom w:w="20" w:type="dxa"/>
              <w:right w:w="60" w:type="dxa"/>
            </w:tcMar>
            <w:vAlign w:val="top"/>
          </w:tcPr>
          <w:p>
            <w:pPr>
              <w:spacing w:after="10" w:before="0" w:line="240" w:lineRule="auto"/>
            </w:pPr>
            <w:r>
              <w:rPr>
                <w:sz w:val="17"/>
              </w:rPr>
              <w:t>opening-balance-equity</w:t>
            </w:r>
          </w:p>
        </w:tc>
        <w:tc>
          <w:tcPr>
            <w:tcW w:type="dxa" w:w="1108"/>
            <w:tcMar>
              <w:top w:w="20" w:type="dxa"/>
              <w:left w:w="60" w:type="dxa"/>
              <w:bottom w:w="20" w:type="dxa"/>
              <w:right w:w="60" w:type="dxa"/>
            </w:tcMar>
            <w:vAlign w:val="top"/>
          </w:tcPr>
          <w:p>
            <w:pPr>
              <w:spacing w:after="10" w:before="0" w:line="240" w:lineRule="auto"/>
              <w:jc w:val="right"/>
            </w:pPr>
            <w:r>
              <w:rPr>
                <w:sz w:val="17"/>
              </w:rPr>
              <w:t>3,000.00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Vendor - Gulf Mills</w:t>
            </w:r>
          </w:p>
        </w:tc>
        <w:tc>
          <w:tcPr>
            <w:tcW w:type="dxa" w:w="1970"/>
            <w:tcMar>
              <w:top w:w="20" w:type="dxa"/>
              <w:left w:w="60" w:type="dxa"/>
              <w:bottom w:w="20" w:type="dxa"/>
              <w:right w:w="60" w:type="dxa"/>
            </w:tcMar>
            <w:vAlign w:val="top"/>
          </w:tcPr>
          <w:p>
            <w:pPr>
              <w:spacing w:after="10" w:before="0" w:line="240" w:lineRule="auto"/>
            </w:pPr>
            <w:r>
              <w:rPr>
                <w:sz w:val="17"/>
              </w:rPr>
              <w:t>party account</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3,000.00</w:t>
            </w:r>
          </w:p>
        </w:tc>
      </w:tr>
      <w:tr>
        <w:trPr>
          <w:cantSplit w:val="true"/>
        </w:trPr>
        <w:tc>
          <w:tcPr>
            <w:tcW w:type="dxa" w:w="2709"/>
            <w:tcMar>
              <w:top w:w="20" w:type="dxa"/>
              <w:left w:w="60" w:type="dxa"/>
              <w:bottom w:w="20" w:type="dxa"/>
              <w:right w:w="60" w:type="dxa"/>
            </w:tcMar>
            <w:vAlign w:val="top"/>
          </w:tcPr>
          <w:p>
            <w:pPr>
              <w:spacing w:after="10" w:before="0" w:line="240" w:lineRule="auto"/>
            </w:pPr>
            <w:r>
              <w:rPr>
                <w:sz w:val="17"/>
              </w:rPr>
              <w:t>Opening stock OST: rice 10 at 5.00 and 30 at 7.00 = 40 bags, average 6.50</w:t>
            </w:r>
          </w:p>
        </w:tc>
        <w:tc>
          <w:tcPr>
            <w:tcW w:type="dxa" w:w="2709"/>
            <w:tcMar>
              <w:top w:w="20" w:type="dxa"/>
              <w:left w:w="60" w:type="dxa"/>
              <w:bottom w:w="20" w:type="dxa"/>
              <w:right w:w="60" w:type="dxa"/>
            </w:tcMar>
            <w:vAlign w:val="top"/>
          </w:tcPr>
          <w:p>
            <w:pPr>
              <w:spacing w:after="10" w:before="0" w:line="240" w:lineRule="auto"/>
            </w:pPr>
            <w:r>
              <w:rPr>
                <w:sz w:val="17"/>
              </w:rPr>
              <w:t>Inventory Stock</w:t>
            </w:r>
          </w:p>
        </w:tc>
        <w:tc>
          <w:tcPr>
            <w:tcW w:type="dxa" w:w="1970"/>
            <w:tcMar>
              <w:top w:w="20" w:type="dxa"/>
              <w:left w:w="60" w:type="dxa"/>
              <w:bottom w:w="20" w:type="dxa"/>
              <w:right w:w="60" w:type="dxa"/>
            </w:tcMar>
            <w:vAlign w:val="top"/>
          </w:tcPr>
          <w:p>
            <w:pPr>
              <w:spacing w:after="10" w:before="0" w:line="240" w:lineRule="auto"/>
            </w:pPr>
            <w:r>
              <w:rPr>
                <w:sz w:val="17"/>
              </w:rPr>
              <w:t>inventory-asset</w:t>
            </w:r>
          </w:p>
        </w:tc>
        <w:tc>
          <w:tcPr>
            <w:tcW w:type="dxa" w:w="1108"/>
            <w:tcMar>
              <w:top w:w="20" w:type="dxa"/>
              <w:left w:w="60" w:type="dxa"/>
              <w:bottom w:w="20" w:type="dxa"/>
              <w:right w:w="60" w:type="dxa"/>
            </w:tcMar>
            <w:vAlign w:val="top"/>
          </w:tcPr>
          <w:p>
            <w:pPr>
              <w:spacing w:after="10" w:before="0" w:line="240" w:lineRule="auto"/>
              <w:jc w:val="right"/>
            </w:pPr>
            <w:r>
              <w:rPr>
                <w:sz w:val="17"/>
              </w:rPr>
              <w:t>260.00</w:t>
            </w:r>
          </w:p>
        </w:tc>
        <w:tc>
          <w:tcPr>
            <w:tcW w:type="dxa" w:w="1108"/>
            <w:tcMar>
              <w:top w:w="20" w:type="dxa"/>
              <w:left w:w="60" w:type="dxa"/>
              <w:bottom w:w="20" w:type="dxa"/>
              <w:right w:w="60" w:type="dxa"/>
            </w:tcMar>
            <w:vAlign w:val="top"/>
          </w:tcPr>
          <w:p>
            <w:pPr>
              <w:spacing w:after="10" w:before="0" w:line="240" w:lineRule="auto"/>
              <w:jc w:val="right"/>
            </w:pPr>
          </w:p>
        </w:tc>
      </w:tr>
      <w:tr>
        <w:trPr>
          <w:cantSplit w:val="true"/>
        </w:trPr>
        <w:tc>
          <w:tcPr>
            <w:tcW w:type="dxa" w:w="2709"/>
            <w:tcMar>
              <w:top w:w="20" w:type="dxa"/>
              <w:left w:w="60" w:type="dxa"/>
              <w:bottom w:w="20" w:type="dxa"/>
              <w:right w:w="60" w:type="dxa"/>
            </w:tcMar>
            <w:vAlign w:val="top"/>
          </w:tcPr>
          <w:p>
            <w:pPr>
              <w:spacing w:after="10" w:before="0" w:line="240" w:lineRule="auto"/>
            </w:pPr>
          </w:p>
        </w:tc>
        <w:tc>
          <w:tcPr>
            <w:tcW w:type="dxa" w:w="2709"/>
            <w:tcMar>
              <w:top w:w="20" w:type="dxa"/>
              <w:left w:w="60" w:type="dxa"/>
              <w:bottom w:w="20" w:type="dxa"/>
              <w:right w:w="60" w:type="dxa"/>
            </w:tcMar>
            <w:vAlign w:val="top"/>
          </w:tcPr>
          <w:p>
            <w:pPr>
              <w:spacing w:after="10" w:before="0" w:line="240" w:lineRule="auto"/>
            </w:pPr>
            <w:r>
              <w:rPr>
                <w:sz w:val="17"/>
              </w:rPr>
              <w:t>Opening Balance Equity</w:t>
            </w:r>
          </w:p>
        </w:tc>
        <w:tc>
          <w:tcPr>
            <w:tcW w:type="dxa" w:w="1970"/>
            <w:tcMar>
              <w:top w:w="20" w:type="dxa"/>
              <w:left w:w="60" w:type="dxa"/>
              <w:bottom w:w="20" w:type="dxa"/>
              <w:right w:w="60" w:type="dxa"/>
            </w:tcMar>
            <w:vAlign w:val="top"/>
          </w:tcPr>
          <w:p>
            <w:pPr>
              <w:spacing w:after="10" w:before="0" w:line="240" w:lineRule="auto"/>
            </w:pPr>
            <w:r>
              <w:rPr>
                <w:sz w:val="17"/>
              </w:rPr>
              <w:t>opening-balance-equity</w:t>
            </w:r>
          </w:p>
        </w:tc>
        <w:tc>
          <w:tcPr>
            <w:tcW w:type="dxa" w:w="1108"/>
            <w:tcMar>
              <w:top w:w="20" w:type="dxa"/>
              <w:left w:w="60" w:type="dxa"/>
              <w:bottom w:w="20" w:type="dxa"/>
              <w:right w:w="60" w:type="dxa"/>
            </w:tcMar>
            <w:vAlign w:val="top"/>
          </w:tcPr>
          <w:p>
            <w:pPr>
              <w:spacing w:after="10" w:before="0" w:line="240" w:lineRule="auto"/>
              <w:jc w:val="right"/>
            </w:pPr>
          </w:p>
        </w:tc>
        <w:tc>
          <w:tcPr>
            <w:tcW w:type="dxa" w:w="1108"/>
            <w:tcMar>
              <w:top w:w="20" w:type="dxa"/>
              <w:left w:w="60" w:type="dxa"/>
              <w:bottom w:w="20" w:type="dxa"/>
              <w:right w:w="60" w:type="dxa"/>
            </w:tcMar>
            <w:vAlign w:val="top"/>
          </w:tcPr>
          <w:p>
            <w:pPr>
              <w:spacing w:after="10" w:before="0" w:line="240" w:lineRule="auto"/>
              <w:jc w:val="right"/>
            </w:pPr>
            <w:r>
              <w:rPr>
                <w:sz w:val="17"/>
              </w:rPr>
              <w:t>260.00</w:t>
            </w:r>
          </w:p>
        </w:tc>
      </w:tr>
    </w:tbl>
    <w:p>
      <w:pPr>
        <w:spacing w:after="0" w:before="0"/>
        <w:rPr>
          <w:sz w:val="6"/>
        </w:rPr>
      </w:pPr>
    </w:p>
    <w:p>
      <w:pPr>
        <w:pStyle w:val="Heading2"/>
      </w:pPr>
      <w:r>
        <w:t>3.16 Opening balance entered when an account is created</w:t>
      </w:r>
    </w:p>
    <w:p>
      <w:r>
        <w:t>The account form accepts an opening balance with a side (debit or credit) and a date (today if none), in an open period. If posting is on, the account and Opening Balance Equity are posted with voucher number OB-&lt;account code&gt; and voucher type 'opening'. If posting is off, the balance is only stored on the account and no entry is written; when posting is switched on, the catch-up posts it once, dated the day the account was created (section 2.5). Creating a customer or vendor through a Receivable or Payable group uses the same routine. An account that carries an opening balance from its creation counts as already entered in Opening balances, and a party with such a balance cannot also be given opening invoices (PARTY_HAS_ACCOUNT_OPENING), because they would count the same money twice.</w:t>
      </w:r>
    </w:p>
    <w:p>
      <w:pPr>
        <w:pStyle w:val="Caption"/>
      </w:pPr>
      <w:r>
        <w:t>Table 41. Bank account ENBD Current created with a debit opening balance of AED 5,000.00 (chartAndPricing.test.js)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Emirates NBD Current</w:t>
            </w:r>
          </w:p>
        </w:tc>
        <w:tc>
          <w:tcPr>
            <w:tcW w:type="dxa" w:w="2763"/>
            <w:tcMar>
              <w:top w:w="20" w:type="dxa"/>
              <w:left w:w="60" w:type="dxa"/>
              <w:bottom w:w="20" w:type="dxa"/>
              <w:right w:w="60" w:type="dxa"/>
            </w:tcMar>
            <w:vAlign w:val="top"/>
          </w:tcPr>
          <w:p>
            <w:pPr>
              <w:keepNext/>
              <w:spacing w:after="10" w:before="0" w:line="240" w:lineRule="auto"/>
            </w:pPr>
            <w:r>
              <w:rPr>
                <w:sz w:val="17"/>
              </w:rPr>
              <w:t>bank-account-group</w:t>
            </w:r>
          </w:p>
        </w:tc>
        <w:tc>
          <w:tcPr>
            <w:tcW w:type="dxa" w:w="1447"/>
            <w:tcMar>
              <w:top w:w="20" w:type="dxa"/>
              <w:left w:w="60" w:type="dxa"/>
              <w:bottom w:w="20" w:type="dxa"/>
              <w:right w:w="60" w:type="dxa"/>
            </w:tcMar>
            <w:vAlign w:val="top"/>
          </w:tcPr>
          <w:p>
            <w:pPr>
              <w:keepNext/>
              <w:spacing w:after="10" w:before="0" w:line="240" w:lineRule="auto"/>
              <w:jc w:val="right"/>
            </w:pPr>
            <w:r>
              <w:rPr>
                <w:sz w:val="17"/>
              </w:rPr>
              <w:t>5,000.00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Opening Balance Equity</w:t>
            </w:r>
          </w:p>
        </w:tc>
        <w:tc>
          <w:tcPr>
            <w:tcW w:type="dxa" w:w="2763"/>
            <w:tcMar>
              <w:top w:w="20" w:type="dxa"/>
              <w:left w:w="60" w:type="dxa"/>
              <w:bottom w:w="20" w:type="dxa"/>
              <w:right w:w="60" w:type="dxa"/>
            </w:tcMar>
            <w:vAlign w:val="top"/>
          </w:tcPr>
          <w:p>
            <w:pPr>
              <w:keepNext/>
              <w:spacing w:after="10" w:before="0" w:line="240" w:lineRule="auto"/>
            </w:pPr>
            <w:r>
              <w:rPr>
                <w:sz w:val="17"/>
              </w:rPr>
              <w:t>opening-balance-equity</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5,000.00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5,000.00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5,000.00</w:t>
            </w:r>
          </w:p>
        </w:tc>
      </w:tr>
    </w:tbl>
    <w:p>
      <w:pPr>
        <w:spacing w:after="0" w:before="0"/>
        <w:rPr>
          <w:sz w:val="6"/>
        </w:rPr>
      </w:pPr>
    </w:p>
    <w:p>
      <w:pPr>
        <w:pStyle w:val="Heading2"/>
      </w:pPr>
      <w:r>
        <w:t>3.17 Foreign-currency receipts and payments</w:t>
      </w:r>
    </w:p>
    <w:p>
      <w:r>
        <w:rPr>
          <w:b/>
        </w:rPr>
        <w:t>Status: built, phase 1.</w:t>
      </w:r>
      <w:r>
        <w:t xml:space="preserve"> The ledger is kept only in the base currency (AED). Only receipts and payments can be made in a foreign currency. A foreign voucher is converted to AED once, when it is made; everything after that (allocation to invoices, advances, the cash or bank leg, the cheque register, the card fee and credit-card limit, reversal and deletion) runs on the AED amount exactly as for an AED voucher.</w:t>
      </w:r>
    </w:p>
    <w:p>
      <w:pPr>
        <w:pStyle w:val="Caption"/>
      </w:pPr>
      <w:r>
        <w:t>Table 42. Foreign-currency rules (FxVoucherService, CurrencyService, utils/fx.js)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182"/>
        <w:gridCol w:w="7421"/>
      </w:tblGrid>
      <w:tr>
        <w:trPr>
          <w:tblHeader w:val="true"/>
          <w:cantSplit w:val="true"/>
        </w:trPr>
        <w:tc>
          <w:tcPr>
            <w:tcW w:type="dxa" w:w="2183"/>
            <w:shd w:val="clear" w:color="auto" w:fill="1F3A5F"/>
            <w:tcMar>
              <w:top w:w="20" w:type="dxa"/>
              <w:left w:w="60" w:type="dxa"/>
              <w:bottom w:w="20" w:type="dxa"/>
              <w:right w:w="60" w:type="dxa"/>
            </w:tcMar>
            <w:vAlign w:val="center"/>
          </w:tcPr>
          <w:p>
            <w:pPr>
              <w:spacing w:after="10" w:before="0" w:line="240" w:lineRule="auto"/>
            </w:pPr>
            <w:r>
              <w:rPr>
                <w:b/>
                <w:color w:val="FFFFFF"/>
                <w:sz w:val="17"/>
              </w:rPr>
              <w:t>Rule</w:t>
            </w:r>
          </w:p>
        </w:tc>
        <w:tc>
          <w:tcPr>
            <w:tcW w:type="dxa" w:w="7422"/>
            <w:shd w:val="clear" w:color="auto" w:fill="1F3A5F"/>
            <w:tcMar>
              <w:top w:w="20" w:type="dxa"/>
              <w:left w:w="60" w:type="dxa"/>
              <w:bottom w:w="20" w:type="dxa"/>
              <w:right w:w="60" w:type="dxa"/>
            </w:tcMar>
            <w:vAlign w:val="center"/>
          </w:tcPr>
          <w:p>
            <w:pPr>
              <w:spacing w:after="10" w:before="0" w:line="240" w:lineRule="auto"/>
            </w:pPr>
            <w:r>
              <w:rPr>
                <w:b/>
                <w:color w:val="FFFFFF"/>
                <w:sz w:val="17"/>
              </w:rPr>
              <w:t>Detail</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Currencies</w:t>
            </w:r>
          </w:p>
        </w:tc>
        <w:tc>
          <w:tcPr>
            <w:tcW w:type="dxa" w:w="7422"/>
            <w:tcMar>
              <w:top w:w="20" w:type="dxa"/>
              <w:left w:w="60" w:type="dxa"/>
              <w:bottom w:w="20" w:type="dxa"/>
              <w:right w:w="60" w:type="dxa"/>
            </w:tcMar>
            <w:vAlign w:val="top"/>
          </w:tcPr>
          <w:p>
            <w:pPr>
              <w:spacing w:after="10" w:before="0" w:line="240" w:lineRule="auto"/>
            </w:pPr>
            <w:r>
              <w:rPr>
                <w:sz w:val="17"/>
              </w:rPr>
              <w:t xml:space="preserve">The currency must be in the list and active (three-letter code). The seed list is AED (base, locked) plus USD, EUR, GBP, SAR, INR, KWD, BHD, OMR and QAR, all switched off and without rates until the company enables them. </w:t>
            </w:r>
            <w:r>
              <w:rPr>
                <w:rFonts w:ascii="Consolas" w:hAnsi="Consolas" w:eastAsia="Consolas"/>
                <w:sz w:val="16"/>
              </w:rPr>
              <w:t>foreignAmount</w:t>
            </w:r>
            <w:r>
              <w:rPr>
                <w:sz w:val="17"/>
              </w:rPr>
              <w:t xml:space="preserve"> may have no more decimal places than the currency (2; 3 for KWD, BHD, OMR).</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Rate</w:t>
            </w:r>
          </w:p>
        </w:tc>
        <w:tc>
          <w:tcPr>
            <w:tcW w:type="dxa" w:w="7422"/>
            <w:tcMar>
              <w:top w:w="20" w:type="dxa"/>
              <w:left w:w="60" w:type="dxa"/>
              <w:bottom w:w="20" w:type="dxa"/>
              <w:right w:w="60" w:type="dxa"/>
            </w:tcMar>
            <w:vAlign w:val="top"/>
          </w:tcPr>
          <w:p>
            <w:pPr>
              <w:spacing w:after="10" w:before="0" w:line="240" w:lineRule="auto"/>
            </w:pPr>
            <w:r>
              <w:rPr>
                <w:sz w:val="17"/>
              </w:rPr>
              <w:t>If none is typed, the rate in force on the voucher's Dubai day is used: the latest master rate effective on or before that day. There is no fallback: no rate means NO_RATE (HTTP 422), never a silent 1. A rate is base units per one foreign unit (USD 1 = AED 3.6725), at most six decimals.</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Typed rate</w:t>
            </w:r>
          </w:p>
        </w:tc>
        <w:tc>
          <w:tcPr>
            <w:tcW w:type="dxa" w:w="7422"/>
            <w:tcMar>
              <w:top w:w="20" w:type="dxa"/>
              <w:left w:w="60" w:type="dxa"/>
              <w:bottom w:w="20" w:type="dxa"/>
              <w:right w:w="60" w:type="dxa"/>
            </w:tcMar>
            <w:vAlign w:val="top"/>
          </w:tcPr>
          <w:p>
            <w:pPr>
              <w:spacing w:after="10" w:before="0" w:line="240" w:lineRule="auto"/>
            </w:pPr>
            <w:r>
              <w:rPr>
                <w:sz w:val="17"/>
              </w:rPr>
              <w:t xml:space="preserve">A typed rate is compared with the master rate. Further away than the tolerance (default 5%) needs a reason of at least three characters (RATE_OUT_OF_TOLERANCE); the voucher then records </w:t>
            </w:r>
            <w:r>
              <w:rPr>
                <w:rFonts w:ascii="Consolas" w:hAnsi="Consolas" w:eastAsia="Consolas"/>
                <w:sz w:val="16"/>
              </w:rPr>
              <w:t>rateOverridden</w:t>
            </w:r>
            <w:r>
              <w:rPr>
                <w:sz w:val="17"/>
              </w:rPr>
              <w:t xml:space="preserve">, the reason and </w:t>
            </w:r>
            <w:r>
              <w:rPr>
                <w:rFonts w:ascii="Consolas" w:hAnsi="Consolas" w:eastAsia="Consolas"/>
                <w:sz w:val="16"/>
              </w:rPr>
              <w:t>rateSource</w:t>
            </w:r>
            <w:r>
              <w:rPr>
                <w:sz w:val="17"/>
              </w:rPr>
              <w:t xml:space="preserve"> 'voucher'. With no master rate at all, a typed rate is refused.</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AED amount</w:t>
            </w:r>
          </w:p>
        </w:tc>
        <w:tc>
          <w:tcPr>
            <w:tcW w:type="dxa" w:w="7422"/>
            <w:tcMar>
              <w:top w:w="20" w:type="dxa"/>
              <w:left w:w="60" w:type="dxa"/>
              <w:bottom w:w="20" w:type="dxa"/>
              <w:right w:w="60" w:type="dxa"/>
            </w:tcMar>
            <w:vAlign w:val="top"/>
          </w:tcPr>
          <w:p>
            <w:pPr>
              <w:spacing w:after="10" w:before="0" w:line="240" w:lineRule="auto"/>
            </w:pPr>
            <w:r>
              <w:rPr>
                <w:rFonts w:ascii="Consolas" w:hAnsi="Consolas" w:eastAsia="Consolas"/>
                <w:sz w:val="16"/>
              </w:rPr>
              <w:t>totalAmount</w:t>
            </w:r>
            <w:r>
              <w:rPr>
                <w:sz w:val="17"/>
              </w:rPr>
              <w:t xml:space="preserve"> = round half up(foreignAmount x rate, 2 decimals), worked in whole numbers so that floating-point error cannot move a cent. Tests: 1,000.00 x 3.6725 = 3,672.50; 1,000.50 x 3.6725 = 3,674.34 (3,674.33625).</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What is stored</w:t>
            </w:r>
          </w:p>
        </w:tc>
        <w:tc>
          <w:tcPr>
            <w:tcW w:type="dxa" w:w="7422"/>
            <w:tcMar>
              <w:top w:w="20" w:type="dxa"/>
              <w:left w:w="60" w:type="dxa"/>
              <w:bottom w:w="20" w:type="dxa"/>
              <w:right w:w="60" w:type="dxa"/>
            </w:tcMar>
            <w:vAlign w:val="top"/>
          </w:tcPr>
          <w:p>
            <w:pPr>
              <w:spacing w:after="10" w:before="0" w:line="240" w:lineRule="auto"/>
            </w:pPr>
            <w:r>
              <w:rPr>
                <w:sz w:val="17"/>
              </w:rPr>
              <w:t>On the voucher: currency, exchangeRate, foreignAmount, rateDate (the day of the master rate), rateSource (manual, cbuae, import or voucher) and the override fields; an AED voucher stores 'AED', rate 1 and no foreign amount. On the money-side ledger legs: currency, rate and their share of the foreign amount, split in proportion to their AED amounts so that the shares add back exactly. Every ledger amount is AED.</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Editing, other vouchers, cheques</w:t>
            </w:r>
          </w:p>
        </w:tc>
        <w:tc>
          <w:tcPr>
            <w:tcW w:type="dxa" w:w="7422"/>
            <w:tcMar>
              <w:top w:w="20" w:type="dxa"/>
              <w:left w:w="60" w:type="dxa"/>
              <w:bottom w:w="20" w:type="dxa"/>
              <w:right w:w="60" w:type="dxa"/>
            </w:tcMar>
            <w:vAlign w:val="top"/>
          </w:tcPr>
          <w:p>
            <w:pPr>
              <w:spacing w:after="10" w:before="0" w:line="240" w:lineRule="auto"/>
            </w:pPr>
            <w:r>
              <w:rPr>
                <w:sz w:val="17"/>
              </w:rPr>
              <w:t>An edit that leaves currency, day and rate alone keeps the original rate even if the master has moved; a new day, currency or typed rate is judged afresh. Journals, contra, expenses and notes refuse a foreign currency (FOREIGN_CURRENCY_NOT_SUPPORTED). A foreign cheque keeps its foreign value and clears at the AED value it was received at.</w:t>
            </w:r>
          </w:p>
        </w:tc>
      </w:tr>
    </w:tbl>
    <w:p>
      <w:pPr>
        <w:spacing w:after="0" w:before="0"/>
        <w:rPr>
          <w:sz w:val="6"/>
        </w:rPr>
      </w:pPr>
    </w:p>
    <w:p>
      <w:pPr>
        <w:pStyle w:val="Caption"/>
      </w:pPr>
      <w:r>
        <w:t>Table 43. Receipt of USD 1,000.00 in cash at 3.6725 (currencies.test.js). The cash leg is stamped USD 1,000.00 at 3.6725.</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947"/>
        <w:gridCol w:w="2763"/>
        <w:gridCol w:w="1447"/>
        <w:gridCol w:w="1447"/>
      </w:tblGrid>
      <w:tr>
        <w:trPr>
          <w:tblHeader w:val="true"/>
          <w:cantSplit w:val="true"/>
        </w:trPr>
        <w:tc>
          <w:tcPr>
            <w:tcW w:type="dxa" w:w="3947"/>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Account</w:t>
            </w:r>
          </w:p>
        </w:tc>
        <w:tc>
          <w:tcPr>
            <w:tcW w:type="dxa" w:w="2763"/>
            <w:shd w:val="clear" w:color="auto" w:fill="1F3A5F"/>
            <w:tcMar>
              <w:top w:w="20" w:type="dxa"/>
              <w:left w:w="60" w:type="dxa"/>
              <w:bottom w:w="20" w:type="dxa"/>
              <w:right w:w="60" w:type="dxa"/>
            </w:tcMar>
            <w:vAlign w:val="center"/>
          </w:tcPr>
          <w:p>
            <w:pPr>
              <w:keepNext/>
              <w:spacing w:after="10" w:before="0" w:line="240" w:lineRule="auto"/>
            </w:pPr>
            <w:r>
              <w:rPr>
                <w:b/>
                <w:color w:val="FFFFFF"/>
                <w:sz w:val="17"/>
              </w:rPr>
              <w:t>Configuration key</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Debit (AED)</w:t>
            </w:r>
          </w:p>
        </w:tc>
        <w:tc>
          <w:tcPr>
            <w:tcW w:type="dxa" w:w="1447"/>
            <w:shd w:val="clear" w:color="auto" w:fill="1F3A5F"/>
            <w:tcMar>
              <w:top w:w="20" w:type="dxa"/>
              <w:left w:w="60" w:type="dxa"/>
              <w:bottom w:w="20" w:type="dxa"/>
              <w:right w:w="60" w:type="dxa"/>
            </w:tcMar>
            <w:vAlign w:val="center"/>
          </w:tcPr>
          <w:p>
            <w:pPr>
              <w:keepNext/>
              <w:spacing w:after="10" w:before="0" w:line="240" w:lineRule="auto"/>
              <w:jc w:val="right"/>
            </w:pPr>
            <w:r>
              <w:rPr>
                <w:b/>
                <w:color w:val="FFFFFF"/>
                <w:sz w:val="17"/>
              </w:rPr>
              <w:t>Credit (AED)</w:t>
            </w: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Cash in Hand</w:t>
            </w:r>
          </w:p>
        </w:tc>
        <w:tc>
          <w:tcPr>
            <w:tcW w:type="dxa" w:w="2763"/>
            <w:tcMar>
              <w:top w:w="20" w:type="dxa"/>
              <w:left w:w="60" w:type="dxa"/>
              <w:bottom w:w="20" w:type="dxa"/>
              <w:right w:w="60" w:type="dxa"/>
            </w:tcMar>
            <w:vAlign w:val="top"/>
          </w:tcPr>
          <w:p>
            <w:pPr>
              <w:keepNext/>
              <w:spacing w:after="10" w:before="0" w:line="240" w:lineRule="auto"/>
            </w:pPr>
            <w:r>
              <w:rPr>
                <w:sz w:val="17"/>
              </w:rPr>
              <w:t>cash-account-group</w:t>
            </w:r>
          </w:p>
        </w:tc>
        <w:tc>
          <w:tcPr>
            <w:tcW w:type="dxa" w:w="1447"/>
            <w:tcMar>
              <w:top w:w="20" w:type="dxa"/>
              <w:left w:w="60" w:type="dxa"/>
              <w:bottom w:w="20" w:type="dxa"/>
              <w:right w:w="60" w:type="dxa"/>
            </w:tcMar>
            <w:vAlign w:val="top"/>
          </w:tcPr>
          <w:p>
            <w:pPr>
              <w:keepNext/>
              <w:spacing w:after="10" w:before="0" w:line="240" w:lineRule="auto"/>
              <w:jc w:val="right"/>
            </w:pPr>
            <w:r>
              <w:rPr>
                <w:sz w:val="17"/>
              </w:rPr>
              <w:t>3,672.50</w:t>
            </w:r>
          </w:p>
        </w:tc>
        <w:tc>
          <w:tcPr>
            <w:tcW w:type="dxa" w:w="1447"/>
            <w:tcMar>
              <w:top w:w="20" w:type="dxa"/>
              <w:left w:w="60" w:type="dxa"/>
              <w:bottom w:w="20" w:type="dxa"/>
              <w:right w:w="60" w:type="dxa"/>
            </w:tcMar>
            <w:vAlign w:val="top"/>
          </w:tcPr>
          <w:p>
            <w:pPr>
              <w:keepNext/>
              <w:spacing w:after="10" w:before="0" w:line="240" w:lineRule="auto"/>
              <w:jc w:val="right"/>
            </w:pPr>
          </w:p>
        </w:tc>
      </w:tr>
      <w:tr>
        <w:trPr>
          <w:cantSplit w:val="true"/>
        </w:trPr>
        <w:tc>
          <w:tcPr>
            <w:tcW w:type="dxa" w:w="3947"/>
            <w:tcMar>
              <w:top w:w="20" w:type="dxa"/>
              <w:left w:w="60" w:type="dxa"/>
              <w:bottom w:w="20" w:type="dxa"/>
              <w:right w:w="60" w:type="dxa"/>
            </w:tcMar>
            <w:vAlign w:val="top"/>
          </w:tcPr>
          <w:p>
            <w:pPr>
              <w:keepNext/>
              <w:spacing w:after="10" w:before="0" w:line="240" w:lineRule="auto"/>
            </w:pPr>
            <w:r>
              <w:rPr>
                <w:sz w:val="17"/>
              </w:rPr>
              <w:t>Customer Advance - Al Noor</w:t>
            </w:r>
          </w:p>
        </w:tc>
        <w:tc>
          <w:tcPr>
            <w:tcW w:type="dxa" w:w="2763"/>
            <w:tcMar>
              <w:top w:w="20" w:type="dxa"/>
              <w:left w:w="60" w:type="dxa"/>
              <w:bottom w:w="20" w:type="dxa"/>
              <w:right w:w="60" w:type="dxa"/>
            </w:tcMar>
            <w:vAlign w:val="top"/>
          </w:tcPr>
          <w:p>
            <w:pPr>
              <w:keepNext/>
              <w:spacing w:after="10" w:before="0" w:line="240" w:lineRule="auto"/>
            </w:pPr>
            <w:r>
              <w:rPr>
                <w:sz w:val="17"/>
              </w:rPr>
              <w:t>party account</w:t>
            </w:r>
          </w:p>
        </w:tc>
        <w:tc>
          <w:tcPr>
            <w:tcW w:type="dxa" w:w="1447"/>
            <w:tcMar>
              <w:top w:w="20" w:type="dxa"/>
              <w:left w:w="60" w:type="dxa"/>
              <w:bottom w:w="20" w:type="dxa"/>
              <w:right w:w="60" w:type="dxa"/>
            </w:tcMar>
            <w:vAlign w:val="top"/>
          </w:tcPr>
          <w:p>
            <w:pPr>
              <w:keepNext/>
              <w:spacing w:after="10" w:before="0" w:line="240" w:lineRule="auto"/>
              <w:jc w:val="right"/>
            </w:pPr>
          </w:p>
        </w:tc>
        <w:tc>
          <w:tcPr>
            <w:tcW w:type="dxa" w:w="1447"/>
            <w:tcMar>
              <w:top w:w="20" w:type="dxa"/>
              <w:left w:w="60" w:type="dxa"/>
              <w:bottom w:w="20" w:type="dxa"/>
              <w:right w:w="60" w:type="dxa"/>
            </w:tcMar>
            <w:vAlign w:val="top"/>
          </w:tcPr>
          <w:p>
            <w:pPr>
              <w:keepNext/>
              <w:spacing w:after="10" w:before="0" w:line="240" w:lineRule="auto"/>
              <w:jc w:val="right"/>
            </w:pPr>
            <w:r>
              <w:rPr>
                <w:sz w:val="17"/>
              </w:rPr>
              <w:t>3,672.50</w:t>
            </w:r>
          </w:p>
        </w:tc>
      </w:tr>
      <w:tr>
        <w:trPr>
          <w:cantSplit w:val="true"/>
        </w:trPr>
        <w:tc>
          <w:tcPr>
            <w:tcW w:type="dxa" w:w="3947"/>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2763"/>
            <w:tcMar>
              <w:top w:w="20" w:type="dxa"/>
              <w:left w:w="60" w:type="dxa"/>
              <w:bottom w:w="20" w:type="dxa"/>
              <w:right w:w="60" w:type="dxa"/>
            </w:tcMar>
            <w:vAlign w:val="top"/>
            <w:shd w:val="clear" w:color="auto" w:fill="E9EDF3"/>
          </w:tcPr>
          <w:p>
            <w:pPr>
              <w:spacing w:after="10" w:before="0" w:line="240" w:lineRule="auto"/>
            </w:pP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3,672.50</w:t>
            </w:r>
          </w:p>
        </w:tc>
        <w:tc>
          <w:tcPr>
            <w:tcW w:type="dxa" w:w="1447"/>
            <w:tcMar>
              <w:top w:w="20" w:type="dxa"/>
              <w:left w:w="60" w:type="dxa"/>
              <w:bottom w:w="20" w:type="dxa"/>
              <w:right w:w="60" w:type="dxa"/>
            </w:tcMar>
            <w:vAlign w:val="top"/>
            <w:shd w:val="clear" w:color="auto" w:fill="E9EDF3"/>
          </w:tcPr>
          <w:p>
            <w:pPr>
              <w:spacing w:after="10" w:before="0" w:line="240" w:lineRule="auto"/>
              <w:jc w:val="right"/>
            </w:pPr>
            <w:r>
              <w:rPr>
                <w:b/>
                <w:sz w:val="17"/>
              </w:rPr>
              <w:t>3,672.50</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Not built (phase 2): invoices in a foreign currency, the realised exchange gain or loss when an invoice is settled at a rate other than the one it was raised at, and revaluation of open foreign balances at period end. A foreign receipt settles an AED invoice at the voucher's rate, so no exchange difference arises in phase 1. A correction of the rate for a day replaces that day's rate; the replaced value goes to the audit log.</w:t>
            </w:r>
          </w:p>
        </w:tc>
      </w:tr>
    </w:tbl>
    <w:p>
      <w:pPr>
        <w:spacing w:after="0" w:before="0"/>
        <w:rPr>
          <w:sz w:val="8"/>
        </w:rPr>
      </w:pPr>
    </w:p>
    <w:p>
      <w:pPr>
        <w:pStyle w:val="Heading2"/>
      </w:pPr>
      <w:r>
        <w:t>3.18 Which events use which keys</w:t>
      </w:r>
    </w:p>
    <w:p>
      <w:pPr>
        <w:pStyle w:val="Caption"/>
      </w:pPr>
      <w:r>
        <w:t>Table 44. Events and the keys they read</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201"/>
        <w:gridCol w:w="6403"/>
      </w:tblGrid>
      <w:tr>
        <w:trPr>
          <w:tblHeader w:val="true"/>
          <w:cantSplit w:val="true"/>
        </w:trPr>
        <w:tc>
          <w:tcPr>
            <w:tcW w:type="dxa" w:w="3202"/>
            <w:shd w:val="clear" w:color="auto" w:fill="1F3A5F"/>
            <w:tcMar>
              <w:top w:w="20" w:type="dxa"/>
              <w:left w:w="60" w:type="dxa"/>
              <w:bottom w:w="20" w:type="dxa"/>
              <w:right w:w="60" w:type="dxa"/>
            </w:tcMar>
            <w:vAlign w:val="center"/>
          </w:tcPr>
          <w:p>
            <w:pPr>
              <w:spacing w:after="10" w:before="0" w:line="240" w:lineRule="auto"/>
            </w:pPr>
            <w:r>
              <w:rPr>
                <w:b/>
                <w:color w:val="FFFFFF"/>
                <w:sz w:val="17"/>
              </w:rPr>
              <w:t>Event</w:t>
            </w:r>
          </w:p>
        </w:tc>
        <w:tc>
          <w:tcPr>
            <w:tcW w:type="dxa" w:w="6403"/>
            <w:shd w:val="clear" w:color="auto" w:fill="1F3A5F"/>
            <w:tcMar>
              <w:top w:w="20" w:type="dxa"/>
              <w:left w:w="60" w:type="dxa"/>
              <w:bottom w:w="20" w:type="dxa"/>
              <w:right w:w="60" w:type="dxa"/>
            </w:tcMar>
            <w:vAlign w:val="center"/>
          </w:tcPr>
          <w:p>
            <w:pPr>
              <w:spacing w:after="10" w:before="0" w:line="240" w:lineRule="auto"/>
            </w:pPr>
            <w:r>
              <w:rPr>
                <w:b/>
                <w:color w:val="FFFFFF"/>
                <w:sz w:val="17"/>
              </w:rPr>
              <w:t>Configuration keys and accounts used</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Purchase invoice, purchase return</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inventory-asset</w:t>
            </w:r>
            <w:r>
              <w:rPr>
                <w:sz w:val="17"/>
              </w:rPr>
              <w:t xml:space="preserve">, </w:t>
            </w:r>
            <w:r>
              <w:rPr>
                <w:rFonts w:ascii="Consolas" w:hAnsi="Consolas" w:eastAsia="Consolas"/>
                <w:sz w:val="16"/>
              </w:rPr>
              <w:t>vat-purchase</w:t>
            </w:r>
            <w:r>
              <w:rPr>
                <w:sz w:val="17"/>
              </w:rPr>
              <w:t xml:space="preserve">, </w:t>
            </w:r>
            <w:r>
              <w:rPr>
                <w:rFonts w:ascii="Consolas" w:hAnsi="Consolas" w:eastAsia="Consolas"/>
                <w:sz w:val="16"/>
              </w:rPr>
              <w:t>freight-purchase</w:t>
            </w:r>
            <w:r>
              <w:rPr>
                <w:sz w:val="17"/>
              </w:rPr>
              <w:t xml:space="preserve">, </w:t>
            </w:r>
            <w:r>
              <w:rPr>
                <w:rFonts w:ascii="Consolas" w:hAnsi="Consolas" w:eastAsia="Consolas"/>
                <w:sz w:val="16"/>
              </w:rPr>
              <w:t>discount-purchase</w:t>
            </w:r>
            <w:r>
              <w:rPr>
                <w:sz w:val="17"/>
              </w:rPr>
              <w:t xml:space="preserve">, </w:t>
            </w:r>
            <w:r>
              <w:rPr>
                <w:rFonts w:ascii="Consolas" w:hAnsi="Consolas" w:eastAsia="Consolas"/>
                <w:sz w:val="16"/>
              </w:rPr>
              <w:t>round-off-purchase</w:t>
            </w:r>
            <w:r>
              <w:rPr>
                <w:sz w:val="17"/>
              </w:rPr>
              <w:t>, vendor account</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Sales invoice, sales return</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sales-revenue</w:t>
            </w:r>
            <w:r>
              <w:rPr>
                <w:sz w:val="17"/>
              </w:rPr>
              <w:t xml:space="preserve">, </w:t>
            </w:r>
            <w:r>
              <w:rPr>
                <w:rFonts w:ascii="Consolas" w:hAnsi="Consolas" w:eastAsia="Consolas"/>
                <w:sz w:val="16"/>
              </w:rPr>
              <w:t>vat-sales</w:t>
            </w:r>
            <w:r>
              <w:rPr>
                <w:sz w:val="17"/>
              </w:rPr>
              <w:t xml:space="preserve">, </w:t>
            </w:r>
            <w:r>
              <w:rPr>
                <w:rFonts w:ascii="Consolas" w:hAnsi="Consolas" w:eastAsia="Consolas"/>
                <w:sz w:val="16"/>
              </w:rPr>
              <w:t>discount-sales</w:t>
            </w:r>
            <w:r>
              <w:rPr>
                <w:sz w:val="17"/>
              </w:rPr>
              <w:t xml:space="preserve">, </w:t>
            </w:r>
            <w:r>
              <w:rPr>
                <w:rFonts w:ascii="Consolas" w:hAnsi="Consolas" w:eastAsia="Consolas"/>
                <w:sz w:val="16"/>
              </w:rPr>
              <w:t>freight-sales</w:t>
            </w:r>
            <w:r>
              <w:rPr>
                <w:sz w:val="17"/>
              </w:rPr>
              <w:t xml:space="preserve">, </w:t>
            </w:r>
            <w:r>
              <w:rPr>
                <w:rFonts w:ascii="Consolas" w:hAnsi="Consolas" w:eastAsia="Consolas"/>
                <w:sz w:val="16"/>
              </w:rPr>
              <w:t>round-off-sales</w:t>
            </w:r>
            <w:r>
              <w:rPr>
                <w:sz w:val="17"/>
              </w:rPr>
              <w:t xml:space="preserve">, </w:t>
            </w:r>
            <w:r>
              <w:rPr>
                <w:rFonts w:ascii="Consolas" w:hAnsi="Consolas" w:eastAsia="Consolas"/>
                <w:sz w:val="16"/>
              </w:rPr>
              <w:t>cogs</w:t>
            </w:r>
            <w:r>
              <w:rPr>
                <w:sz w:val="17"/>
              </w:rPr>
              <w:t xml:space="preserve">, </w:t>
            </w:r>
            <w:r>
              <w:rPr>
                <w:rFonts w:ascii="Consolas" w:hAnsi="Consolas" w:eastAsia="Consolas"/>
                <w:sz w:val="16"/>
              </w:rPr>
              <w:t>inventory-asset</w:t>
            </w:r>
            <w:r>
              <w:rPr>
                <w:sz w:val="17"/>
              </w:rPr>
              <w:t>, customer account</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Receipt, payment by cash, bank, transfer</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cash-account-group</w:t>
            </w:r>
            <w:r>
              <w:rPr>
                <w:sz w:val="17"/>
              </w:rPr>
              <w:t xml:space="preserve"> or </w:t>
            </w:r>
            <w:r>
              <w:rPr>
                <w:rFonts w:ascii="Consolas" w:hAnsi="Consolas" w:eastAsia="Consolas"/>
                <w:sz w:val="16"/>
              </w:rPr>
              <w:t>bank-account-group</w:t>
            </w:r>
            <w:r>
              <w:rPr>
                <w:sz w:val="17"/>
              </w:rPr>
              <w:t>; party and advance accounts</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Cheque, card</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bank-account-group</w:t>
            </w:r>
            <w:r>
              <w:rPr>
                <w:sz w:val="17"/>
              </w:rPr>
              <w:t xml:space="preserve">, </w:t>
            </w:r>
            <w:r>
              <w:rPr>
                <w:rFonts w:ascii="Consolas" w:hAnsi="Consolas" w:eastAsia="Consolas"/>
                <w:sz w:val="16"/>
              </w:rPr>
              <w:t>pdc-receipt</w:t>
            </w:r>
            <w:r>
              <w:rPr>
                <w:sz w:val="17"/>
              </w:rPr>
              <w:t xml:space="preserve"> or </w:t>
            </w:r>
            <w:r>
              <w:rPr>
                <w:rFonts w:ascii="Consolas" w:hAnsi="Consolas" w:eastAsia="Consolas"/>
                <w:sz w:val="16"/>
              </w:rPr>
              <w:t>pdc-issue</w:t>
            </w:r>
            <w:r>
              <w:rPr>
                <w:sz w:val="17"/>
              </w:rPr>
              <w:t xml:space="preserve">; </w:t>
            </w:r>
            <w:r>
              <w:rPr>
                <w:rFonts w:ascii="Consolas" w:hAnsi="Consolas" w:eastAsia="Consolas"/>
                <w:sz w:val="16"/>
              </w:rPr>
              <w:t>credit-card-group</w:t>
            </w:r>
            <w:r>
              <w:rPr>
                <w:sz w:val="17"/>
              </w:rPr>
              <w:t xml:space="preserve">, </w:t>
            </w:r>
            <w:r>
              <w:rPr>
                <w:rFonts w:ascii="Consolas" w:hAnsi="Consolas" w:eastAsia="Consolas"/>
                <w:sz w:val="16"/>
              </w:rPr>
              <w:t>card-charges</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Expense voucher, debit and credit notes</w:t>
            </w:r>
          </w:p>
        </w:tc>
        <w:tc>
          <w:tcPr>
            <w:tcW w:type="dxa" w:w="6403"/>
            <w:tcMar>
              <w:top w:w="20" w:type="dxa"/>
              <w:left w:w="60" w:type="dxa"/>
              <w:bottom w:w="20" w:type="dxa"/>
              <w:right w:w="60" w:type="dxa"/>
            </w:tcMar>
            <w:vAlign w:val="top"/>
          </w:tcPr>
          <w:p>
            <w:pPr>
              <w:spacing w:after="10" w:before="0" w:line="240" w:lineRule="auto"/>
            </w:pPr>
            <w:r>
              <w:rPr>
                <w:sz w:val="17"/>
              </w:rPr>
              <w:t xml:space="preserve">The chosen accounts; </w:t>
            </w:r>
            <w:r>
              <w:rPr>
                <w:rFonts w:ascii="Consolas" w:hAnsi="Consolas" w:eastAsia="Consolas"/>
                <w:sz w:val="16"/>
              </w:rPr>
              <w:t>vat-purchase</w:t>
            </w:r>
            <w:r>
              <w:rPr>
                <w:sz w:val="17"/>
              </w:rPr>
              <w:t xml:space="preserve"> (expenses, vendor notes) or </w:t>
            </w:r>
            <w:r>
              <w:rPr>
                <w:rFonts w:ascii="Consolas" w:hAnsi="Consolas" w:eastAsia="Consolas"/>
                <w:sz w:val="16"/>
              </w:rPr>
              <w:t>vat-sales</w:t>
            </w:r>
            <w:r>
              <w:rPr>
                <w:sz w:val="17"/>
              </w:rPr>
              <w:t xml:space="preserve"> (customer notes); the payment mode's keys</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Journal, contra</w:t>
            </w:r>
          </w:p>
        </w:tc>
        <w:tc>
          <w:tcPr>
            <w:tcW w:type="dxa" w:w="6403"/>
            <w:tcMar>
              <w:top w:w="20" w:type="dxa"/>
              <w:left w:w="60" w:type="dxa"/>
              <w:bottom w:w="20" w:type="dxa"/>
              <w:right w:w="60" w:type="dxa"/>
            </w:tcMar>
            <w:vAlign w:val="top"/>
          </w:tcPr>
          <w:p>
            <w:pPr>
              <w:spacing w:after="10" w:before="0" w:line="240" w:lineRule="auto"/>
            </w:pPr>
            <w:r>
              <w:rPr>
                <w:sz w:val="17"/>
              </w:rPr>
              <w:t>Journal: none. Contra: the two group keys, to check the accounts</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Stock write-off</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write-off-expiry</w:t>
            </w:r>
            <w:r>
              <w:rPr>
                <w:sz w:val="17"/>
              </w:rPr>
              <w:t xml:space="preserve"> or </w:t>
            </w:r>
            <w:r>
              <w:rPr>
                <w:rFonts w:ascii="Consolas" w:hAnsi="Consolas" w:eastAsia="Consolas"/>
                <w:sz w:val="16"/>
              </w:rPr>
              <w:t>damage-loss</w:t>
            </w:r>
            <w:r>
              <w:rPr>
                <w:sz w:val="17"/>
              </w:rPr>
              <w:t xml:space="preserve"> with </w:t>
            </w:r>
            <w:r>
              <w:rPr>
                <w:rFonts w:ascii="Consolas" w:hAnsi="Consolas" w:eastAsia="Consolas"/>
                <w:sz w:val="16"/>
              </w:rPr>
              <w:t>inventory-asset</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Manual stock adjustment</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stock-adjustment</w:t>
            </w:r>
            <w:r>
              <w:rPr>
                <w:sz w:val="17"/>
              </w:rPr>
              <w:t xml:space="preserve"> with </w:t>
            </w:r>
            <w:r>
              <w:rPr>
                <w:rFonts w:ascii="Consolas" w:hAnsi="Consolas" w:eastAsia="Consolas"/>
                <w:sz w:val="16"/>
              </w:rPr>
              <w:t>inventory-asset</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Opening balances, account opening balance</w:t>
            </w:r>
          </w:p>
        </w:tc>
        <w:tc>
          <w:tcPr>
            <w:tcW w:type="dxa" w:w="6403"/>
            <w:tcMar>
              <w:top w:w="20" w:type="dxa"/>
              <w:left w:w="60" w:type="dxa"/>
              <w:bottom w:w="20" w:type="dxa"/>
              <w:right w:w="60" w:type="dxa"/>
            </w:tcMar>
            <w:vAlign w:val="top"/>
          </w:tcPr>
          <w:p>
            <w:pPr>
              <w:spacing w:after="10" w:before="0" w:line="240" w:lineRule="auto"/>
            </w:pPr>
            <w:r>
              <w:rPr>
                <w:rFonts w:ascii="Consolas" w:hAnsi="Consolas" w:eastAsia="Consolas"/>
                <w:sz w:val="16"/>
              </w:rPr>
              <w:t>opening-balance-equity</w:t>
            </w:r>
            <w:r>
              <w:rPr>
                <w:sz w:val="17"/>
              </w:rPr>
              <w:t xml:space="preserve">; </w:t>
            </w:r>
            <w:r>
              <w:rPr>
                <w:rFonts w:ascii="Consolas" w:hAnsi="Consolas" w:eastAsia="Consolas"/>
                <w:sz w:val="16"/>
              </w:rPr>
              <w:t>inventory-asset</w:t>
            </w:r>
            <w:r>
              <w:rPr>
                <w:sz w:val="17"/>
              </w:rPr>
              <w:t xml:space="preserve"> for stock; party accounts</w:t>
            </w:r>
          </w:p>
        </w:tc>
      </w:tr>
      <w:tr>
        <w:trPr>
          <w:cantSplit w:val="true"/>
        </w:trPr>
        <w:tc>
          <w:tcPr>
            <w:tcW w:type="dxa" w:w="3202"/>
            <w:tcMar>
              <w:top w:w="20" w:type="dxa"/>
              <w:left w:w="60" w:type="dxa"/>
              <w:bottom w:w="20" w:type="dxa"/>
              <w:right w:w="60" w:type="dxa"/>
            </w:tcMar>
            <w:vAlign w:val="top"/>
          </w:tcPr>
          <w:p>
            <w:pPr>
              <w:spacing w:after="10" w:before="0" w:line="240" w:lineRule="auto"/>
            </w:pPr>
            <w:r>
              <w:rPr>
                <w:b/>
                <w:sz w:val="17"/>
              </w:rPr>
              <w:t>Foreign-currency receipt or payment</w:t>
            </w:r>
          </w:p>
        </w:tc>
        <w:tc>
          <w:tcPr>
            <w:tcW w:type="dxa" w:w="6403"/>
            <w:tcMar>
              <w:top w:w="20" w:type="dxa"/>
              <w:left w:w="60" w:type="dxa"/>
              <w:bottom w:w="20" w:type="dxa"/>
              <w:right w:w="60" w:type="dxa"/>
            </w:tcMar>
            <w:vAlign w:val="top"/>
          </w:tcPr>
          <w:p>
            <w:pPr>
              <w:spacing w:after="10" w:before="0" w:line="240" w:lineRule="auto"/>
            </w:pPr>
            <w:r>
              <w:rPr>
                <w:sz w:val="17"/>
              </w:rPr>
              <w:t>As the mode used; the currency master (no account)</w:t>
            </w:r>
          </w:p>
        </w:tc>
      </w:tr>
    </w:tbl>
    <w:p>
      <w:pPr>
        <w:spacing w:after="0" w:before="0"/>
        <w:rPr>
          <w:sz w:val="6"/>
        </w:rPr>
      </w:pPr>
    </w:p>
    <w:p>
      <w:pPr>
        <w:pStyle w:val="Heading1"/>
      </w:pPr>
      <w:r>
        <w:t>4 Report logic</w:t>
      </w:r>
    </w:p>
    <w:p>
      <w:r>
        <w:t>Each report is described in the same eight rows (section 1.4). Formulas are written with the names of the fields the code uses. Wherever a report must agree with another, the agreement is listed under 'Controls and reconciliations' and collected in section 5.</w:t>
      </w:r>
    </w:p>
    <w:p>
      <w:r>
        <w:rPr>
          <w:b/>
        </w:rPr>
        <w:t>Rules that apply to every report.</w:t>
      </w:r>
      <w:r>
        <w:t xml:space="preserve"> Reports are read-only GETs behind authentication; preparing, finalising and filing a VAT return needs the admin or super admin role. Before a ledger report, stock report, IFRS statement, the dashboard, the VAT return or the financial statements is read, the system makes sure a company that never chose has posting on and that approved documents are posted (section 2.5); this runs at most once a minute and never blocks the report. Dates are plain days read as Dubai days (section 1.3; exceptions in section 7). The profit and loss and the cash reports read the group keys of the posting map when they run (section 2.6). Most screens export CSV; the statement of account, the VAT return and the IFRS statements also print; the balance sheet and the dashboard have no export.</w:t>
      </w:r>
    </w:p>
    <w:p>
      <w:pPr>
        <w:pStyle w:val="Heading2"/>
      </w:pPr>
      <w:r>
        <w:t>4.1 Trial balance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Trial balance</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Do total debits equal total credits, and what is the balance of every account at the end date?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Financial statements &gt; Trial balance (</w:t>
            </w:r>
            <w:r>
              <w:rPr>
                <w:rFonts w:ascii="Consolas" w:hAnsi="Consolas" w:eastAsia="Consolas"/>
                <w:sz w:val="16"/>
              </w:rPr>
              <w:t>/financial-statements</w:t>
            </w:r>
            <w:r>
              <w:rPr>
                <w:sz w:val="17"/>
              </w:rPr>
              <w:t>).</w:t>
            </w:r>
          </w:p>
          <w:p>
            <w:pPr>
              <w:spacing w:after="10" w:before="0" w:line="240" w:lineRule="auto"/>
            </w:pPr>
            <w:r>
              <w:rPr>
                <w:sz w:val="17"/>
              </w:rPr>
              <w:t xml:space="preserve">API: </w:t>
            </w:r>
            <w:r>
              <w:rPr>
                <w:rFonts w:ascii="Consolas" w:hAnsi="Consolas" w:eastAsia="Consolas"/>
                <w:sz w:val="16"/>
              </w:rPr>
              <w:t>GET /api/v1/vouchers/reports/financial?reportType=trial_balance&amp;dateFrom=&amp;dateTo=</w:t>
            </w:r>
            <w:r>
              <w:rPr>
                <w:sz w:val="17"/>
              </w:rPr>
              <w:t xml:space="preserve"> (FinancialService.getTrialBalance).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Ledger entries not marked reversed, joined to the account (type, group) and the group (name, category).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dateTo</w:t>
            </w:r>
            <w:r>
              <w:rPr>
                <w:sz w:val="17"/>
              </w:rPr>
              <w:t xml:space="preserve"> (optional): entries dated up to and including it. </w:t>
            </w:r>
            <w:r>
              <w:rPr>
                <w:rFonts w:ascii="Consolas" w:hAnsi="Consolas" w:eastAsia="Consolas"/>
                <w:sz w:val="16"/>
              </w:rPr>
              <w:t>dateFrom</w:t>
            </w:r>
            <w:r>
              <w:rPr>
                <w:sz w:val="17"/>
              </w:rPr>
              <w:t xml:space="preserve"> (optional): entries before it are the opening balance, entries from it are the period. The screen defaults to the first day of the year up to today and sends </w:t>
            </w:r>
            <w:r>
              <w:rPr>
                <w:rFonts w:ascii="Consolas" w:hAnsi="Consolas" w:eastAsia="Consolas"/>
                <w:sz w:val="16"/>
              </w:rPr>
              <w:t>dateTo</w:t>
            </w:r>
            <w:r>
              <w:rPr>
                <w:sz w:val="17"/>
              </w:rPr>
              <w:t xml:space="preserve"> with the time 23:59:59.999.</w:t>
            </w:r>
          </w:p>
          <w:p>
            <w:pPr>
              <w:spacing w:after="10" w:before="0" w:line="240" w:lineRule="auto"/>
            </w:pPr>
            <w:r>
              <w:rPr>
                <w:sz w:val="17"/>
              </w:rPr>
              <w:t>The dates are read as sent, not as Dubai days (section 7).</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Per account:</w:t>
            </w:r>
          </w:p>
          <w:p>
            <w:pPr>
              <w:tabs>
                <w:tab w:pos="202" w:val="left"/>
              </w:tabs>
              <w:spacing w:after="10" w:before="0" w:line="240" w:lineRule="auto"/>
              <w:ind w:left="202" w:hanging="202"/>
            </w:pPr>
            <w:r>
              <w:rPr>
                <w:sz w:val="17"/>
              </w:rPr>
              <w:t>•</w:t>
              <w:tab/>
            </w:r>
            <w:r>
              <w:rPr>
                <w:rFonts w:ascii="Consolas" w:hAnsi="Consolas" w:eastAsia="Consolas"/>
                <w:sz w:val="16"/>
              </w:rPr>
              <w:t>openingDebit</w:t>
            </w:r>
            <w:r>
              <w:rPr>
                <w:sz w:val="17"/>
              </w:rPr>
              <w:t xml:space="preserve">, </w:t>
            </w:r>
            <w:r>
              <w:rPr>
                <w:rFonts w:ascii="Consolas" w:hAnsi="Consolas" w:eastAsia="Consolas"/>
                <w:sz w:val="16"/>
              </w:rPr>
              <w:t>openingCredit</w:t>
            </w:r>
            <w:r>
              <w:rPr>
                <w:sz w:val="17"/>
              </w:rPr>
              <w:t xml:space="preserve"> = sums of debit and credit before </w:t>
            </w:r>
            <w:r>
              <w:rPr>
                <w:rFonts w:ascii="Consolas" w:hAnsi="Consolas" w:eastAsia="Consolas"/>
                <w:sz w:val="16"/>
              </w:rPr>
              <w:t>dateFrom</w:t>
            </w:r>
            <w:r>
              <w:rPr>
                <w:sz w:val="17"/>
              </w:rPr>
              <w:t xml:space="preserve"> (zero if no </w:t>
            </w:r>
            <w:r>
              <w:rPr>
                <w:rFonts w:ascii="Consolas" w:hAnsi="Consolas" w:eastAsia="Consolas"/>
                <w:sz w:val="16"/>
              </w:rPr>
              <w:t>dateFrom</w:t>
            </w:r>
            <w:r>
              <w:rPr>
                <w:sz w:val="17"/>
              </w:rPr>
              <w:t>).</w:t>
            </w:r>
          </w:p>
          <w:p>
            <w:pPr>
              <w:tabs>
                <w:tab w:pos="202" w:val="left"/>
              </w:tabs>
              <w:spacing w:after="10" w:before="0" w:line="240" w:lineRule="auto"/>
              <w:ind w:left="202" w:hanging="202"/>
            </w:pPr>
            <w:r>
              <w:rPr>
                <w:sz w:val="17"/>
              </w:rPr>
              <w:t>•</w:t>
              <w:tab/>
            </w:r>
            <w:r>
              <w:rPr>
                <w:rFonts w:ascii="Consolas" w:hAnsi="Consolas" w:eastAsia="Consolas"/>
                <w:sz w:val="16"/>
              </w:rPr>
              <w:t>periodDebit</w:t>
            </w:r>
            <w:r>
              <w:rPr>
                <w:sz w:val="17"/>
              </w:rPr>
              <w:t xml:space="preserve">, </w:t>
            </w:r>
            <w:r>
              <w:rPr>
                <w:rFonts w:ascii="Consolas" w:hAnsi="Consolas" w:eastAsia="Consolas"/>
                <w:sz w:val="16"/>
              </w:rPr>
              <w:t>periodCredit</w:t>
            </w:r>
            <w:r>
              <w:rPr>
                <w:sz w:val="17"/>
              </w:rPr>
              <w:t xml:space="preserve"> = sums from </w:t>
            </w:r>
            <w:r>
              <w:rPr>
                <w:rFonts w:ascii="Consolas" w:hAnsi="Consolas" w:eastAsia="Consolas"/>
                <w:sz w:val="16"/>
              </w:rPr>
              <w:t>dateFrom</w:t>
            </w:r>
            <w:r>
              <w:rPr>
                <w:sz w:val="17"/>
              </w:rPr>
              <w:t xml:space="preserve"> to </w:t>
            </w:r>
            <w:r>
              <w:rPr>
                <w:rFonts w:ascii="Consolas" w:hAnsi="Consolas" w:eastAsia="Consolas"/>
                <w:sz w:val="16"/>
              </w:rPr>
              <w:t>dateTo</w:t>
            </w:r>
            <w:r>
              <w:rPr>
                <w:sz w:val="17"/>
              </w:rPr>
              <w:t>.</w:t>
            </w:r>
          </w:p>
          <w:p>
            <w:pPr>
              <w:tabs>
                <w:tab w:pos="202" w:val="left"/>
              </w:tabs>
              <w:spacing w:after="10" w:before="0" w:line="240" w:lineRule="auto"/>
              <w:ind w:left="202" w:hanging="202"/>
            </w:pPr>
            <w:r>
              <w:rPr>
                <w:sz w:val="17"/>
              </w:rPr>
              <w:t>•</w:t>
              <w:tab/>
            </w:r>
            <w:r>
              <w:rPr>
                <w:rFonts w:ascii="Consolas" w:hAnsi="Consolas" w:eastAsia="Consolas"/>
                <w:sz w:val="16"/>
              </w:rPr>
              <w:t>category</w:t>
            </w:r>
            <w:r>
              <w:rPr>
                <w:sz w:val="17"/>
              </w:rPr>
              <w:t xml:space="preserve"> = the group's category; if the account has no group, the category implied by its account type.</w:t>
            </w:r>
          </w:p>
          <w:p>
            <w:pPr>
              <w:tabs>
                <w:tab w:pos="202" w:val="left"/>
              </w:tabs>
              <w:spacing w:after="10" w:before="0" w:line="240" w:lineRule="auto"/>
              <w:ind w:left="202" w:hanging="202"/>
            </w:pPr>
            <w:r>
              <w:rPr>
                <w:sz w:val="17"/>
              </w:rPr>
              <w:t>•</w:t>
              <w:tab/>
            </w:r>
            <w:r>
              <w:rPr>
                <w:rFonts w:ascii="Consolas" w:hAnsi="Consolas" w:eastAsia="Consolas"/>
                <w:sz w:val="16"/>
              </w:rPr>
              <w:t>openingBalance</w:t>
            </w:r>
            <w:r>
              <w:rPr>
                <w:sz w:val="17"/>
              </w:rPr>
              <w:t xml:space="preserve"> = naturalBalance(category, openingDebit, openingCredit).</w:t>
            </w:r>
          </w:p>
          <w:p>
            <w:pPr>
              <w:tabs>
                <w:tab w:pos="202" w:val="left"/>
              </w:tabs>
              <w:spacing w:after="10" w:before="0" w:line="240" w:lineRule="auto"/>
              <w:ind w:left="202" w:hanging="202"/>
            </w:pPr>
            <w:r>
              <w:rPr>
                <w:sz w:val="17"/>
              </w:rPr>
              <w:t>•</w:t>
              <w:tab/>
            </w:r>
            <w:r>
              <w:rPr>
                <w:rFonts w:ascii="Consolas" w:hAnsi="Consolas" w:eastAsia="Consolas"/>
                <w:sz w:val="16"/>
              </w:rPr>
              <w:t>balance</w:t>
            </w:r>
            <w:r>
              <w:rPr>
                <w:sz w:val="17"/>
              </w:rPr>
              <w:t xml:space="preserve"> = naturalBalance(category, openingDebit + periodDebit, openingCredit + periodCredit).</w:t>
            </w:r>
          </w:p>
          <w:p>
            <w:pPr>
              <w:tabs>
                <w:tab w:pos="202" w:val="left"/>
              </w:tabs>
              <w:spacing w:after="10" w:before="0" w:line="240" w:lineRule="auto"/>
              <w:ind w:left="202" w:hanging="202"/>
            </w:pPr>
            <w:r>
              <w:rPr>
                <w:sz w:val="17"/>
              </w:rPr>
              <w:t>•</w:t>
              <w:tab/>
            </w:r>
            <w:r>
              <w:rPr>
                <w:rFonts w:ascii="Consolas" w:hAnsi="Consolas" w:eastAsia="Consolas"/>
                <w:sz w:val="16"/>
              </w:rPr>
              <w:t>net</w:t>
            </w:r>
            <w:r>
              <w:rPr>
                <w:sz w:val="17"/>
              </w:rPr>
              <w:t xml:space="preserve"> = (openingDebit + periodDebit) - (openingCredit + periodCredit); </w:t>
            </w:r>
            <w:r>
              <w:rPr>
                <w:rFonts w:ascii="Consolas" w:hAnsi="Consolas" w:eastAsia="Consolas"/>
                <w:sz w:val="16"/>
              </w:rPr>
              <w:t>closingDebit</w:t>
            </w:r>
            <w:r>
              <w:rPr>
                <w:sz w:val="17"/>
              </w:rPr>
              <w:t xml:space="preserve"> = net if net &gt; 0; </w:t>
            </w:r>
            <w:r>
              <w:rPr>
                <w:rFonts w:ascii="Consolas" w:hAnsi="Consolas" w:eastAsia="Consolas"/>
                <w:sz w:val="16"/>
              </w:rPr>
              <w:t>closingCredit</w:t>
            </w:r>
            <w:r>
              <w:rPr>
                <w:sz w:val="17"/>
              </w:rPr>
              <w:t xml:space="preserve"> = -net if net &lt; 0.</w:t>
            </w:r>
          </w:p>
          <w:p>
            <w:pPr>
              <w:spacing w:after="10" w:before="0" w:line="240" w:lineRule="auto"/>
            </w:pPr>
            <w:r>
              <w:rPr>
                <w:sz w:val="17"/>
              </w:rPr>
              <w:t xml:space="preserve">Summary: sums of the period debits, period credits, closing debits and closing credits. </w:t>
            </w:r>
            <w:r>
              <w:rPr>
                <w:rFonts w:ascii="Consolas" w:hAnsi="Consolas" w:eastAsia="Consolas"/>
                <w:sz w:val="16"/>
              </w:rPr>
              <w:t>isBalanced</w:t>
            </w:r>
            <w:r>
              <w:rPr>
                <w:sz w:val="17"/>
              </w:rPr>
              <w:t xml:space="preserve"> = |sum of closingDebit - sum of closingCredit| &lt; 0.01.</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Every posted entry: invoices, returns, vouchers, notes, opening balances, cheque clearances, write-offs.</w:t>
            </w:r>
          </w:p>
          <w:p>
            <w:pPr>
              <w:tabs>
                <w:tab w:pos="202" w:val="left"/>
              </w:tabs>
              <w:spacing w:after="10" w:before="0" w:line="240" w:lineRule="auto"/>
              <w:ind w:left="202" w:hanging="202"/>
            </w:pPr>
            <w:r>
              <w:rPr>
                <w:sz w:val="17"/>
              </w:rPr>
              <w:t>•</w:t>
              <w:tab/>
              <w:t>Not included: reversed entries; accounts that have no entries at all. An inactive account appears if it has entries.</w:t>
            </w:r>
          </w:p>
          <w:p>
            <w:pPr>
              <w:tabs>
                <w:tab w:pos="202" w:val="left"/>
              </w:tabs>
              <w:spacing w:after="10" w:before="0" w:line="240" w:lineRule="auto"/>
              <w:ind w:left="202" w:hanging="202"/>
            </w:pPr>
            <w:r>
              <w:rPr>
                <w:sz w:val="17"/>
              </w:rPr>
              <w:t>•</w:t>
              <w:tab/>
              <w:t>Sorted by account code, then name.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isBalanced</w:t>
            </w:r>
            <w:r>
              <w:rPr>
                <w:sz w:val="17"/>
              </w:rPr>
              <w:t xml:space="preserve"> must be true. Every posting is checked before it is written (a template that does not balance is refused with UNBALANCED_POSTING; a journal with UNBALANCED), so a difference means an entry made outside the posting code.</w:t>
            </w:r>
          </w:p>
          <w:p>
            <w:pPr>
              <w:tabs>
                <w:tab w:pos="202" w:val="left"/>
              </w:tabs>
              <w:spacing w:after="10" w:before="0" w:line="240" w:lineRule="auto"/>
              <w:ind w:left="202" w:hanging="202"/>
            </w:pPr>
            <w:r>
              <w:rPr>
                <w:sz w:val="17"/>
              </w:rPr>
              <w:t>•</w:t>
              <w:tab/>
              <w:t>Closing balances equal the general ledger closing (net) and the chart-of-accounts balances: all read the same entries.</w:t>
            </w:r>
          </w:p>
          <w:p>
            <w:pPr>
              <w:tabs>
                <w:tab w:pos="202" w:val="left"/>
              </w:tabs>
              <w:spacing w:after="10" w:before="0" w:line="240" w:lineRule="auto"/>
              <w:ind w:left="202" w:hanging="202"/>
            </w:pPr>
            <w:r>
              <w:rPr>
                <w:sz w:val="17"/>
              </w:rPr>
              <w:t>•</w:t>
              <w:tab/>
              <w:t>The profit and loss and the balance sheet are built from it.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 xml:space="preserve">API: </w:t>
            </w:r>
            <w:r>
              <w:rPr>
                <w:rFonts w:ascii="Consolas" w:hAnsi="Consolas" w:eastAsia="Consolas"/>
                <w:sz w:val="16"/>
              </w:rPr>
              <w:t>trialBalance[]</w:t>
            </w:r>
            <w:r>
              <w:rPr>
                <w:sz w:val="17"/>
              </w:rPr>
              <w:t xml:space="preserve"> with accountName, accountCode, accountType, category, groupName, openingBalance, totalDebits, totalCredits, balance, closingDebit, closingCredit; and </w:t>
            </w:r>
            <w:r>
              <w:rPr>
                <w:rFonts w:ascii="Consolas" w:hAnsi="Consolas" w:eastAsia="Consolas"/>
                <w:sz w:val="16"/>
              </w:rPr>
              <w:t>summary</w:t>
            </w:r>
            <w:r>
              <w:rPr>
                <w:sz w:val="17"/>
              </w:rPr>
              <w:t>.</w:t>
            </w:r>
          </w:p>
          <w:p>
            <w:pPr>
              <w:spacing w:after="10" w:before="0" w:line="240" w:lineRule="auto"/>
            </w:pPr>
            <w:r>
              <w:rPr>
                <w:sz w:val="17"/>
              </w:rPr>
              <w:t>Screen columns: Account, Category, Opening, Debit, Credit, Closing Dr, Closing Cr, with an 'In balance' flag. CSV with a total row. Clicking an account opens its ledger.</w:t>
            </w:r>
          </w:p>
        </w:tc>
      </w:tr>
    </w:tbl>
    <w:p>
      <w:pPr>
        <w:spacing w:after="0" w:before="0"/>
        <w:rPr>
          <w:sz w:val="8"/>
        </w:rPr>
      </w:pPr>
    </w:p>
    <w:p>
      <w:pPr>
        <w:pStyle w:val="Heading2"/>
      </w:pPr>
      <w:r>
        <w:t>4.2 Profit and loss (with gross profit)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Profit and loss</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What did the business earn in the period, and what is the gross profit?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Financial statements &gt; Profit and loss (</w:t>
            </w:r>
            <w:r>
              <w:rPr>
                <w:rFonts w:ascii="Consolas" w:hAnsi="Consolas" w:eastAsia="Consolas"/>
                <w:sz w:val="16"/>
              </w:rPr>
              <w:t>/financial-statements?tab=pl</w:t>
            </w:r>
            <w:r>
              <w:rPr>
                <w:sz w:val="17"/>
              </w:rPr>
              <w:t>).</w:t>
            </w:r>
          </w:p>
          <w:p>
            <w:pPr>
              <w:spacing w:after="10" w:before="0" w:line="240" w:lineRule="auto"/>
            </w:pPr>
            <w:r>
              <w:rPr>
                <w:sz w:val="17"/>
              </w:rPr>
              <w:t xml:space="preserve">API: </w:t>
            </w:r>
            <w:r>
              <w:rPr>
                <w:rFonts w:ascii="Consolas" w:hAnsi="Consolas" w:eastAsia="Consolas"/>
                <w:sz w:val="16"/>
              </w:rPr>
              <w:t>GET /api/v1/accounting/reports/profit-loss?from=&amp;to=</w:t>
            </w:r>
            <w:r>
              <w:rPr>
                <w:sz w:val="17"/>
              </w:rPr>
              <w:t xml:space="preserve"> (LedgerReportsService.profitAndLoss). The dashboard and the IFRS profit or loss use the same function.</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Ledger entries not marked reversed, summed per account for the period; account groups; the posting map (the four direct-group keys).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and </w:t>
            </w:r>
            <w:r>
              <w:rPr>
                <w:rFonts w:ascii="Consolas" w:hAnsi="Consolas" w:eastAsia="Consolas"/>
                <w:sz w:val="16"/>
              </w:rPr>
              <w:t>to</w:t>
            </w:r>
            <w:r>
              <w:rPr>
                <w:sz w:val="17"/>
              </w:rPr>
              <w:t xml:space="preserve"> are Dubai days. Only the movement inside the period is used; there is no opening balance. If </w:t>
            </w:r>
            <w:r>
              <w:rPr>
                <w:rFonts w:ascii="Consolas" w:hAnsi="Consolas" w:eastAsia="Consolas"/>
                <w:sz w:val="16"/>
              </w:rPr>
              <w:t>from</w:t>
            </w:r>
            <w:r>
              <w:rPr>
                <w:sz w:val="17"/>
              </w:rPr>
              <w:t xml:space="preserve"> is omitted, everything up to </w:t>
            </w:r>
            <w:r>
              <w:rPr>
                <w:rFonts w:ascii="Consolas" w:hAnsi="Consolas" w:eastAsia="Consolas"/>
                <w:sz w:val="16"/>
              </w:rPr>
              <w:t>to</w:t>
            </w:r>
            <w:r>
              <w:rPr>
                <w:sz w:val="17"/>
              </w:rPr>
              <w:t xml:space="preserve"> is the period.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 xml:space="preserve">For each INCOME or EXPENSE account: </w:t>
            </w:r>
            <w:r>
              <w:rPr>
                <w:rFonts w:ascii="Consolas" w:hAnsi="Consolas" w:eastAsia="Consolas"/>
                <w:sz w:val="16"/>
              </w:rPr>
              <w:t>amount</w:t>
            </w:r>
            <w:r>
              <w:rPr>
                <w:sz w:val="17"/>
              </w:rPr>
              <w:t xml:space="preserve"> = naturalBalance(category, periodDebit, periodCredit). Accounts with |amount| &lt; 0.005 are left out.</w:t>
            </w:r>
          </w:p>
          <w:p>
            <w:pPr>
              <w:spacing w:after="10" w:before="0" w:line="240" w:lineRule="auto"/>
            </w:pPr>
            <w:r>
              <w:rPr>
                <w:rFonts w:ascii="Consolas" w:hAnsi="Consolas" w:eastAsia="Consolas"/>
                <w:sz w:val="16"/>
              </w:rPr>
              <w:t>directIncome</w:t>
            </w:r>
            <w:r>
              <w:rPr>
                <w:sz w:val="17"/>
              </w:rPr>
              <w:t xml:space="preserve"> = the groups under </w:t>
            </w:r>
            <w:r>
              <w:rPr>
                <w:rFonts w:ascii="Consolas" w:hAnsi="Consolas" w:eastAsia="Consolas"/>
                <w:sz w:val="16"/>
              </w:rPr>
              <w:t>sales-income-group</w:t>
            </w:r>
            <w:r>
              <w:rPr>
                <w:sz w:val="17"/>
              </w:rPr>
              <w:t xml:space="preserve"> or </w:t>
            </w:r>
            <w:r>
              <w:rPr>
                <w:rFonts w:ascii="Consolas" w:hAnsi="Consolas" w:eastAsia="Consolas"/>
                <w:sz w:val="16"/>
              </w:rPr>
              <w:t>direct-income-group</w:t>
            </w:r>
            <w:r>
              <w:rPr>
                <w:sz w:val="17"/>
              </w:rPr>
              <w:t xml:space="preserve">, each with all its sub-groups. </w:t>
            </w:r>
            <w:r>
              <w:rPr>
                <w:rFonts w:ascii="Consolas" w:hAnsi="Consolas" w:eastAsia="Consolas"/>
                <w:sz w:val="16"/>
              </w:rPr>
              <w:t>directCost</w:t>
            </w:r>
            <w:r>
              <w:rPr>
                <w:sz w:val="17"/>
              </w:rPr>
              <w:t xml:space="preserve"> = the groups under </w:t>
            </w:r>
            <w:r>
              <w:rPr>
                <w:rFonts w:ascii="Consolas" w:hAnsi="Consolas" w:eastAsia="Consolas"/>
                <w:sz w:val="16"/>
              </w:rPr>
              <w:t>purchase-expense-group</w:t>
            </w:r>
            <w:r>
              <w:rPr>
                <w:sz w:val="17"/>
              </w:rPr>
              <w:t xml:space="preserve"> or </w:t>
            </w:r>
            <w:r>
              <w:rPr>
                <w:rFonts w:ascii="Consolas" w:hAnsi="Consolas" w:eastAsia="Consolas"/>
                <w:sz w:val="16"/>
              </w:rPr>
              <w:t>direct-expense-group</w:t>
            </w:r>
            <w:r>
              <w:rPr>
                <w:sz w:val="17"/>
              </w:rPr>
              <w:t>, likewise. An unmapped key adds nothing.</w:t>
            </w:r>
          </w:p>
          <w:p>
            <w:pPr>
              <w:tabs>
                <w:tab w:pos="202" w:val="left"/>
              </w:tabs>
              <w:spacing w:after="10" w:before="0" w:line="240" w:lineRule="auto"/>
              <w:ind w:left="202" w:hanging="202"/>
            </w:pPr>
            <w:r>
              <w:rPr>
                <w:sz w:val="17"/>
              </w:rPr>
              <w:t>•</w:t>
              <w:tab/>
              <w:t xml:space="preserve">Revenue = sum of </w:t>
            </w:r>
            <w:r>
              <w:rPr>
                <w:rFonts w:ascii="Consolas" w:hAnsi="Consolas" w:eastAsia="Consolas"/>
                <w:sz w:val="16"/>
              </w:rPr>
              <w:t>amount</w:t>
            </w:r>
            <w:r>
              <w:rPr>
                <w:sz w:val="17"/>
              </w:rPr>
              <w:t xml:space="preserve"> of INCOME accounts in directIncome.</w:t>
            </w:r>
          </w:p>
          <w:p>
            <w:pPr>
              <w:tabs>
                <w:tab w:pos="202" w:val="left"/>
              </w:tabs>
              <w:spacing w:after="10" w:before="0" w:line="240" w:lineRule="auto"/>
              <w:ind w:left="202" w:hanging="202"/>
            </w:pPr>
            <w:r>
              <w:rPr>
                <w:sz w:val="17"/>
              </w:rPr>
              <w:t>•</w:t>
              <w:tab/>
              <w:t xml:space="preserve">Direct costs = sum of </w:t>
            </w:r>
            <w:r>
              <w:rPr>
                <w:rFonts w:ascii="Consolas" w:hAnsi="Consolas" w:eastAsia="Consolas"/>
                <w:sz w:val="16"/>
              </w:rPr>
              <w:t>amount</w:t>
            </w:r>
            <w:r>
              <w:rPr>
                <w:sz w:val="17"/>
              </w:rPr>
              <w:t xml:space="preserve"> of EXPENSE accounts in directCost.</w:t>
            </w:r>
          </w:p>
          <w:p>
            <w:pPr>
              <w:tabs>
                <w:tab w:pos="202" w:val="left"/>
              </w:tabs>
              <w:spacing w:after="10" w:before="0" w:line="240" w:lineRule="auto"/>
              <w:ind w:left="202" w:hanging="202"/>
            </w:pPr>
            <w:r>
              <w:rPr>
                <w:sz w:val="17"/>
              </w:rPr>
              <w:t>•</w:t>
              <w:tab/>
            </w:r>
            <w:r>
              <w:rPr>
                <w:b/>
                <w:sz w:val="17"/>
              </w:rPr>
              <w:t>Gross profit</w:t>
            </w:r>
            <w:r>
              <w:rPr>
                <w:sz w:val="17"/>
              </w:rPr>
              <w:t xml:space="preserve"> = Revenue - Direct costs. </w:t>
            </w:r>
            <w:r>
              <w:rPr>
                <w:b/>
                <w:sz w:val="17"/>
              </w:rPr>
              <w:t>Gross margin %</w:t>
            </w:r>
            <w:r>
              <w:rPr>
                <w:sz w:val="17"/>
              </w:rPr>
              <w:t xml:space="preserve"> = Gross profit / Revenue x 100, to two decimals (empty if Revenue is zero).</w:t>
            </w:r>
          </w:p>
          <w:p>
            <w:pPr>
              <w:tabs>
                <w:tab w:pos="202" w:val="left"/>
              </w:tabs>
              <w:spacing w:after="10" w:before="0" w:line="240" w:lineRule="auto"/>
              <w:ind w:left="202" w:hanging="202"/>
            </w:pPr>
            <w:r>
              <w:rPr>
                <w:sz w:val="17"/>
              </w:rPr>
              <w:t>•</w:t>
              <w:tab/>
              <w:t>Other income = INCOME accounts outside directIncome. Operating expenses = EXPENSE accounts outside directCost.</w:t>
            </w:r>
          </w:p>
          <w:p>
            <w:pPr>
              <w:tabs>
                <w:tab w:pos="202" w:val="left"/>
              </w:tabs>
              <w:spacing w:after="10" w:before="0" w:line="240" w:lineRule="auto"/>
              <w:ind w:left="202" w:hanging="202"/>
            </w:pPr>
            <w:r>
              <w:rPr>
                <w:sz w:val="17"/>
              </w:rPr>
              <w:t>•</w:t>
              <w:tab/>
            </w:r>
            <w:r>
              <w:rPr>
                <w:b/>
                <w:sz w:val="17"/>
              </w:rPr>
              <w:t>Net profit</w:t>
            </w:r>
            <w:r>
              <w:rPr>
                <w:sz w:val="17"/>
              </w:rPr>
              <w:t xml:space="preserve"> = Gross profit + Other income - Operating expenses.</w:t>
            </w:r>
          </w:p>
          <w:p>
            <w:pPr>
              <w:spacing w:after="10" w:before="0" w:line="240" w:lineRule="auto"/>
            </w:pPr>
            <w:r>
              <w:rPr>
                <w:sz w:val="17"/>
              </w:rPr>
              <w:t>With the default chart: revenue is Sales Revenue; direct costs are Cost of Goods Sold, Purchase Variance, Stock Adjustment and the two stock write-offs; other income is Freight Recovered, Purchase Discounts Received and Other Income; operating expenses are Sales Discounts Given, Freight on Purchases, both round-off accounts, Salaries &amp; Wages, Rent, Utilities, Bank Charges and Card Processing Fees.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Revenue is </w:t>
            </w:r>
            <w:r>
              <w:rPr>
                <w:b/>
                <w:sz w:val="17"/>
              </w:rPr>
              <w:t>gross of discounts</w:t>
            </w:r>
            <w:r>
              <w:rPr>
                <w:sz w:val="17"/>
              </w:rPr>
              <w:t>: the discount given is in operating expenses (Sales Discounts Given), not deducted from revenue.</w:t>
            </w:r>
          </w:p>
          <w:p>
            <w:pPr>
              <w:tabs>
                <w:tab w:pos="202" w:val="left"/>
              </w:tabs>
              <w:spacing w:after="10" w:before="0" w:line="240" w:lineRule="auto"/>
              <w:ind w:left="202" w:hanging="202"/>
            </w:pPr>
            <w:r>
              <w:rPr>
                <w:sz w:val="17"/>
              </w:rPr>
              <w:t>•</w:t>
              <w:tab/>
              <w:t>Credits on an expense account reduce it (for example a round-off posted as a credit).</w:t>
            </w:r>
          </w:p>
          <w:p>
            <w:pPr>
              <w:tabs>
                <w:tab w:pos="202" w:val="left"/>
              </w:tabs>
              <w:spacing w:after="10" w:before="0" w:line="240" w:lineRule="auto"/>
              <w:ind w:left="202" w:hanging="202"/>
            </w:pPr>
            <w:r>
              <w:rPr>
                <w:sz w:val="17"/>
              </w:rPr>
              <w:t>•</w:t>
              <w:tab/>
              <w:t>Cost-of-goods corrections after a back-dated purchase are included, because they are ledger entries.</w:t>
            </w:r>
          </w:p>
          <w:p>
            <w:pPr>
              <w:tabs>
                <w:tab w:pos="202" w:val="left"/>
              </w:tabs>
              <w:spacing w:after="10" w:before="0" w:line="240" w:lineRule="auto"/>
              <w:ind w:left="202" w:hanging="202"/>
            </w:pPr>
            <w:r>
              <w:rPr>
                <w:sz w:val="17"/>
              </w:rPr>
              <w:t>•</w:t>
              <w:tab/>
              <w:t>An account with no group is shown under 'other' or 'operating'.</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Net profit equals the income minus the expenses of the same period in the trial balance, and equals the older statement </w:t>
            </w:r>
            <w:r>
              <w:rPr>
                <w:rFonts w:ascii="Consolas" w:hAnsi="Consolas" w:eastAsia="Consolas"/>
                <w:sz w:val="16"/>
              </w:rPr>
              <w:t>reportType=profit_loss</w:t>
            </w:r>
            <w:r>
              <w:rPr>
                <w:sz w:val="17"/>
              </w:rPr>
              <w:t xml:space="preserve"> (test: ledgerReports.test.js).</w:t>
            </w:r>
          </w:p>
          <w:p>
            <w:pPr>
              <w:tabs>
                <w:tab w:pos="202" w:val="left"/>
              </w:tabs>
              <w:spacing w:after="10" w:before="0" w:line="240" w:lineRule="auto"/>
              <w:ind w:left="202" w:hanging="202"/>
            </w:pPr>
            <w:r>
              <w:rPr>
                <w:sz w:val="17"/>
              </w:rPr>
              <w:t>•</w:t>
              <w:tab/>
              <w:t>The balance sheet's profit to date equals the sum of the net profit of all periods from the first entry.</w:t>
            </w:r>
          </w:p>
          <w:p>
            <w:pPr>
              <w:tabs>
                <w:tab w:pos="202" w:val="left"/>
              </w:tabs>
              <w:spacing w:after="10" w:before="0" w:line="240" w:lineRule="auto"/>
              <w:ind w:left="202" w:hanging="202"/>
            </w:pPr>
            <w:r>
              <w:rPr>
                <w:sz w:val="17"/>
              </w:rPr>
              <w:t>•</w:t>
              <w:tab/>
              <w:t>The IFRS profit for the period and the dashboard net profit are this figure.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revenue, directCosts, otherIncome, operatingExpenses (each with groups, accounts and a total), grossProfit, grossMargin, netProfit.</w:t>
            </w:r>
          </w:p>
          <w:p>
            <w:pPr>
              <w:spacing w:after="10" w:before="0" w:line="240" w:lineRule="auto"/>
            </w:pPr>
            <w:r>
              <w:rPr>
                <w:sz w:val="17"/>
              </w:rPr>
              <w:t xml:space="preserve">Screen: a statement (Revenue - Cost of sales = Gross profit ... = Net profit) with CSV. The older </w:t>
            </w:r>
            <w:r>
              <w:rPr>
                <w:rFonts w:ascii="Consolas" w:hAnsi="Consolas" w:eastAsia="Consolas"/>
                <w:sz w:val="16"/>
              </w:rPr>
              <w:t>reportType=profit_loss</w:t>
            </w:r>
            <w:r>
              <w:rPr>
                <w:sz w:val="17"/>
              </w:rPr>
              <w:t xml:space="preserve"> returns only income, expenses and net profit, without the gross-profit split.</w:t>
            </w:r>
          </w:p>
        </w:tc>
      </w:tr>
    </w:tbl>
    <w:p>
      <w:pPr>
        <w:spacing w:after="0" w:before="0"/>
        <w:rPr>
          <w:sz w:val="8"/>
        </w:rPr>
      </w:pPr>
    </w:p>
    <w:p>
      <w:pPr>
        <w:pStyle w:val="Heading2"/>
      </w:pPr>
      <w:r>
        <w:t>4.3 Balance sheet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Balance sheet</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What did the company own and owe at the end of the day, and does it 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Financial statements &gt; Balance sheet (</w:t>
            </w:r>
            <w:r>
              <w:rPr>
                <w:rFonts w:ascii="Consolas" w:hAnsi="Consolas" w:eastAsia="Consolas"/>
                <w:sz w:val="16"/>
              </w:rPr>
              <w:t>/financial-statements</w:t>
            </w:r>
            <w:r>
              <w:rPr>
                <w:sz w:val="17"/>
              </w:rPr>
              <w:t>).</w:t>
            </w:r>
          </w:p>
          <w:p>
            <w:pPr>
              <w:spacing w:after="10" w:before="0" w:line="240" w:lineRule="auto"/>
            </w:pPr>
            <w:r>
              <w:rPr>
                <w:sz w:val="17"/>
              </w:rPr>
              <w:t xml:space="preserve">API: </w:t>
            </w:r>
            <w:r>
              <w:rPr>
                <w:rFonts w:ascii="Consolas" w:hAnsi="Consolas" w:eastAsia="Consolas"/>
                <w:sz w:val="16"/>
              </w:rPr>
              <w:t>GET /api/v1/vouchers/reports/financial?reportType=balance_sheet&amp;dateTo=</w:t>
            </w:r>
            <w:r>
              <w:rPr>
                <w:sz w:val="17"/>
              </w:rPr>
              <w:t xml:space="preserve"> (FinancialService.getBalanceSheet).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 xml:space="preserve">The trial balance with no start date: all entries not marked reversed up to </w:t>
            </w:r>
            <w:r>
              <w:rPr>
                <w:rFonts w:ascii="Consolas" w:hAnsi="Consolas" w:eastAsia="Consolas"/>
                <w:sz w:val="16"/>
              </w:rPr>
              <w:t>dateTo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dateTo</w:t>
            </w:r>
            <w:r>
              <w:rPr>
                <w:sz w:val="17"/>
              </w:rPr>
              <w:t xml:space="preserve"> only. The screen sends the chosen day with the time 23:59:59.999 (read as sent, section 7).</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balance</w:t>
            </w:r>
            <w:r>
              <w:rPr>
                <w:sz w:val="17"/>
              </w:rPr>
              <w:t xml:space="preserve"> per account = naturalBalance(category, total debit up to dateTo, total credit up to dateTo). Accounts with |balance| &lt; 0.005 are left out.</w:t>
            </w:r>
          </w:p>
          <w:p>
            <w:pPr>
              <w:tabs>
                <w:tab w:pos="202" w:val="left"/>
              </w:tabs>
              <w:spacing w:after="10" w:before="0" w:line="240" w:lineRule="auto"/>
              <w:ind w:left="202" w:hanging="202"/>
            </w:pPr>
            <w:r>
              <w:rPr>
                <w:sz w:val="17"/>
              </w:rPr>
              <w:t>•</w:t>
              <w:tab/>
              <w:t>Assets = sum of ASSET balances. Liabilities = sum of LIABILITY balances.</w:t>
            </w:r>
          </w:p>
          <w:p>
            <w:pPr>
              <w:tabs>
                <w:tab w:pos="202" w:val="left"/>
              </w:tabs>
              <w:spacing w:after="10" w:before="0" w:line="240" w:lineRule="auto"/>
              <w:ind w:left="202" w:hanging="202"/>
            </w:pPr>
            <w:r>
              <w:rPr>
                <w:sz w:val="17"/>
              </w:rPr>
              <w:t>•</w:t>
              <w:tab/>
            </w:r>
            <w:r>
              <w:rPr>
                <w:rFonts w:ascii="Consolas" w:hAnsi="Consolas" w:eastAsia="Consolas"/>
                <w:sz w:val="16"/>
              </w:rPr>
              <w:t>profitToDate</w:t>
            </w:r>
            <w:r>
              <w:rPr>
                <w:sz w:val="17"/>
              </w:rPr>
              <w:t xml:space="preserve"> = sum of INCOME balances - sum of EXPENSE balances, from the first entry to </w:t>
            </w:r>
            <w:r>
              <w:rPr>
                <w:rFonts w:ascii="Consolas" w:hAnsi="Consolas" w:eastAsia="Consolas"/>
                <w:sz w:val="16"/>
              </w:rPr>
              <w:t>dateTo</w:t>
            </w:r>
            <w:r>
              <w:rPr>
                <w:sz w:val="17"/>
              </w:rPr>
              <w:t>.</w:t>
            </w:r>
          </w:p>
          <w:p>
            <w:pPr>
              <w:tabs>
                <w:tab w:pos="202" w:val="left"/>
              </w:tabs>
              <w:spacing w:after="10" w:before="0" w:line="240" w:lineRule="auto"/>
              <w:ind w:left="202" w:hanging="202"/>
            </w:pPr>
            <w:r>
              <w:rPr>
                <w:sz w:val="17"/>
              </w:rPr>
              <w:t>•</w:t>
              <w:tab/>
              <w:t>Total equity = sum of EQUITY balances + profitToDate.</w:t>
            </w:r>
          </w:p>
          <w:p>
            <w:pPr>
              <w:tabs>
                <w:tab w:pos="202" w:val="left"/>
              </w:tabs>
              <w:spacing w:after="10" w:before="0" w:line="240" w:lineRule="auto"/>
              <w:ind w:left="202" w:hanging="202"/>
            </w:pPr>
            <w:r>
              <w:rPr>
                <w:sz w:val="17"/>
              </w:rPr>
              <w:t>•</w:t>
              <w:tab/>
            </w:r>
            <w:r>
              <w:rPr>
                <w:rFonts w:ascii="Consolas" w:hAnsi="Consolas" w:eastAsia="Consolas"/>
                <w:sz w:val="16"/>
              </w:rPr>
              <w:t>isBalanced</w:t>
            </w:r>
            <w:r>
              <w:rPr>
                <w:sz w:val="17"/>
              </w:rPr>
              <w:t xml:space="preserve"> = |Assets - (Liabilities + Total equity)| &lt; 0.01.</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No year-end closing entries exist, so profit is not moved to retained earnings. The profit earned to the date is shown inside equity, which makes the sheet balance without closing entries.</w:t>
            </w:r>
          </w:p>
          <w:p>
            <w:pPr>
              <w:tabs>
                <w:tab w:pos="202" w:val="left"/>
              </w:tabs>
              <w:spacing w:after="10" w:before="0" w:line="240" w:lineRule="auto"/>
              <w:ind w:left="202" w:hanging="202"/>
            </w:pPr>
            <w:r>
              <w:rPr>
                <w:sz w:val="17"/>
              </w:rPr>
              <w:t>•</w:t>
              <w:tab/>
              <w:t>An account whose balance is on the opposite side of its category (an asset in credit) is shown as a negative on its own side. Nothing is reclassified.</w:t>
            </w:r>
          </w:p>
          <w:p>
            <w:pPr>
              <w:tabs>
                <w:tab w:pos="202" w:val="left"/>
              </w:tabs>
              <w:spacing w:after="10" w:before="0" w:line="240" w:lineRule="auto"/>
              <w:ind w:left="202" w:hanging="202"/>
            </w:pPr>
            <w:r>
              <w:rPr>
                <w:sz w:val="17"/>
              </w:rPr>
              <w:t>•</w:t>
              <w:tab/>
              <w:t>There is no current or non-current split here; the IFRS statement of financial position makes it (section 4.22).</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isBalanced</w:t>
            </w:r>
            <w:r>
              <w:rPr>
                <w:sz w:val="17"/>
              </w:rPr>
              <w:t xml:space="preserve"> must be true.</w:t>
            </w:r>
          </w:p>
          <w:p>
            <w:pPr>
              <w:tabs>
                <w:tab w:pos="202" w:val="left"/>
              </w:tabs>
              <w:spacing w:after="10" w:before="0" w:line="240" w:lineRule="auto"/>
              <w:ind w:left="202" w:hanging="202"/>
            </w:pPr>
            <w:r>
              <w:rPr>
                <w:sz w:val="17"/>
              </w:rPr>
              <w:t>•</w:t>
              <w:tab/>
              <w:t>Total assets equal the IFRS statement of financial position at the same date.</w:t>
            </w:r>
          </w:p>
          <w:p>
            <w:pPr>
              <w:tabs>
                <w:tab w:pos="202" w:val="left"/>
              </w:tabs>
              <w:spacing w:after="10" w:before="0" w:line="240" w:lineRule="auto"/>
              <w:ind w:left="202" w:hanging="202"/>
            </w:pPr>
            <w:r>
              <w:rPr>
                <w:sz w:val="17"/>
              </w:rPr>
              <w:t>•</w:t>
              <w:tab/>
            </w:r>
            <w:r>
              <w:rPr>
                <w:rFonts w:ascii="Consolas" w:hAnsi="Consolas" w:eastAsia="Consolas"/>
                <w:sz w:val="16"/>
              </w:rPr>
              <w:t>profitToDate</w:t>
            </w:r>
            <w:r>
              <w:rPr>
                <w:sz w:val="17"/>
              </w:rPr>
              <w:t xml:space="preserve"> equals the cumulative net profit of the profit and loss (test: chartAndPricing.test.js).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assets[], liabilities[], equity[], profitToDate, totalAssets, totalLiabilities, totalEquity, totalLiabilitiesAndEquity, isBalanced. Screen only; no export.</w:t>
            </w:r>
          </w:p>
        </w:tc>
      </w:tr>
    </w:tbl>
    <w:p>
      <w:pPr>
        <w:spacing w:after="0" w:before="0"/>
        <w:rPr>
          <w:sz w:val="8"/>
        </w:rPr>
      </w:pPr>
    </w:p>
    <w:p>
      <w:pPr>
        <w:pStyle w:val="Heading2"/>
      </w:pPr>
      <w:r>
        <w:t>4.4 Cash flow (financial statements page)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Cash flow by kind of voucher</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Where did cash and bank money come from and where did it go in the period?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Financial statements &gt; Cash flow.</w:t>
            </w:r>
          </w:p>
          <w:p>
            <w:pPr>
              <w:spacing w:after="10" w:before="0" w:line="240" w:lineRule="auto"/>
            </w:pPr>
            <w:r>
              <w:rPr>
                <w:sz w:val="17"/>
              </w:rPr>
              <w:t xml:space="preserve">API: </w:t>
            </w:r>
            <w:r>
              <w:rPr>
                <w:rFonts w:ascii="Consolas" w:hAnsi="Consolas" w:eastAsia="Consolas"/>
                <w:sz w:val="16"/>
              </w:rPr>
              <w:t>GET /api/v1/accounting/reports/cash-flow?from=&amp;to=</w:t>
            </w:r>
            <w:r>
              <w:rPr>
                <w:sz w:val="17"/>
              </w:rPr>
              <w:t xml:space="preserve"> (LedgerReportsService.cashFlow).</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 xml:space="preserve">Ledger entries not marked reversed on the active accounts in the families of </w:t>
            </w:r>
            <w:r>
              <w:rPr>
                <w:rFonts w:ascii="Consolas" w:hAnsi="Consolas" w:eastAsia="Consolas"/>
                <w:sz w:val="16"/>
              </w:rPr>
              <w:t>cash-account-group</w:t>
            </w:r>
            <w:r>
              <w:rPr>
                <w:sz w:val="17"/>
              </w:rPr>
              <w:t xml:space="preserve"> and </w:t>
            </w:r>
            <w:r>
              <w:rPr>
                <w:rFonts w:ascii="Consolas" w:hAnsi="Consolas" w:eastAsia="Consolas"/>
                <w:sz w:val="16"/>
              </w:rPr>
              <w:t>bank-account-group</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as Dubai days. Without </w:t>
            </w:r>
            <w:r>
              <w:rPr>
                <w:rFonts w:ascii="Consolas" w:hAnsi="Consolas" w:eastAsia="Consolas"/>
                <w:sz w:val="16"/>
              </w:rPr>
              <w:t>from</w:t>
            </w:r>
            <w:r>
              <w:rPr>
                <w:sz w:val="17"/>
              </w:rPr>
              <w:t xml:space="preserve"> the opening is zero.</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opening</w:t>
            </w:r>
            <w:r>
              <w:rPr>
                <w:sz w:val="17"/>
              </w:rPr>
              <w:t xml:space="preserve"> = sum of (debit - credit) on those accounts dated before </w:t>
            </w:r>
            <w:r>
              <w:rPr>
                <w:rFonts w:ascii="Consolas" w:hAnsi="Consolas" w:eastAsia="Consolas"/>
                <w:sz w:val="16"/>
              </w:rPr>
              <w:t>from</w:t>
            </w:r>
            <w:r>
              <w:rPr>
                <w:sz w:val="17"/>
              </w:rPr>
              <w:t>.</w:t>
            </w:r>
          </w:p>
          <w:p>
            <w:pPr>
              <w:tabs>
                <w:tab w:pos="202" w:val="left"/>
              </w:tabs>
              <w:spacing w:after="10" w:before="0" w:line="240" w:lineRule="auto"/>
              <w:ind w:left="202" w:hanging="202"/>
            </w:pPr>
            <w:r>
              <w:rPr>
                <w:sz w:val="17"/>
              </w:rPr>
              <w:t>•</w:t>
              <w:tab/>
              <w:t xml:space="preserve">For every voucher with entries on those accounts in the period: </w:t>
            </w:r>
            <w:r>
              <w:rPr>
                <w:rFonts w:ascii="Consolas" w:hAnsi="Consolas" w:eastAsia="Consolas"/>
                <w:sz w:val="16"/>
              </w:rPr>
              <w:t>net</w:t>
            </w:r>
            <w:r>
              <w:rPr>
                <w:sz w:val="17"/>
              </w:rPr>
              <w:t xml:space="preserve"> = sum of (debit - credit) of those entries. Inflow = net if net &gt; 0. Outflow = -net if net &lt; 0.</w:t>
            </w:r>
          </w:p>
          <w:p>
            <w:pPr>
              <w:tabs>
                <w:tab w:pos="202" w:val="left"/>
              </w:tabs>
              <w:spacing w:after="10" w:before="0" w:line="240" w:lineRule="auto"/>
              <w:ind w:left="202" w:hanging="202"/>
            </w:pPr>
            <w:r>
              <w:rPr>
                <w:sz w:val="17"/>
              </w:rPr>
              <w:t>•</w:t>
              <w:tab/>
              <w:t>Vouchers are grouped by voucher type; the line shows the sum of inflows, the sum of outflows, the net and the number of vouchers. Lines with no inflow and no outflow are not shown.</w:t>
            </w:r>
          </w:p>
          <w:p>
            <w:pPr>
              <w:tabs>
                <w:tab w:pos="202" w:val="left"/>
              </w:tabs>
              <w:spacing w:after="10" w:before="0" w:line="240" w:lineRule="auto"/>
              <w:ind w:left="202" w:hanging="202"/>
            </w:pPr>
            <w:r>
              <w:rPr>
                <w:sz w:val="17"/>
              </w:rPr>
              <w:t>•</w:t>
              <w:tab/>
            </w:r>
            <w:r>
              <w:rPr>
                <w:rFonts w:ascii="Consolas" w:hAnsi="Consolas" w:eastAsia="Consolas"/>
                <w:sz w:val="16"/>
              </w:rPr>
              <w:t>totalIn</w:t>
            </w:r>
            <w:r>
              <w:rPr>
                <w:sz w:val="17"/>
              </w:rPr>
              <w:t xml:space="preserve">, </w:t>
            </w:r>
            <w:r>
              <w:rPr>
                <w:rFonts w:ascii="Consolas" w:hAnsi="Consolas" w:eastAsia="Consolas"/>
                <w:sz w:val="16"/>
              </w:rPr>
              <w:t>totalOut</w:t>
            </w:r>
            <w:r>
              <w:rPr>
                <w:sz w:val="17"/>
              </w:rPr>
              <w:t xml:space="preserve">, </w:t>
            </w:r>
            <w:r>
              <w:rPr>
                <w:rFonts w:ascii="Consolas" w:hAnsi="Consolas" w:eastAsia="Consolas"/>
                <w:sz w:val="16"/>
              </w:rPr>
              <w:t>net</w:t>
            </w:r>
            <w:r>
              <w:rPr>
                <w:sz w:val="17"/>
              </w:rPr>
              <w:t xml:space="preserve"> = totalIn - totalOut.</w:t>
            </w:r>
          </w:p>
          <w:p>
            <w:pPr>
              <w:tabs>
                <w:tab w:pos="202" w:val="left"/>
              </w:tabs>
              <w:spacing w:after="10" w:before="0" w:line="240" w:lineRule="auto"/>
              <w:ind w:left="202" w:hanging="202"/>
            </w:pPr>
            <w:r>
              <w:rPr>
                <w:sz w:val="17"/>
              </w:rPr>
              <w:t>•</w:t>
              <w:tab/>
            </w:r>
            <w:r>
              <w:rPr>
                <w:rFonts w:ascii="Consolas" w:hAnsi="Consolas" w:eastAsia="Consolas"/>
                <w:sz w:val="16"/>
              </w:rPr>
              <w:t>closing</w:t>
            </w:r>
            <w:r>
              <w:rPr>
                <w:sz w:val="17"/>
              </w:rPr>
              <w:t xml:space="preserve"> = opening + totalIn - totalOut. </w:t>
            </w:r>
            <w:r>
              <w:rPr>
                <w:rFonts w:ascii="Consolas" w:hAnsi="Consolas" w:eastAsia="Consolas"/>
                <w:sz w:val="16"/>
              </w:rPr>
              <w:t>closingPerLedger</w:t>
            </w:r>
            <w:r>
              <w:rPr>
                <w:sz w:val="17"/>
              </w:rPr>
              <w:t xml:space="preserve"> = sum of (debit - credit) on those accounts up to </w:t>
            </w:r>
            <w:r>
              <w:rPr>
                <w:rFonts w:ascii="Consolas" w:hAnsi="Consolas" w:eastAsia="Consolas"/>
                <w:sz w:val="16"/>
              </w:rPr>
              <w:t>to</w:t>
            </w:r>
            <w:r>
              <w:rPr>
                <w:sz w:val="17"/>
              </w:rPr>
              <w:t xml:space="preserve">. </w:t>
            </w:r>
            <w:r>
              <w:rPr>
                <w:rFonts w:ascii="Consolas" w:hAnsi="Consolas" w:eastAsia="Consolas"/>
                <w:sz w:val="16"/>
              </w:rPr>
              <w:t>reconciles</w:t>
            </w:r>
            <w:r>
              <w:rPr>
                <w:sz w:val="17"/>
              </w:rPr>
              <w:t xml:space="preserve"> = |closing - closingPerLedger| &lt; 0.01.</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A voucher counts by its net effect on cash and bank together. A move from cash to bank has a net of zero and is neither in nor out.</w:t>
            </w:r>
          </w:p>
          <w:p>
            <w:pPr>
              <w:tabs>
                <w:tab w:pos="202" w:val="left"/>
              </w:tabs>
              <w:spacing w:after="10" w:before="0" w:line="240" w:lineRule="auto"/>
              <w:ind w:left="202" w:hanging="202"/>
            </w:pPr>
            <w:r>
              <w:rPr>
                <w:sz w:val="17"/>
              </w:rPr>
              <w:t>•</w:t>
              <w:tab/>
              <w:t>A cheque is cash when it clears, not when it is received: the clearing entries carry the type 'cheque_clearance' and appear under that line, dated the clearing date.</w:t>
            </w:r>
          </w:p>
          <w:p>
            <w:pPr>
              <w:tabs>
                <w:tab w:pos="202" w:val="left"/>
              </w:tabs>
              <w:spacing w:after="10" w:before="0" w:line="240" w:lineRule="auto"/>
              <w:ind w:left="202" w:hanging="202"/>
            </w:pPr>
            <w:r>
              <w:rPr>
                <w:sz w:val="17"/>
              </w:rPr>
              <w:t>•</w:t>
              <w:tab/>
              <w:t>Only active accounts are included. Cash that sits in an inactive cash or bank account falls outside both figures.</w:t>
            </w:r>
          </w:p>
          <w:p>
            <w:pPr>
              <w:tabs>
                <w:tab w:pos="202" w:val="left"/>
              </w:tabs>
              <w:spacing w:after="10" w:before="0" w:line="240" w:lineRule="auto"/>
              <w:ind w:left="202" w:hanging="202"/>
            </w:pPr>
            <w:r>
              <w:rPr>
                <w:sz w:val="17"/>
              </w:rPr>
              <w:t>•</w:t>
              <w:tab/>
              <w:t>Labels: receipt 'Received from customers', payment 'Paid to vendors', expense 'Expenses paid', contra 'Moved between cash and bank', journal 'Journal entries', opening 'Opening balances'.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reconciles</w:t>
            </w:r>
            <w:r>
              <w:rPr>
                <w:sz w:val="17"/>
              </w:rPr>
              <w:t xml:space="preserve"> must be true; the closing equals the balances of the cash and bank accounts in the trial balance and the closing of the cash and bank book.</w:t>
            </w:r>
          </w:p>
          <w:p>
            <w:pPr>
              <w:tabs>
                <w:tab w:pos="202" w:val="left"/>
              </w:tabs>
              <w:spacing w:after="10" w:before="0" w:line="240" w:lineRule="auto"/>
              <w:ind w:left="202" w:hanging="202"/>
            </w:pPr>
            <w:r>
              <w:rPr>
                <w:sz w:val="17"/>
              </w:rPr>
              <w:t>•</w:t>
              <w:tab/>
              <w:t>The IFRS statement of cash flows starts from the same opening cash and ends at the same closing cash (test: ifrsReports.test.js).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opening, lines[{voucherType, label, inflow, outflow, net, count}], totalIn, totalOut, net, closing, closingPerLedger, reconciles, accounts. Screen with CSV.</w:t>
            </w:r>
          </w:p>
        </w:tc>
      </w:tr>
    </w:tbl>
    <w:p>
      <w:pPr>
        <w:spacing w:after="0" w:before="0"/>
        <w:rPr>
          <w:sz w:val="8"/>
        </w:rPr>
      </w:pPr>
    </w:p>
    <w:p>
      <w:pPr>
        <w:pStyle w:val="Heading2"/>
      </w:pPr>
      <w:r>
        <w:t>4.5 General ledger summary</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General ledger summary</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For every account: what was the opening balance, what moved, and what is the closing 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Ledger reports &gt; General ledger (</w:t>
            </w:r>
            <w:r>
              <w:rPr>
                <w:rFonts w:ascii="Consolas" w:hAnsi="Consolas" w:eastAsia="Consolas"/>
                <w:sz w:val="16"/>
              </w:rPr>
              <w:t>/ledger-reports</w:t>
            </w:r>
            <w:r>
              <w:rPr>
                <w:sz w:val="17"/>
              </w:rPr>
              <w:t>).</w:t>
            </w:r>
          </w:p>
          <w:p>
            <w:pPr>
              <w:spacing w:after="10" w:before="0" w:line="240" w:lineRule="auto"/>
            </w:pPr>
            <w:r>
              <w:rPr>
                <w:sz w:val="17"/>
              </w:rPr>
              <w:t xml:space="preserve">API: </w:t>
            </w:r>
            <w:r>
              <w:rPr>
                <w:rFonts w:ascii="Consolas" w:hAnsi="Consolas" w:eastAsia="Consolas"/>
                <w:sz w:val="16"/>
              </w:rPr>
              <w:t>GET /api/v1/accounting/reports/general-ledger?from=&amp;to=&amp;category=&amp;includeZero=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Ledger entries not marked reversed, grouped by account, then filed by account group.</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Dubai days; </w:t>
            </w:r>
            <w:r>
              <w:rPr>
                <w:rFonts w:ascii="Consolas" w:hAnsi="Consolas" w:eastAsia="Consolas"/>
                <w:sz w:val="16"/>
              </w:rPr>
              <w:t>category</w:t>
            </w:r>
            <w:r>
              <w:rPr>
                <w:sz w:val="17"/>
              </w:rPr>
              <w:t xml:space="preserve"> (ASSET, LIABILITY, EQUITY, INCOME, EXPENSE) narrows the rows; </w:t>
            </w:r>
            <w:r>
              <w:rPr>
                <w:rFonts w:ascii="Consolas" w:hAnsi="Consolas" w:eastAsia="Consolas"/>
                <w:sz w:val="16"/>
              </w:rPr>
              <w:t>includeZero</w:t>
            </w:r>
            <w:r>
              <w:rPr>
                <w:sz w:val="17"/>
              </w:rPr>
              <w:t xml:space="preserve"> keeps accounts with nothing to show.</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opening</w:t>
            </w:r>
            <w:r>
              <w:rPr>
                <w:sz w:val="17"/>
              </w:rPr>
              <w:t xml:space="preserve"> = sum of (debit - credit) before </w:t>
            </w:r>
            <w:r>
              <w:rPr>
                <w:rFonts w:ascii="Consolas" w:hAnsi="Consolas" w:eastAsia="Consolas"/>
                <w:sz w:val="16"/>
              </w:rPr>
              <w:t>from</w:t>
            </w:r>
            <w:r>
              <w:rPr>
                <w:sz w:val="17"/>
              </w:rPr>
              <w:t xml:space="preserve">. </w:t>
            </w:r>
            <w:r>
              <w:rPr>
                <w:rFonts w:ascii="Consolas" w:hAnsi="Consolas" w:eastAsia="Consolas"/>
                <w:sz w:val="16"/>
              </w:rPr>
              <w:t>debit</w:t>
            </w:r>
            <w:r>
              <w:rPr>
                <w:sz w:val="17"/>
              </w:rPr>
              <w:t xml:space="preserve"> and </w:t>
            </w:r>
            <w:r>
              <w:rPr>
                <w:rFonts w:ascii="Consolas" w:hAnsi="Consolas" w:eastAsia="Consolas"/>
                <w:sz w:val="16"/>
              </w:rPr>
              <w:t>credit</w:t>
            </w:r>
            <w:r>
              <w:rPr>
                <w:sz w:val="17"/>
              </w:rPr>
              <w:t xml:space="preserve"> = period sums. </w:t>
            </w:r>
            <w:r>
              <w:rPr>
                <w:rFonts w:ascii="Consolas" w:hAnsi="Consolas" w:eastAsia="Consolas"/>
                <w:sz w:val="16"/>
              </w:rPr>
              <w:t>closing</w:t>
            </w:r>
            <w:r>
              <w:rPr>
                <w:sz w:val="17"/>
              </w:rPr>
              <w:t xml:space="preserve"> = opening + debit - credit. All in the signed form net = debit - credit.</w:t>
            </w:r>
          </w:p>
          <w:p>
            <w:pPr>
              <w:tabs>
                <w:tab w:pos="202" w:val="left"/>
              </w:tabs>
              <w:spacing w:after="10" w:before="0" w:line="240" w:lineRule="auto"/>
              <w:ind w:left="202" w:hanging="202"/>
            </w:pPr>
            <w:r>
              <w:rPr>
                <w:sz w:val="17"/>
              </w:rPr>
              <w:t>•</w:t>
              <w:tab/>
              <w:t>Group totals and grand totals are sums of the rounded account figures.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Accounts with opening, debit, credit and closing all zero are left out unless </w:t>
            </w:r>
            <w:r>
              <w:rPr>
                <w:rFonts w:ascii="Consolas" w:hAnsi="Consolas" w:eastAsia="Consolas"/>
                <w:sz w:val="16"/>
              </w:rPr>
              <w:t>includeZero</w:t>
            </w:r>
            <w:r>
              <w:rPr>
                <w:sz w:val="17"/>
              </w:rPr>
              <w:t>.</w:t>
            </w:r>
          </w:p>
          <w:p>
            <w:pPr>
              <w:tabs>
                <w:tab w:pos="202" w:val="left"/>
              </w:tabs>
              <w:spacing w:after="10" w:before="0" w:line="240" w:lineRule="auto"/>
              <w:ind w:left="202" w:hanging="202"/>
            </w:pPr>
            <w:r>
              <w:rPr>
                <w:sz w:val="17"/>
              </w:rPr>
              <w:t>•</w:t>
              <w:tab/>
              <w:t>Groups are sorted by category order (assets, liabilities, equity, income, expenses), then name; accounts by code.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Grand totals: debit equals credit; opening sums to zero; closing sums to zero. Each account's closing equals its trial-balance net.</w:t>
            </w:r>
          </w:p>
          <w:p>
            <w:pPr>
              <w:tabs>
                <w:tab w:pos="202" w:val="left"/>
              </w:tabs>
              <w:spacing w:after="10" w:before="0" w:line="240" w:lineRule="auto"/>
              <w:ind w:left="202" w:hanging="202"/>
            </w:pPr>
            <w:r>
              <w:rPr>
                <w:sz w:val="17"/>
              </w:rPr>
              <w:t>•</w:t>
              <w:tab/>
              <w:t>A later period shows the earlier period's closing as its opening (test: ledgerReports.test.js).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groups[{name, category, accounts[{code, name, opening, debit, credit, closing}], totals}], totals. Screen with CSV.</w:t>
            </w:r>
          </w:p>
        </w:tc>
      </w:tr>
    </w:tbl>
    <w:p>
      <w:pPr>
        <w:spacing w:after="0" w:before="0"/>
        <w:rPr>
          <w:sz w:val="8"/>
        </w:rPr>
      </w:pPr>
    </w:p>
    <w:p>
      <w:pPr>
        <w:pStyle w:val="Heading2"/>
      </w:pPr>
      <w:r>
        <w:t>4.6 Day book</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Day book</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vouchers and documents were posted, in date order, and for what amount?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Ledger reports &gt; Day book.</w:t>
            </w:r>
          </w:p>
          <w:p>
            <w:pPr>
              <w:spacing w:after="10" w:before="0" w:line="240" w:lineRule="auto"/>
            </w:pPr>
            <w:r>
              <w:rPr>
                <w:sz w:val="17"/>
              </w:rPr>
              <w:t xml:space="preserve">API: </w:t>
            </w:r>
            <w:r>
              <w:rPr>
                <w:rFonts w:ascii="Consolas" w:hAnsi="Consolas" w:eastAsia="Consolas"/>
                <w:sz w:val="16"/>
              </w:rPr>
              <w:t>GET /api/v1/accounting/reports/day-book?from=&amp;to=&amp;type=&amp;search=&amp;page=&amp;limit=</w:t>
            </w:r>
            <w:r>
              <w:rPr>
                <w:sz w:val="17"/>
              </w:rPr>
              <w:t xml:space="preserve">; one voucher's lines: </w:t>
            </w:r>
            <w:r>
              <w:rPr>
                <w:rFonts w:ascii="Consolas" w:hAnsi="Consolas" w:eastAsia="Consolas"/>
                <w:sz w:val="16"/>
              </w:rPr>
              <w:t>GET /api/v1/accounting/reports/voucher/:id</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Ledger entries not marked reversed, grouped by voucher id.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Dubai days; </w:t>
            </w:r>
            <w:r>
              <w:rPr>
                <w:rFonts w:ascii="Consolas" w:hAnsi="Consolas" w:eastAsia="Consolas"/>
                <w:sz w:val="16"/>
              </w:rPr>
              <w:t>type</w:t>
            </w:r>
            <w:r>
              <w:rPr>
                <w:sz w:val="17"/>
              </w:rPr>
              <w:t xml:space="preserve"> is a voucher type (for example sales_order, receipt); </w:t>
            </w:r>
            <w:r>
              <w:rPr>
                <w:rFonts w:ascii="Consolas" w:hAnsi="Consolas" w:eastAsia="Consolas"/>
                <w:sz w:val="16"/>
              </w:rPr>
              <w:t>search</w:t>
            </w:r>
            <w:r>
              <w:rPr>
                <w:sz w:val="17"/>
              </w:rPr>
              <w:t xml:space="preserve"> matches voucher number, narration or account names (typed text, not a pattern); </w:t>
            </w:r>
            <w:r>
              <w:rPr>
                <w:rFonts w:ascii="Consolas" w:hAnsi="Consolas" w:eastAsia="Consolas"/>
                <w:sz w:val="16"/>
              </w:rPr>
              <w:t>limit</w:t>
            </w:r>
            <w:r>
              <w:rPr>
                <w:sz w:val="17"/>
              </w:rPr>
              <w:t xml:space="preserve"> default 50, at most 200.</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 xml:space="preserve">One row per voucher: </w:t>
            </w:r>
            <w:r>
              <w:rPr>
                <w:rFonts w:ascii="Consolas" w:hAnsi="Consolas" w:eastAsia="Consolas"/>
                <w:sz w:val="16"/>
              </w:rPr>
              <w:t>date</w:t>
            </w:r>
            <w:r>
              <w:rPr>
                <w:sz w:val="17"/>
              </w:rPr>
              <w:t xml:space="preserve"> = earliest entry date; </w:t>
            </w:r>
            <w:r>
              <w:rPr>
                <w:rFonts w:ascii="Consolas" w:hAnsi="Consolas" w:eastAsia="Consolas"/>
                <w:sz w:val="16"/>
              </w:rPr>
              <w:t>voucherNo</w:t>
            </w:r>
            <w:r>
              <w:rPr>
                <w:sz w:val="17"/>
              </w:rPr>
              <w:t xml:space="preserve">; </w:t>
            </w:r>
            <w:r>
              <w:rPr>
                <w:rFonts w:ascii="Consolas" w:hAnsi="Consolas" w:eastAsia="Consolas"/>
                <w:sz w:val="16"/>
              </w:rPr>
              <w:t>typeLabel</w:t>
            </w:r>
            <w:r>
              <w:rPr>
                <w:sz w:val="17"/>
              </w:rPr>
              <w:t xml:space="preserve">; </w:t>
            </w:r>
            <w:r>
              <w:rPr>
                <w:rFonts w:ascii="Consolas" w:hAnsi="Consolas" w:eastAsia="Consolas"/>
                <w:sz w:val="16"/>
              </w:rPr>
              <w:t>party</w:t>
            </w:r>
            <w:r>
              <w:rPr>
                <w:sz w:val="17"/>
              </w:rPr>
              <w:t xml:space="preserve"> = the name in the party account among its entries (Customer, Vendor, Customer Advance, Advance to Vendor); </w:t>
            </w:r>
            <w:r>
              <w:rPr>
                <w:rFonts w:ascii="Consolas" w:hAnsi="Consolas" w:eastAsia="Consolas"/>
                <w:sz w:val="16"/>
              </w:rPr>
              <w:t>lineCount</w:t>
            </w:r>
            <w:r>
              <w:rPr>
                <w:sz w:val="17"/>
              </w:rPr>
              <w:t>.</w:t>
            </w:r>
          </w:p>
          <w:p>
            <w:pPr>
              <w:tabs>
                <w:tab w:pos="202" w:val="left"/>
              </w:tabs>
              <w:spacing w:after="10" w:before="0" w:line="240" w:lineRule="auto"/>
              <w:ind w:left="202" w:hanging="202"/>
            </w:pPr>
            <w:r>
              <w:rPr>
                <w:sz w:val="17"/>
              </w:rPr>
              <w:t>•</w:t>
              <w:tab/>
            </w:r>
            <w:r>
              <w:rPr>
                <w:rFonts w:ascii="Consolas" w:hAnsi="Consolas" w:eastAsia="Consolas"/>
                <w:sz w:val="16"/>
              </w:rPr>
              <w:t>amount</w:t>
            </w:r>
            <w:r>
              <w:rPr>
                <w:sz w:val="17"/>
              </w:rPr>
              <w:t xml:space="preserve"> = sum of the debit amounts of the voucher's entries, </w:t>
            </w:r>
            <w:r>
              <w:rPr>
                <w:b/>
                <w:sz w:val="17"/>
              </w:rPr>
              <w:t>except</w:t>
            </w:r>
            <w:r>
              <w:rPr>
                <w:sz w:val="17"/>
              </w:rPr>
              <w:t xml:space="preserve"> that for a sales invoice or a sales return the debit and credit legs on the cost-of-goods account and the Inventory account are left out. The clearing entries of a cheque (type cheque_clearance, posted under the receipt's voucher id) are not added: a cleared 300.00 cheque receipt shows 300.00, not 600.00.</w:t>
            </w:r>
          </w:p>
          <w:p>
            <w:pPr>
              <w:tabs>
                <w:tab w:pos="202" w:val="left"/>
              </w:tabs>
              <w:spacing w:after="10" w:before="0" w:line="240" w:lineRule="auto"/>
              <w:ind w:left="202" w:hanging="202"/>
            </w:pPr>
            <w:r>
              <w:rPr>
                <w:sz w:val="17"/>
              </w:rPr>
              <w:t>•</w:t>
              <w:tab/>
            </w:r>
            <w:r>
              <w:rPr>
                <w:rFonts w:ascii="Consolas" w:hAnsi="Consolas" w:eastAsia="Consolas"/>
                <w:sz w:val="16"/>
              </w:rPr>
              <w:t>balanced</w:t>
            </w:r>
            <w:r>
              <w:rPr>
                <w:sz w:val="17"/>
              </w:rPr>
              <w:t xml:space="preserve"> = |sum of debits - sum of credits| &lt; 0.01 for all the voucher's entries.</w:t>
            </w:r>
          </w:p>
          <w:p>
            <w:pPr>
              <w:spacing w:after="10" w:before="0" w:line="240" w:lineRule="auto"/>
            </w:pPr>
            <w:r>
              <w:rPr>
                <w:rFonts w:ascii="Consolas" w:hAnsi="Consolas" w:eastAsia="Consolas"/>
                <w:sz w:val="16"/>
              </w:rPr>
              <w:t>byType</w:t>
            </w:r>
            <w:r>
              <w:rPr>
                <w:sz w:val="17"/>
              </w:rPr>
              <w:t xml:space="preserve"> = the sum of </w:t>
            </w:r>
            <w:r>
              <w:rPr>
                <w:rFonts w:ascii="Consolas" w:hAnsi="Consolas" w:eastAsia="Consolas"/>
                <w:sz w:val="16"/>
              </w:rPr>
              <w:t>amount</w:t>
            </w:r>
            <w:r>
              <w:rPr>
                <w:sz w:val="17"/>
              </w:rPr>
              <w:t xml:space="preserve"> and the count per voucher type, for the filtered set. Rows are sorted by date, newest first.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What </w:t>
            </w:r>
            <w:r>
              <w:rPr>
                <w:rFonts w:ascii="Consolas" w:hAnsi="Consolas" w:eastAsia="Consolas"/>
                <w:sz w:val="16"/>
              </w:rPr>
              <w:t>amount</w:t>
            </w:r>
            <w:r>
              <w:rPr>
                <w:sz w:val="17"/>
              </w:rPr>
              <w:t xml:space="preserve"> means for a sale: the invoice as billed, without the cost legs. It is the customer's debit plus any discount debit and round-off-down debit, which equals gross revenue + freight + VAT. A sale of 10 x 20.00 plus 5 percent VAT shows 210.00 (not 310.00 with the cost leg). A sale with a discount shows the total plus the discount: example B in section 3.4 shows 972.00 + 115.00 = 1,087.00.</w:t>
            </w:r>
          </w:p>
          <w:p>
            <w:pPr>
              <w:tabs>
                <w:tab w:pos="202" w:val="left"/>
              </w:tabs>
              <w:spacing w:after="10" w:before="0" w:line="240" w:lineRule="auto"/>
              <w:ind w:left="202" w:hanging="202"/>
            </w:pPr>
            <w:r>
              <w:rPr>
                <w:sz w:val="17"/>
              </w:rPr>
              <w:t>•</w:t>
              <w:tab/>
              <w:t xml:space="preserve">For a purchase and for vouchers, </w:t>
            </w:r>
            <w:r>
              <w:rPr>
                <w:rFonts w:ascii="Consolas" w:hAnsi="Consolas" w:eastAsia="Consolas"/>
                <w:sz w:val="16"/>
              </w:rPr>
              <w:t>amount</w:t>
            </w:r>
            <w:r>
              <w:rPr>
                <w:sz w:val="17"/>
              </w:rPr>
              <w:t xml:space="preserve"> is the full debit total; for a purchase with a header discount that is the total plus the discount.</w:t>
            </w:r>
          </w:p>
          <w:p>
            <w:pPr>
              <w:tabs>
                <w:tab w:pos="202" w:val="left"/>
              </w:tabs>
              <w:spacing w:after="10" w:before="0" w:line="240" w:lineRule="auto"/>
              <w:ind w:left="202" w:hanging="202"/>
            </w:pPr>
            <w:r>
              <w:rPr>
                <w:sz w:val="17"/>
              </w:rPr>
              <w:t>•</w:t>
              <w:tab/>
              <w:t>A document appears once per voucher id, so a cheque receipt and its later clearing appear as one voucher. If a period holds only the clearing (the receipt was in an earlier period), it appears as a 'Cheque clearance' line for the cheque's amount.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Every row must be </w:t>
            </w:r>
            <w:r>
              <w:rPr>
                <w:rFonts w:ascii="Consolas" w:hAnsi="Consolas" w:eastAsia="Consolas"/>
                <w:sz w:val="16"/>
              </w:rPr>
              <w:t>balanced</w:t>
            </w:r>
            <w:r>
              <w:rPr>
                <w:sz w:val="17"/>
              </w:rPr>
              <w:t>.</w:t>
            </w:r>
          </w:p>
          <w:p>
            <w:pPr>
              <w:tabs>
                <w:tab w:pos="202" w:val="left"/>
              </w:tabs>
              <w:spacing w:after="10" w:before="0" w:line="240" w:lineRule="auto"/>
              <w:ind w:left="202" w:hanging="202"/>
            </w:pPr>
            <w:r>
              <w:rPr>
                <w:sz w:val="17"/>
              </w:rPr>
              <w:t>•</w:t>
              <w:tab/>
              <w:t xml:space="preserve">The sum of </w:t>
            </w:r>
            <w:r>
              <w:rPr>
                <w:rFonts w:ascii="Consolas" w:hAnsi="Consolas" w:eastAsia="Consolas"/>
                <w:sz w:val="16"/>
              </w:rPr>
              <w:t>amount</w:t>
            </w:r>
            <w:r>
              <w:rPr>
                <w:sz w:val="17"/>
              </w:rPr>
              <w:t xml:space="preserve"> by type is the figure the dashboard's 'Reports' tab shows for receipts, payments, journals, contra and expenses.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rows[{voucherId, date, voucherNo, voucherType, typeLabel, party, narration, amount, balanced, lineCount}], total, byType. Screen with search, paging and CSV.</w:t>
            </w:r>
          </w:p>
        </w:tc>
      </w:tr>
    </w:tbl>
    <w:p>
      <w:pPr>
        <w:spacing w:after="0" w:before="0"/>
        <w:rPr>
          <w:sz w:val="8"/>
        </w:rPr>
      </w:pPr>
    </w:p>
    <w:p>
      <w:pPr>
        <w:pStyle w:val="Heading2"/>
      </w:pPr>
      <w:r>
        <w:t>4.7 Journals register</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Journals register</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journals were posted, and what are their debit and credit lines?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Ledger reports &gt; Journals.</w:t>
            </w:r>
          </w:p>
          <w:p>
            <w:pPr>
              <w:spacing w:after="10" w:before="0" w:line="240" w:lineRule="auto"/>
            </w:pPr>
            <w:r>
              <w:rPr>
                <w:sz w:val="17"/>
              </w:rPr>
              <w:t xml:space="preserve">API: the day book with </w:t>
            </w:r>
            <w:r>
              <w:rPr>
                <w:rFonts w:ascii="Consolas" w:hAnsi="Consolas" w:eastAsia="Consolas"/>
                <w:sz w:val="16"/>
              </w:rPr>
              <w:t>type=journal&amp;includeLines=true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As the day book, restricted to voucher type 'journal'.</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search and paging as for the day book (20 vouchers a page on the screen).</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 xml:space="preserve">Each voucher also returns its lines (account code and name, debit, credit, line narration), debit lines first. </w:t>
            </w:r>
            <w:r>
              <w:rPr>
                <w:rFonts w:ascii="Consolas" w:hAnsi="Consolas" w:eastAsia="Consolas"/>
                <w:sz w:val="16"/>
              </w:rPr>
              <w:t>amount</w:t>
            </w:r>
            <w:r>
              <w:rPr>
                <w:sz w:val="17"/>
              </w:rPr>
              <w:t xml:space="preserve"> = sum of the debit lines.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Only vouchers of type 'journal'. Opening balance vouchers have their own type ('opening') and are in the day book.</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The debit lines of a journal equal its credit lines (</w:t>
            </w:r>
            <w:r>
              <w:rPr>
                <w:rFonts w:ascii="Consolas" w:hAnsi="Consolas" w:eastAsia="Consolas"/>
                <w:sz w:val="16"/>
              </w:rPr>
              <w:t>balanced</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Screen: journals with expandable lines; CSV.</w:t>
            </w:r>
          </w:p>
        </w:tc>
      </w:tr>
    </w:tbl>
    <w:p>
      <w:pPr>
        <w:spacing w:after="0" w:before="0"/>
        <w:rPr>
          <w:sz w:val="8"/>
        </w:rPr>
      </w:pPr>
    </w:p>
    <w:p>
      <w:pPr>
        <w:pStyle w:val="Heading2"/>
      </w:pPr>
      <w:r>
        <w:t>4.8 Cash and bank book</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Cash and bank book</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For each cash and bank account: opening balance, money in, money out and closing 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Ledger reports &gt; Cash and bank.</w:t>
            </w:r>
          </w:p>
          <w:p>
            <w:pPr>
              <w:spacing w:after="10" w:before="0" w:line="240" w:lineRule="auto"/>
            </w:pPr>
            <w:r>
              <w:rPr>
                <w:sz w:val="17"/>
              </w:rPr>
              <w:t xml:space="preserve">API: </w:t>
            </w:r>
            <w:r>
              <w:rPr>
                <w:rFonts w:ascii="Consolas" w:hAnsi="Consolas" w:eastAsia="Consolas"/>
                <w:sz w:val="16"/>
              </w:rPr>
              <w:t>GET /api/v1/accounting/reports/cash-book?from=&amp;to=&amp;kind=cash|bank</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Ledger entries not marked reversed on the active accounts in the cash and bank group families.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Dubai days; </w:t>
            </w:r>
            <w:r>
              <w:rPr>
                <w:rFonts w:ascii="Consolas" w:hAnsi="Consolas" w:eastAsia="Consolas"/>
                <w:sz w:val="16"/>
              </w:rPr>
              <w:t>kind</w:t>
            </w:r>
            <w:r>
              <w:rPr>
                <w:sz w:val="17"/>
              </w:rPr>
              <w:t xml:space="preserve"> restricts to cash or bank.</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opening</w:t>
            </w:r>
            <w:r>
              <w:rPr>
                <w:sz w:val="17"/>
              </w:rPr>
              <w:t xml:space="preserve"> = sum of (debit - credit) before </w:t>
            </w:r>
            <w:r>
              <w:rPr>
                <w:rFonts w:ascii="Consolas" w:hAnsi="Consolas" w:eastAsia="Consolas"/>
                <w:sz w:val="16"/>
              </w:rPr>
              <w:t>from</w:t>
            </w:r>
            <w:r>
              <w:rPr>
                <w:sz w:val="17"/>
              </w:rPr>
              <w:t xml:space="preserve">; </w:t>
            </w:r>
            <w:r>
              <w:rPr>
                <w:rFonts w:ascii="Consolas" w:hAnsi="Consolas" w:eastAsia="Consolas"/>
                <w:sz w:val="16"/>
              </w:rPr>
              <w:t>receipts</w:t>
            </w:r>
            <w:r>
              <w:rPr>
                <w:sz w:val="17"/>
              </w:rPr>
              <w:t xml:space="preserve"> = debits in the period; </w:t>
            </w:r>
            <w:r>
              <w:rPr>
                <w:rFonts w:ascii="Consolas" w:hAnsi="Consolas" w:eastAsia="Consolas"/>
                <w:sz w:val="16"/>
              </w:rPr>
              <w:t>payments</w:t>
            </w:r>
            <w:r>
              <w:rPr>
                <w:sz w:val="17"/>
              </w:rPr>
              <w:t xml:space="preserve"> = credits in the period; </w:t>
            </w:r>
            <w:r>
              <w:rPr>
                <w:rFonts w:ascii="Consolas" w:hAnsi="Consolas" w:eastAsia="Consolas"/>
                <w:sz w:val="16"/>
              </w:rPr>
              <w:t>closing</w:t>
            </w:r>
            <w:r>
              <w:rPr>
                <w:sz w:val="17"/>
              </w:rPr>
              <w:t xml:space="preserve"> = opening + receipts - payments.</w:t>
            </w:r>
          </w:p>
          <w:p>
            <w:pPr>
              <w:tabs>
                <w:tab w:pos="202" w:val="left"/>
              </w:tabs>
              <w:spacing w:after="10" w:before="0" w:line="240" w:lineRule="auto"/>
              <w:ind w:left="202" w:hanging="202"/>
            </w:pPr>
            <w:r>
              <w:rPr>
                <w:sz w:val="17"/>
              </w:rPr>
              <w:t>•</w:t>
              <w:tab/>
              <w:t xml:space="preserve">An account is 'cash' if its group is in the family of </w:t>
            </w:r>
            <w:r>
              <w:rPr>
                <w:rFonts w:ascii="Consolas" w:hAnsi="Consolas" w:eastAsia="Consolas"/>
                <w:sz w:val="16"/>
              </w:rPr>
              <w:t>cash-account-group</w:t>
            </w:r>
            <w:r>
              <w:rPr>
                <w:sz w:val="17"/>
              </w:rPr>
              <w:t>, otherwise 'bank'. Totals for cash, bank and all.</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Gross movements: a contra deposit shows as money in on the bank account and money out on the cash account (the cash flow report nets it). A cheque shows on its bank account only when it clears.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Total closing equals the cash flow </w:t>
            </w:r>
            <w:r>
              <w:rPr>
                <w:rFonts w:ascii="Consolas" w:hAnsi="Consolas" w:eastAsia="Consolas"/>
                <w:sz w:val="16"/>
              </w:rPr>
              <w:t>closing</w:t>
            </w:r>
            <w:r>
              <w:rPr>
                <w:sz w:val="17"/>
              </w:rPr>
              <w:t xml:space="preserve"> and the trial-balance balances of the same accounts.</w:t>
            </w:r>
          </w:p>
          <w:p>
            <w:pPr>
              <w:tabs>
                <w:tab w:pos="202" w:val="left"/>
              </w:tabs>
              <w:spacing w:after="10" w:before="0" w:line="240" w:lineRule="auto"/>
              <w:ind w:left="202" w:hanging="202"/>
            </w:pPr>
            <w:r>
              <w:rPr>
                <w:sz w:val="17"/>
              </w:rPr>
              <w:t>•</w:t>
              <w:tab/>
              <w:t>Test: cash opening 0, in 5,100.00, out 1,510.00, closing 3,590.00 (ledgerReports.test.js).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rows[{accountCode, accountName, kind, opening, receipts, payments, closing}], totals{cash, bank, all}. Screen with CSV.</w:t>
            </w:r>
          </w:p>
        </w:tc>
      </w:tr>
    </w:tbl>
    <w:p>
      <w:pPr>
        <w:spacing w:after="0" w:before="0"/>
        <w:rPr>
          <w:sz w:val="8"/>
        </w:rPr>
      </w:pPr>
    </w:p>
    <w:p>
      <w:pPr>
        <w:pStyle w:val="Heading2"/>
      </w:pPr>
      <w:r>
        <w:t>4.9 Party balances and credit exposure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Party balances</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What does each customer owe, or each vendor get owed, on a date; how much of the credit limit is used; what is overdue?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Party balances (</w:t>
            </w:r>
            <w:r>
              <w:rPr>
                <w:rFonts w:ascii="Consolas" w:hAnsi="Consolas" w:eastAsia="Consolas"/>
                <w:sz w:val="16"/>
              </w:rPr>
              <w:t>/party-balances</w:t>
            </w:r>
            <w:r>
              <w:rPr>
                <w:sz w:val="17"/>
              </w:rPr>
              <w:t>), tabs Customers and Vendors.</w:t>
            </w:r>
          </w:p>
          <w:p>
            <w:pPr>
              <w:spacing w:after="10" w:before="0" w:line="240" w:lineRule="auto"/>
            </w:pPr>
            <w:r>
              <w:rPr>
                <w:sz w:val="17"/>
              </w:rPr>
              <w:t xml:space="preserve">API: </w:t>
            </w:r>
            <w:r>
              <w:rPr>
                <w:rFonts w:ascii="Consolas" w:hAnsi="Consolas" w:eastAsia="Consolas"/>
                <w:sz w:val="16"/>
              </w:rPr>
              <w:t>GET /api/v1/accounting/reports/party-balances?type=customer|vendor&amp;asOn=&amp;includeZero=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 xml:space="preserve">Ledger entries on the party accounts, found </w:t>
            </w:r>
            <w:r>
              <w:rPr>
                <w:b/>
                <w:sz w:val="17"/>
              </w:rPr>
              <w:t>by name</w:t>
            </w:r>
            <w:r>
              <w:rPr>
                <w:sz w:val="17"/>
              </w:rPr>
              <w:t xml:space="preserve">: customers </w:t>
            </w:r>
            <w:r>
              <w:rPr>
                <w:rFonts w:ascii="Consolas" w:hAnsi="Consolas" w:eastAsia="Consolas"/>
                <w:sz w:val="16"/>
              </w:rPr>
              <w:t>Customer - &lt;name&gt;</w:t>
            </w:r>
            <w:r>
              <w:rPr>
                <w:sz w:val="17"/>
              </w:rPr>
              <w:t xml:space="preserve"> and </w:t>
            </w:r>
            <w:r>
              <w:rPr>
                <w:rFonts w:ascii="Consolas" w:hAnsi="Consolas" w:eastAsia="Consolas"/>
                <w:sz w:val="16"/>
              </w:rPr>
              <w:t>Customer Advance - &lt;name&gt;</w:t>
            </w:r>
            <w:r>
              <w:rPr>
                <w:sz w:val="17"/>
              </w:rPr>
              <w:t xml:space="preserve">; vendors </w:t>
            </w:r>
            <w:r>
              <w:rPr>
                <w:rFonts w:ascii="Consolas" w:hAnsi="Consolas" w:eastAsia="Consolas"/>
                <w:sz w:val="16"/>
              </w:rPr>
              <w:t>Vendor - &lt;name&gt;</w:t>
            </w:r>
            <w:r>
              <w:rPr>
                <w:sz w:val="17"/>
              </w:rPr>
              <w:t xml:space="preserve"> and </w:t>
            </w:r>
            <w:r>
              <w:rPr>
                <w:rFonts w:ascii="Consolas" w:hAnsi="Consolas" w:eastAsia="Consolas"/>
                <w:sz w:val="16"/>
              </w:rPr>
              <w:t>Advance to Vendor - &lt;name&gt;</w:t>
            </w:r>
            <w:r>
              <w:rPr>
                <w:sz w:val="17"/>
              </w:rPr>
              <w:t>.</w:t>
            </w:r>
          </w:p>
          <w:p>
            <w:pPr>
              <w:spacing w:after="10" w:before="0" w:line="240" w:lineRule="auto"/>
            </w:pPr>
            <w:r>
              <w:rPr>
                <w:sz w:val="17"/>
              </w:rPr>
              <w:t>Customer master (credit limit, payment terms) and the ageing report.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asOn</w:t>
            </w:r>
            <w:r>
              <w:rPr>
                <w:sz w:val="17"/>
              </w:rPr>
              <w:t xml:space="preserve"> (default today) as a Dubai day: entries up to the end of that day. </w:t>
            </w:r>
            <w:r>
              <w:rPr>
                <w:rFonts w:ascii="Consolas" w:hAnsi="Consolas" w:eastAsia="Consolas"/>
                <w:sz w:val="16"/>
              </w:rPr>
              <w:t>includeZero</w:t>
            </w:r>
            <w:r>
              <w:rPr>
                <w:sz w:val="17"/>
              </w:rPr>
              <w:t xml:space="preserve"> keeps parties with a zero 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Per party, adding its main account and its advance account:</w:t>
            </w:r>
          </w:p>
          <w:p>
            <w:pPr>
              <w:tabs>
                <w:tab w:pos="202" w:val="left"/>
              </w:tabs>
              <w:spacing w:after="10" w:before="0" w:line="240" w:lineRule="auto"/>
              <w:ind w:left="202" w:hanging="202"/>
            </w:pPr>
            <w:r>
              <w:rPr>
                <w:sz w:val="17"/>
              </w:rPr>
              <w:t>•</w:t>
              <w:tab/>
              <w:t xml:space="preserve">Customer </w:t>
            </w:r>
            <w:r>
              <w:rPr>
                <w:rFonts w:ascii="Consolas" w:hAnsi="Consolas" w:eastAsia="Consolas"/>
                <w:sz w:val="16"/>
              </w:rPr>
              <w:t>balance</w:t>
            </w:r>
            <w:r>
              <w:rPr>
                <w:sz w:val="17"/>
              </w:rPr>
              <w:t xml:space="preserve"> = sum of (debit - credit). Vendor </w:t>
            </w:r>
            <w:r>
              <w:rPr>
                <w:rFonts w:ascii="Consolas" w:hAnsi="Consolas" w:eastAsia="Consolas"/>
                <w:sz w:val="16"/>
              </w:rPr>
              <w:t>balance</w:t>
            </w:r>
            <w:r>
              <w:rPr>
                <w:sz w:val="17"/>
              </w:rPr>
              <w:t xml:space="preserve"> = sum of (credit - debit). Rounded to two decimals.</w:t>
            </w:r>
          </w:p>
          <w:p>
            <w:pPr>
              <w:tabs>
                <w:tab w:pos="202" w:val="left"/>
              </w:tabs>
              <w:spacing w:after="10" w:before="0" w:line="240" w:lineRule="auto"/>
              <w:ind w:left="202" w:hanging="202"/>
            </w:pPr>
            <w:r>
              <w:rPr>
                <w:sz w:val="17"/>
              </w:rPr>
              <w:t>•</w:t>
              <w:tab/>
              <w:t xml:space="preserve">Customer only: </w:t>
            </w:r>
            <w:r>
              <w:rPr>
                <w:rFonts w:ascii="Consolas" w:hAnsi="Consolas" w:eastAsia="Consolas"/>
                <w:sz w:val="16"/>
              </w:rPr>
              <w:t>creditLimit</w:t>
            </w:r>
            <w:r>
              <w:rPr>
                <w:sz w:val="17"/>
              </w:rPr>
              <w:t xml:space="preserve"> from the master; </w:t>
            </w:r>
            <w:r>
              <w:rPr>
                <w:rFonts w:ascii="Consolas" w:hAnsi="Consolas" w:eastAsia="Consolas"/>
                <w:sz w:val="16"/>
              </w:rPr>
              <w:t>available</w:t>
            </w:r>
            <w:r>
              <w:rPr>
                <w:sz w:val="17"/>
              </w:rPr>
              <w:t xml:space="preserve"> = limit - balance (empty if no limit); </w:t>
            </w:r>
            <w:r>
              <w:rPr>
                <w:rFonts w:ascii="Consolas" w:hAnsi="Consolas" w:eastAsia="Consolas"/>
                <w:sz w:val="16"/>
              </w:rPr>
              <w:t>utilisation</w:t>
            </w:r>
            <w:r>
              <w:rPr>
                <w:sz w:val="17"/>
              </w:rPr>
              <w:t xml:space="preserve"> % = max(balance, 0) / limit x 100, to two decimals.</w:t>
            </w:r>
          </w:p>
          <w:p>
            <w:pPr>
              <w:tabs>
                <w:tab w:pos="202" w:val="left"/>
              </w:tabs>
              <w:spacing w:after="10" w:before="0" w:line="240" w:lineRule="auto"/>
              <w:ind w:left="202" w:hanging="202"/>
            </w:pPr>
            <w:r>
              <w:rPr>
                <w:sz w:val="17"/>
              </w:rPr>
              <w:t>•</w:t>
              <w:tab/>
            </w:r>
            <w:r>
              <w:rPr>
                <w:rFonts w:ascii="Consolas" w:hAnsi="Consolas" w:eastAsia="Consolas"/>
                <w:sz w:val="16"/>
              </w:rPr>
              <w:t>status</w:t>
            </w:r>
            <w:r>
              <w:rPr>
                <w:sz w:val="17"/>
              </w:rPr>
              <w:t>: 'no-limit' if limit &lt;= 0; else 'over' if balance &gt; limit; else 'near' if utilisation &gt;= 80; else 'ok'.</w:t>
            </w:r>
          </w:p>
          <w:p>
            <w:pPr>
              <w:tabs>
                <w:tab w:pos="202" w:val="left"/>
              </w:tabs>
              <w:spacing w:after="10" w:before="0" w:line="240" w:lineRule="auto"/>
              <w:ind w:left="202" w:hanging="202"/>
            </w:pPr>
            <w:r>
              <w:rPr>
                <w:sz w:val="17"/>
              </w:rPr>
              <w:t>•</w:t>
              <w:tab/>
            </w:r>
            <w:r>
              <w:rPr>
                <w:rFonts w:ascii="Consolas" w:hAnsi="Consolas" w:eastAsia="Consolas"/>
                <w:sz w:val="16"/>
              </w:rPr>
              <w:t>overdue</w:t>
            </w:r>
            <w:r>
              <w:rPr>
                <w:sz w:val="17"/>
              </w:rPr>
              <w:t xml:space="preserve"> = (ageing total - 'not yet due' bucket) for the party at the same date.</w:t>
            </w:r>
          </w:p>
          <w:p>
            <w:pPr>
              <w:spacing w:after="10" w:before="0" w:line="240" w:lineRule="auto"/>
            </w:pPr>
            <w:r>
              <w:rPr>
                <w:sz w:val="17"/>
              </w:rPr>
              <w:t xml:space="preserve">Totals: </w:t>
            </w:r>
            <w:r>
              <w:rPr>
                <w:rFonts w:ascii="Consolas" w:hAnsi="Consolas" w:eastAsia="Consolas"/>
                <w:sz w:val="16"/>
              </w:rPr>
              <w:t>owed</w:t>
            </w:r>
            <w:r>
              <w:rPr>
                <w:sz w:val="17"/>
              </w:rPr>
              <w:t xml:space="preserve"> = sum of positive balances; </w:t>
            </w:r>
            <w:r>
              <w:rPr>
                <w:rFonts w:ascii="Consolas" w:hAnsi="Consolas" w:eastAsia="Consolas"/>
                <w:sz w:val="16"/>
              </w:rPr>
              <w:t>advances</w:t>
            </w:r>
            <w:r>
              <w:rPr>
                <w:sz w:val="17"/>
              </w:rPr>
              <w:t xml:space="preserve"> = minus the sum of negative balances; </w:t>
            </w:r>
            <w:r>
              <w:rPr>
                <w:rFonts w:ascii="Consolas" w:hAnsi="Consolas" w:eastAsia="Consolas"/>
                <w:sz w:val="16"/>
              </w:rPr>
              <w:t>net</w:t>
            </w:r>
            <w:r>
              <w:rPr>
                <w:sz w:val="17"/>
              </w:rPr>
              <w:t xml:space="preserve"> = sum of all; </w:t>
            </w:r>
            <w:r>
              <w:rPr>
                <w:rFonts w:ascii="Consolas" w:hAnsi="Consolas" w:eastAsia="Consolas"/>
                <w:sz w:val="16"/>
              </w:rPr>
              <w:t>overdue</w:t>
            </w:r>
            <w:r>
              <w:rPr>
                <w:sz w:val="17"/>
              </w:rPr>
              <w:t xml:space="preserve">; </w:t>
            </w:r>
            <w:r>
              <w:rPr>
                <w:rFonts w:ascii="Consolas" w:hAnsi="Consolas" w:eastAsia="Consolas"/>
                <w:sz w:val="16"/>
              </w:rPr>
              <w:t>overLimit</w:t>
            </w:r>
            <w:r>
              <w:rPr>
                <w:sz w:val="17"/>
              </w:rPr>
              <w:t xml:space="preserve"> and </w:t>
            </w:r>
            <w:r>
              <w:rPr>
                <w:rFonts w:ascii="Consolas" w:hAnsi="Consolas" w:eastAsia="Consolas"/>
                <w:sz w:val="16"/>
              </w:rPr>
              <w:t>nearLimit</w:t>
            </w:r>
            <w:r>
              <w:rPr>
                <w:sz w:val="17"/>
              </w:rPr>
              <w:t xml:space="preserve"> counts (customers). Rows sorted by balance, largest first.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The balance is the </w:t>
            </w:r>
            <w:r>
              <w:rPr>
                <w:b/>
                <w:sz w:val="17"/>
              </w:rPr>
              <w:t>net</w:t>
            </w:r>
            <w:r>
              <w:rPr>
                <w:sz w:val="17"/>
              </w:rPr>
              <w:t xml:space="preserve"> of the party's invoices, returns, receipts, payments, notes and advances, because the advance account is included. A customer with an invoice of 210.00 and an unallocated receipt of 100.00 shows 110.00.</w:t>
            </w:r>
          </w:p>
          <w:p>
            <w:pPr>
              <w:tabs>
                <w:tab w:pos="202" w:val="left"/>
              </w:tabs>
              <w:spacing w:after="10" w:before="0" w:line="240" w:lineRule="auto"/>
              <w:ind w:left="202" w:hanging="202"/>
            </w:pPr>
            <w:r>
              <w:rPr>
                <w:sz w:val="17"/>
              </w:rPr>
              <w:t>•</w:t>
              <w:tab/>
              <w:t>The overdue figure comes from invoices (section 4.10), so it ignores returns and unallocated advances.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Customers' net balance equals the sum of the customer accounts less the customer advance accounts; vendors' likewise (section 5.2).</w:t>
            </w:r>
          </w:p>
          <w:p>
            <w:pPr>
              <w:tabs>
                <w:tab w:pos="202" w:val="left"/>
              </w:tabs>
              <w:spacing w:after="10" w:before="0" w:line="240" w:lineRule="auto"/>
              <w:ind w:left="202" w:hanging="202"/>
            </w:pPr>
            <w:r>
              <w:rPr>
                <w:sz w:val="17"/>
              </w:rPr>
              <w:t>•</w:t>
              <w:tab/>
              <w:t>Test: Al Noor 110.00, limit 500.00, available 390.00, utilisation 22, status ok; Gulf Mills 750.00 (ledgerReports.test.js).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rows[{partyId, partyCode, partyName, paymentTerms, balance, creditLimit, available, utilisation, status, overdue}], totals. Screen with CSV.</w:t>
            </w:r>
          </w:p>
        </w:tc>
      </w:tr>
    </w:tbl>
    <w:p>
      <w:pPr>
        <w:spacing w:after="0" w:before="0"/>
        <w:rPr>
          <w:sz w:val="8"/>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 xml:space="preserve">Credit control at the moment of approving a sales invoice (section 3.1) uses a different figure: the customer's running balance </w:t>
            </w:r>
            <w:r>
              <w:rPr>
                <w:rFonts w:ascii="Consolas" w:hAnsi="Consolas" w:eastAsia="Consolas"/>
                <w:sz w:val="19"/>
              </w:rPr>
              <w:t>cashBalance</w:t>
            </w:r>
            <w:r>
              <w:rPr>
                <w:sz w:val="20"/>
              </w:rPr>
              <w:t>, with the credit limit, as 'owed + this order &gt; limit'. That running balance falls with each approved invoice and rises with approved returns and with receipts that are kept on account, but an allocated receipt does not raise it. The party-balances report reads the ledger and is the reliable figure; the control can over-state exposure for customers who pay against invoices (section 7).</w:t>
            </w:r>
          </w:p>
        </w:tc>
      </w:tr>
    </w:tbl>
    <w:p>
      <w:pPr>
        <w:spacing w:after="0" w:before="0"/>
        <w:rPr>
          <w:sz w:val="8"/>
        </w:rPr>
      </w:pPr>
    </w:p>
    <w:p>
      <w:pPr>
        <w:pStyle w:val="Heading2"/>
      </w:pPr>
      <w:r>
        <w:t>4.10 Ageing</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Receivables and payables ageing</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invoices are unpaid, how old are they, and how much is overdue?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Ageing (</w:t>
            </w:r>
            <w:r>
              <w:rPr>
                <w:rFonts w:ascii="Consolas" w:hAnsi="Consolas" w:eastAsia="Consolas"/>
                <w:sz w:val="16"/>
              </w:rPr>
              <w:t>/ageing</w:t>
            </w:r>
            <w:r>
              <w:rPr>
                <w:sz w:val="17"/>
              </w:rPr>
              <w:t>).</w:t>
            </w:r>
          </w:p>
          <w:p>
            <w:pPr>
              <w:spacing w:after="10" w:before="0" w:line="240" w:lineRule="auto"/>
            </w:pPr>
            <w:r>
              <w:rPr>
                <w:sz w:val="17"/>
              </w:rPr>
              <w:t xml:space="preserve">API: </w:t>
            </w:r>
            <w:r>
              <w:rPr>
                <w:rFonts w:ascii="Consolas" w:hAnsi="Consolas" w:eastAsia="Consolas"/>
                <w:sz w:val="16"/>
              </w:rPr>
              <w:t>GET /api/v1/accounting/reports/ageing?type=receivable|payable&amp;asOf=</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Approved trade documents (sales invoices for receivables, purchase invoices for payables) and the party's payment terms.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asOf</w:t>
            </w:r>
            <w:r>
              <w:rPr>
                <w:sz w:val="17"/>
              </w:rPr>
              <w:t xml:space="preserve"> (default now). Only documents dated on or before it. The screen sends a plain day, read as 00:00 UTC (section 7).</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A document is open if its status is APPROVED and </w:t>
            </w:r>
            <w:r>
              <w:rPr>
                <w:rFonts w:ascii="Consolas" w:hAnsi="Consolas" w:eastAsia="Consolas"/>
                <w:sz w:val="16"/>
              </w:rPr>
              <w:t>outstandingAmount</w:t>
            </w:r>
            <w:r>
              <w:rPr>
                <w:sz w:val="17"/>
              </w:rPr>
              <w:t xml:space="preserve"> &gt; 0.005 (outstanding = total - paid).</w:t>
            </w:r>
          </w:p>
          <w:p>
            <w:pPr>
              <w:tabs>
                <w:tab w:pos="202" w:val="left"/>
              </w:tabs>
              <w:spacing w:after="10" w:before="0" w:line="240" w:lineRule="auto"/>
              <w:ind w:left="202" w:hanging="202"/>
            </w:pPr>
            <w:r>
              <w:rPr>
                <w:sz w:val="17"/>
              </w:rPr>
              <w:t>•</w:t>
              <w:tab/>
            </w:r>
            <w:r>
              <w:rPr>
                <w:b/>
                <w:sz w:val="17"/>
              </w:rPr>
              <w:t>Due date</w:t>
            </w:r>
            <w:r>
              <w:rPr>
                <w:sz w:val="17"/>
              </w:rPr>
              <w:t xml:space="preserve">: if the document has its own </w:t>
            </w:r>
            <w:r>
              <w:rPr>
                <w:rFonts w:ascii="Consolas" w:hAnsi="Consolas" w:eastAsia="Consolas"/>
                <w:sz w:val="16"/>
              </w:rPr>
              <w:t>dueDate</w:t>
            </w:r>
            <w:r>
              <w:rPr>
                <w:sz w:val="17"/>
              </w:rPr>
              <w:t xml:space="preserve"> (opening invoices entered with one), that; otherwise the document date + the party's term days. Term days are the first whole number found in the party's payment-terms text: 'Net 30' is 30, '45 days' is 45, 'COD' and 'Cash on Delivery' are 0.</w:t>
            </w:r>
          </w:p>
          <w:p>
            <w:pPr>
              <w:tabs>
                <w:tab w:pos="202" w:val="left"/>
              </w:tabs>
              <w:spacing w:after="10" w:before="0" w:line="240" w:lineRule="auto"/>
              <w:ind w:left="202" w:hanging="202"/>
            </w:pPr>
            <w:r>
              <w:rPr>
                <w:sz w:val="17"/>
              </w:rPr>
              <w:t>•</w:t>
              <w:tab/>
            </w:r>
            <w:r>
              <w:rPr>
                <w:rFonts w:ascii="Consolas" w:hAnsi="Consolas" w:eastAsia="Consolas"/>
                <w:sz w:val="16"/>
              </w:rPr>
              <w:t>daysPastDue</w:t>
            </w:r>
            <w:r>
              <w:rPr>
                <w:sz w:val="17"/>
              </w:rPr>
              <w:t xml:space="preserve"> = floor((asOf - due date) / one day), counted from 0 upwards. </w:t>
            </w:r>
            <w:r>
              <w:rPr>
                <w:rFonts w:ascii="Consolas" w:hAnsi="Consolas" w:eastAsia="Consolas"/>
                <w:sz w:val="16"/>
              </w:rPr>
              <w:t>bucket</w:t>
            </w:r>
            <w:r>
              <w:rPr>
                <w:sz w:val="17"/>
              </w:rPr>
              <w:t xml:space="preserve"> by days past due: 'Not yet due' (0 or less), 1-30, 31-60, 61-90, over 90 (91 or more).</w:t>
            </w:r>
          </w:p>
          <w:p>
            <w:pPr>
              <w:tabs>
                <w:tab w:pos="202" w:val="left"/>
              </w:tabs>
              <w:spacing w:after="10" w:before="0" w:line="240" w:lineRule="auto"/>
              <w:ind w:left="202" w:hanging="202"/>
            </w:pPr>
            <w:r>
              <w:rPr>
                <w:sz w:val="17"/>
              </w:rPr>
              <w:t>•</w:t>
              <w:tab/>
              <w:t xml:space="preserve">Party totals are the sum of the open invoices' outstanding amounts; the buckets add up to the party total; the grand total is the sum of the open invoices. </w:t>
            </w:r>
            <w:r>
              <w:rPr>
                <w:rFonts w:ascii="Consolas" w:hAnsi="Consolas" w:eastAsia="Consolas"/>
                <w:sz w:val="16"/>
              </w:rPr>
              <w:t>overdue</w:t>
            </w:r>
            <w:r>
              <w:rPr>
                <w:sz w:val="17"/>
              </w:rPr>
              <w:t xml:space="preserve"> = grand total - 'not yet due'.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Returns, credit notes without an invoice reference, and receipts or payments kept on account are </w:t>
            </w:r>
            <w:r>
              <w:rPr>
                <w:b/>
                <w:sz w:val="17"/>
              </w:rPr>
              <w:t>not netted</w:t>
            </w:r>
            <w:r>
              <w:rPr>
                <w:sz w:val="17"/>
              </w:rPr>
              <w:t>: they reduce the party balance but not the invoices they could have settled.</w:t>
            </w:r>
          </w:p>
          <w:p>
            <w:pPr>
              <w:tabs>
                <w:tab w:pos="202" w:val="left"/>
              </w:tabs>
              <w:spacing w:after="10" w:before="0" w:line="240" w:lineRule="auto"/>
              <w:ind w:left="202" w:hanging="202"/>
            </w:pPr>
            <w:r>
              <w:rPr>
                <w:sz w:val="17"/>
              </w:rPr>
              <w:t>•</w:t>
              <w:tab/>
              <w:t>Opening invoices are included and age by their own invoice date and due date.</w:t>
            </w:r>
          </w:p>
          <w:p>
            <w:pPr>
              <w:tabs>
                <w:tab w:pos="202" w:val="left"/>
              </w:tabs>
              <w:spacing w:after="10" w:before="0" w:line="240" w:lineRule="auto"/>
              <w:ind w:left="202" w:hanging="202"/>
            </w:pPr>
            <w:r>
              <w:rPr>
                <w:sz w:val="17"/>
              </w:rPr>
              <w:t>•</w:t>
              <w:tab/>
              <w:t>Drafts, rejected and cancelled documents are not included.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The ageing total differs from the party balance in the ledger by exactly the amounts not set against invoices (advances, returns, notes without a reference). The IFRS notes show this as 'not set against invoices'.</w:t>
            </w:r>
          </w:p>
          <w:p>
            <w:pPr>
              <w:tabs>
                <w:tab w:pos="202" w:val="left"/>
              </w:tabs>
              <w:spacing w:after="10" w:before="0" w:line="240" w:lineRule="auto"/>
              <w:ind w:left="202" w:hanging="202"/>
            </w:pPr>
            <w:r>
              <w:rPr>
                <w:sz w:val="17"/>
              </w:rPr>
              <w:t>•</w:t>
              <w:tab/>
              <w:t>Test: invoices 10, 45, 80 and 150 days old with 30-day terms fall into current, 1-30, 31-60 and over 90 (returnsAgeingCredit.test.js).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buckets, rows[{partyId, partyName, paymentTerms, buckets, total, invoices[]}], totals, overdue. Screen with CSV.</w:t>
            </w:r>
          </w:p>
        </w:tc>
      </w:tr>
    </w:tbl>
    <w:p>
      <w:pPr>
        <w:spacing w:after="0" w:before="0"/>
        <w:rPr>
          <w:sz w:val="8"/>
        </w:rPr>
      </w:pPr>
    </w:p>
    <w:p>
      <w:pPr>
        <w:pStyle w:val="Heading2"/>
      </w:pPr>
      <w:r>
        <w:t>4.11 Statement of account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Statement of account</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What happened on one customer's or vendor's account, with a running 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Statement (</w:t>
            </w:r>
            <w:r>
              <w:rPr>
                <w:rFonts w:ascii="Consolas" w:hAnsi="Consolas" w:eastAsia="Consolas"/>
                <w:sz w:val="16"/>
              </w:rPr>
              <w:t>/statement</w:t>
            </w:r>
            <w:r>
              <w:rPr>
                <w:sz w:val="17"/>
              </w:rPr>
              <w:t>).</w:t>
            </w:r>
          </w:p>
          <w:p>
            <w:pPr>
              <w:spacing w:after="10" w:before="0" w:line="240" w:lineRule="auto"/>
            </w:pPr>
            <w:r>
              <w:rPr>
                <w:sz w:val="17"/>
              </w:rPr>
              <w:t xml:space="preserve">API: </w:t>
            </w:r>
            <w:r>
              <w:rPr>
                <w:rFonts w:ascii="Consolas" w:hAnsi="Consolas" w:eastAsia="Consolas"/>
                <w:sz w:val="16"/>
              </w:rPr>
              <w:t>GET /api/v1/accounting/reports/statement?partyId=&amp;partyType=Customer|Vendor&amp;from=&amp;to=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With posting on (</w:t>
            </w:r>
            <w:r>
              <w:rPr>
                <w:rFonts w:ascii="Consolas" w:hAnsi="Consolas" w:eastAsia="Consolas"/>
                <w:sz w:val="16"/>
              </w:rPr>
              <w:t>source: ledger</w:t>
            </w:r>
            <w:r>
              <w:rPr>
                <w:sz w:val="17"/>
              </w:rPr>
              <w:t xml:space="preserve">): ledger entries on the party's accounts, found by name. For a customer: </w:t>
            </w:r>
            <w:r>
              <w:rPr>
                <w:rFonts w:ascii="Consolas" w:hAnsi="Consolas" w:eastAsia="Consolas"/>
                <w:sz w:val="16"/>
              </w:rPr>
              <w:t>Customer - &lt;name&gt;</w:t>
            </w:r>
            <w:r>
              <w:rPr>
                <w:sz w:val="17"/>
              </w:rPr>
              <w:t xml:space="preserve"> and </w:t>
            </w:r>
            <w:r>
              <w:rPr>
                <w:rFonts w:ascii="Consolas" w:hAnsi="Consolas" w:eastAsia="Consolas"/>
                <w:sz w:val="16"/>
              </w:rPr>
              <w:t>Customer Advance - &lt;name&gt;</w:t>
            </w:r>
            <w:r>
              <w:rPr>
                <w:sz w:val="17"/>
              </w:rPr>
              <w:t xml:space="preserve">. For a vendor: </w:t>
            </w:r>
            <w:r>
              <w:rPr>
                <w:rFonts w:ascii="Consolas" w:hAnsi="Consolas" w:eastAsia="Consolas"/>
                <w:sz w:val="16"/>
              </w:rPr>
              <w:t>Vendor - &lt;name&gt;</w:t>
            </w:r>
            <w:r>
              <w:rPr>
                <w:sz w:val="17"/>
              </w:rPr>
              <w:t xml:space="preserve"> and </w:t>
            </w:r>
            <w:r>
              <w:rPr>
                <w:rFonts w:ascii="Consolas" w:hAnsi="Consolas" w:eastAsia="Consolas"/>
                <w:sz w:val="16"/>
              </w:rPr>
              <w:t>Vendor Advance - &lt;name&gt;</w:t>
            </w:r>
            <w:r>
              <w:rPr>
                <w:sz w:val="17"/>
              </w:rPr>
              <w:t>.</w:t>
            </w:r>
          </w:p>
          <w:p>
            <w:pPr>
              <w:spacing w:after="10" w:before="0" w:line="240" w:lineRule="auto"/>
            </w:pPr>
            <w:r>
              <w:rPr>
                <w:sz w:val="17"/>
              </w:rPr>
              <w:t>With posting off (</w:t>
            </w:r>
            <w:r>
              <w:rPr>
                <w:rFonts w:ascii="Consolas" w:hAnsi="Consolas" w:eastAsia="Consolas"/>
                <w:sz w:val="16"/>
              </w:rPr>
              <w:t>source: documents</w:t>
            </w:r>
            <w:r>
              <w:rPr>
                <w:sz w:val="17"/>
              </w:rPr>
              <w:t>): approved invoices and returns of the party, and approved receipt and payment vouchers.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and </w:t>
            </w:r>
            <w:r>
              <w:rPr>
                <w:rFonts w:ascii="Consolas" w:hAnsi="Consolas" w:eastAsia="Consolas"/>
                <w:sz w:val="16"/>
              </w:rPr>
              <w:t>to</w:t>
            </w:r>
            <w:r>
              <w:rPr>
                <w:sz w:val="17"/>
              </w:rPr>
              <w:t xml:space="preserve"> optional, passed to the date parser as sent (section 7). Opening is everything before </w:t>
            </w:r>
            <w:r>
              <w:rPr>
                <w:rFonts w:ascii="Consolas" w:hAnsi="Consolas" w:eastAsia="Consolas"/>
                <w:sz w:val="16"/>
              </w:rPr>
              <w:t>from</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Movements sorted by date, then id. Customer sign = +1, vendor sign = -1.</w:t>
            </w:r>
          </w:p>
          <w:p>
            <w:pPr>
              <w:tabs>
                <w:tab w:pos="202" w:val="left"/>
              </w:tabs>
              <w:spacing w:after="10" w:before="0" w:line="240" w:lineRule="auto"/>
              <w:ind w:left="202" w:hanging="202"/>
            </w:pPr>
            <w:r>
              <w:rPr>
                <w:sz w:val="17"/>
              </w:rPr>
              <w:t>•</w:t>
              <w:tab/>
            </w:r>
            <w:r>
              <w:rPr>
                <w:rFonts w:ascii="Consolas" w:hAnsi="Consolas" w:eastAsia="Consolas"/>
                <w:sz w:val="16"/>
              </w:rPr>
              <w:t>opening</w:t>
            </w:r>
            <w:r>
              <w:rPr>
                <w:sz w:val="17"/>
              </w:rPr>
              <w:t xml:space="preserve"> = sign x sum of (debit - credit) of movements before </w:t>
            </w:r>
            <w:r>
              <w:rPr>
                <w:rFonts w:ascii="Consolas" w:hAnsi="Consolas" w:eastAsia="Consolas"/>
                <w:sz w:val="16"/>
              </w:rPr>
              <w:t>from</w:t>
            </w:r>
            <w:r>
              <w:rPr>
                <w:sz w:val="17"/>
              </w:rPr>
              <w:t>.</w:t>
            </w:r>
          </w:p>
          <w:p>
            <w:pPr>
              <w:tabs>
                <w:tab w:pos="202" w:val="left"/>
              </w:tabs>
              <w:spacing w:after="10" w:before="0" w:line="240" w:lineRule="auto"/>
              <w:ind w:left="202" w:hanging="202"/>
            </w:pPr>
            <w:r>
              <w:rPr>
                <w:sz w:val="17"/>
              </w:rPr>
              <w:t>•</w:t>
              <w:tab/>
              <w:t xml:space="preserve">Each row's </w:t>
            </w:r>
            <w:r>
              <w:rPr>
                <w:rFonts w:ascii="Consolas" w:hAnsi="Consolas" w:eastAsia="Consolas"/>
                <w:sz w:val="16"/>
              </w:rPr>
              <w:t>balance</w:t>
            </w:r>
            <w:r>
              <w:rPr>
                <w:sz w:val="17"/>
              </w:rPr>
              <w:t xml:space="preserve"> = previous balance + sign x (debit - credit). </w:t>
            </w:r>
            <w:r>
              <w:rPr>
                <w:rFonts w:ascii="Consolas" w:hAnsi="Consolas" w:eastAsia="Consolas"/>
                <w:sz w:val="16"/>
              </w:rPr>
              <w:t>closing</w:t>
            </w:r>
            <w:r>
              <w:rPr>
                <w:sz w:val="17"/>
              </w:rPr>
              <w:t xml:space="preserve"> = last balance. </w:t>
            </w:r>
            <w:r>
              <w:rPr>
                <w:rFonts w:ascii="Consolas" w:hAnsi="Consolas" w:eastAsia="Consolas"/>
                <w:sz w:val="16"/>
              </w:rPr>
              <w:t>totals</w:t>
            </w:r>
            <w:r>
              <w:rPr>
                <w:sz w:val="17"/>
              </w:rPr>
              <w:t xml:space="preserve"> = sums of debit and credit of the rows shown.</w:t>
            </w:r>
          </w:p>
          <w:p>
            <w:pPr>
              <w:tabs>
                <w:tab w:pos="202" w:val="left"/>
              </w:tabs>
              <w:spacing w:after="10" w:before="0" w:line="240" w:lineRule="auto"/>
              <w:ind w:left="202" w:hanging="202"/>
            </w:pPr>
            <w:r>
              <w:rPr>
                <w:sz w:val="17"/>
              </w:rPr>
              <w:t>•</w:t>
              <w:tab/>
              <w:t>Customer balance positive = they owe us. Vendor balance positive = we owe them.</w:t>
            </w:r>
          </w:p>
          <w:p>
            <w:pPr>
              <w:tabs>
                <w:tab w:pos="202" w:val="left"/>
              </w:tabs>
              <w:spacing w:after="10" w:before="0" w:line="240" w:lineRule="auto"/>
              <w:ind w:left="202" w:hanging="202"/>
            </w:pPr>
            <w:r>
              <w:rPr>
                <w:sz w:val="17"/>
              </w:rPr>
              <w:t>•</w:t>
              <w:tab/>
              <w:t>Documents source: an invoice of a customer is a debit, a return a credit; for a vendor the other way round; a receipt is a credit to a customer, a payment a debit to a vendor. Opening invoices are labelled 'Opening sales invoice' or 'Opening purchase invoice'.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Ledger source: opening + movement = closing, and the closing equals the party account balance in the trial balance.</w:t>
            </w:r>
          </w:p>
          <w:p>
            <w:pPr>
              <w:tabs>
                <w:tab w:pos="202" w:val="left"/>
              </w:tabs>
              <w:spacing w:after="10" w:before="0" w:line="240" w:lineRule="auto"/>
              <w:ind w:left="202" w:hanging="202"/>
            </w:pPr>
            <w:r>
              <w:rPr>
                <w:sz w:val="17"/>
              </w:rPr>
              <w:t>•</w:t>
              <w:tab/>
              <w:t xml:space="preserve">Documents source: only receipts and payments are read from vouchers; </w:t>
            </w:r>
            <w:r>
              <w:rPr>
                <w:b/>
                <w:sz w:val="17"/>
              </w:rPr>
              <w:t>notes are not shown</w:t>
            </w:r>
            <w:r>
              <w:rPr>
                <w:sz w:val="17"/>
              </w:rPr>
              <w:t xml:space="preserve"> while posting is off.</w:t>
            </w:r>
          </w:p>
          <w:p>
            <w:pPr>
              <w:tabs>
                <w:tab w:pos="202" w:val="left"/>
              </w:tabs>
              <w:spacing w:after="10" w:before="0" w:line="240" w:lineRule="auto"/>
              <w:ind w:left="202" w:hanging="202"/>
            </w:pPr>
            <w:r>
              <w:rPr>
                <w:sz w:val="17"/>
              </w:rPr>
              <w:t>•</w:t>
              <w:tab/>
              <w:t xml:space="preserve">For a </w:t>
            </w:r>
            <w:r>
              <w:rPr>
                <w:b/>
                <w:sz w:val="17"/>
              </w:rPr>
              <w:t>vendor</w:t>
            </w:r>
            <w:r>
              <w:rPr>
                <w:sz w:val="17"/>
              </w:rPr>
              <w:t xml:space="preserve">, the code looks for </w:t>
            </w:r>
            <w:r>
              <w:rPr>
                <w:rFonts w:ascii="Consolas" w:hAnsi="Consolas" w:eastAsia="Consolas"/>
                <w:sz w:val="16"/>
              </w:rPr>
              <w:t>Vendor Advance - &lt;name&gt;</w:t>
            </w:r>
            <w:r>
              <w:rPr>
                <w:sz w:val="17"/>
              </w:rPr>
              <w:t xml:space="preserve"> while the account that is created is </w:t>
            </w:r>
            <w:r>
              <w:rPr>
                <w:rFonts w:ascii="Consolas" w:hAnsi="Consolas" w:eastAsia="Consolas"/>
                <w:sz w:val="16"/>
              </w:rPr>
              <w:t>Advance to Vendor - &lt;name&gt;</w:t>
            </w:r>
            <w:r>
              <w:rPr>
                <w:sz w:val="17"/>
              </w:rPr>
              <w:t xml:space="preserve">. A vendor's payment kept on account is therefore </w:t>
            </w:r>
            <w:r>
              <w:rPr>
                <w:b/>
                <w:sz w:val="17"/>
              </w:rPr>
              <w:t>not on the vendor statement</w:t>
            </w:r>
            <w:r>
              <w:rPr>
                <w:sz w:val="17"/>
              </w:rPr>
              <w:t>, although it is in the party balances. The statement of Gulf Mills in section 6 shows 1,050.00 where the party balance is 750.00.</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A customer's statement closing equals the party balance for that customer (test: returnsAgeingCredit.test.js, 'closing equals the party ledger balance').</w:t>
            </w:r>
          </w:p>
          <w:p>
            <w:pPr>
              <w:tabs>
                <w:tab w:pos="202" w:val="left"/>
              </w:tabs>
              <w:spacing w:after="10" w:before="0" w:line="240" w:lineRule="auto"/>
              <w:ind w:left="202" w:hanging="202"/>
            </w:pPr>
            <w:r>
              <w:rPr>
                <w:sz w:val="17"/>
              </w:rPr>
              <w:t>•</w:t>
              <w:tab/>
              <w:t>The statement and the trial balance agree for the main party account.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party, opening, rows[{date, voucherNo, voucherType, narration, debit, credit, balance}], closing, totals, source. Screen with print and CSV.</w:t>
            </w:r>
          </w:p>
        </w:tc>
      </w:tr>
    </w:tbl>
    <w:p>
      <w:pPr>
        <w:spacing w:after="0" w:before="0"/>
        <w:rPr>
          <w:sz w:val="8"/>
        </w:rPr>
      </w:pPr>
    </w:p>
    <w:p>
      <w:pPr>
        <w:pStyle w:val="Heading2"/>
      </w:pPr>
      <w:r>
        <w:t>4.12 Account ledger</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Account ledger</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Every entry on one account, with a running balance.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Ledger (</w:t>
            </w:r>
            <w:r>
              <w:rPr>
                <w:rFonts w:ascii="Consolas" w:hAnsi="Consolas" w:eastAsia="Consolas"/>
                <w:sz w:val="16"/>
              </w:rPr>
              <w:t>/ledger</w:t>
            </w:r>
            <w:r>
              <w:rPr>
                <w:sz w:val="17"/>
              </w:rPr>
              <w:t>), and the pop-up opened from any account in a report.</w:t>
            </w:r>
          </w:p>
          <w:p>
            <w:pPr>
              <w:spacing w:after="10" w:before="0" w:line="240" w:lineRule="auto"/>
            </w:pPr>
            <w:r>
              <w:rPr>
                <w:sz w:val="17"/>
              </w:rPr>
              <w:t xml:space="preserve">API: </w:t>
            </w:r>
            <w:r>
              <w:rPr>
                <w:rFonts w:ascii="Consolas" w:hAnsi="Consolas" w:eastAsia="Consolas"/>
                <w:sz w:val="16"/>
              </w:rPr>
              <w:t>GET /api/v1/accounting/accounts/:id/ledger?from=&amp;to=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Ledger entries of the account not marked reversed, sorted by date, creation time, id.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optional, read as sent (section 7).</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rFonts w:ascii="Consolas" w:hAnsi="Consolas" w:eastAsia="Consolas"/>
                <w:sz w:val="16"/>
              </w:rPr>
              <w:t>opening</w:t>
            </w:r>
            <w:r>
              <w:rPr>
                <w:sz w:val="17"/>
              </w:rPr>
              <w:t xml:space="preserve"> = naturalBalance(category, debits before </w:t>
            </w:r>
            <w:r>
              <w:rPr>
                <w:rFonts w:ascii="Consolas" w:hAnsi="Consolas" w:eastAsia="Consolas"/>
                <w:sz w:val="16"/>
              </w:rPr>
              <w:t>from</w:t>
            </w:r>
            <w:r>
              <w:rPr>
                <w:sz w:val="17"/>
              </w:rPr>
              <w:t xml:space="preserve">, credits before </w:t>
            </w:r>
            <w:r>
              <w:rPr>
                <w:rFonts w:ascii="Consolas" w:hAnsi="Consolas" w:eastAsia="Consolas"/>
                <w:sz w:val="16"/>
              </w:rPr>
              <w:t>from</w:t>
            </w:r>
            <w:r>
              <w:rPr>
                <w:sz w:val="17"/>
              </w:rPr>
              <w:t xml:space="preserve">); </w:t>
            </w:r>
            <w:r>
              <w:rPr>
                <w:rFonts w:ascii="Consolas" w:hAnsi="Consolas" w:eastAsia="Consolas"/>
                <w:sz w:val="16"/>
              </w:rPr>
              <w:t>openingNet</w:t>
            </w:r>
            <w:r>
              <w:rPr>
                <w:sz w:val="17"/>
              </w:rPr>
              <w:t xml:space="preserve"> = the same as debit - credit.</w:t>
            </w:r>
          </w:p>
          <w:p>
            <w:pPr>
              <w:tabs>
                <w:tab w:pos="202" w:val="left"/>
              </w:tabs>
              <w:spacing w:after="10" w:before="0" w:line="240" w:lineRule="auto"/>
              <w:ind w:left="202" w:hanging="202"/>
            </w:pPr>
            <w:r>
              <w:rPr>
                <w:sz w:val="17"/>
              </w:rPr>
              <w:t>•</w:t>
              <w:tab/>
              <w:t xml:space="preserve">Per entry: </w:t>
            </w:r>
            <w:r>
              <w:rPr>
                <w:rFonts w:ascii="Consolas" w:hAnsi="Consolas" w:eastAsia="Consolas"/>
                <w:sz w:val="16"/>
              </w:rPr>
              <w:t>balance</w:t>
            </w:r>
            <w:r>
              <w:rPr>
                <w:sz w:val="17"/>
              </w:rPr>
              <w:t xml:space="preserve"> = running natural balance; </w:t>
            </w:r>
            <w:r>
              <w:rPr>
                <w:rFonts w:ascii="Consolas" w:hAnsi="Consolas" w:eastAsia="Consolas"/>
                <w:sz w:val="16"/>
              </w:rPr>
              <w:t>net</w:t>
            </w:r>
            <w:r>
              <w:rPr>
                <w:sz w:val="17"/>
              </w:rPr>
              <w:t xml:space="preserve"> = running (debit - credit), so a screen can print Dr or Cr. </w:t>
            </w:r>
            <w:r>
              <w:rPr>
                <w:rFonts w:ascii="Consolas" w:hAnsi="Consolas" w:eastAsia="Consolas"/>
                <w:sz w:val="16"/>
              </w:rPr>
              <w:t>closing</w:t>
            </w:r>
            <w:r>
              <w:rPr>
                <w:sz w:val="17"/>
              </w:rPr>
              <w:t xml:space="preserve">, </w:t>
            </w:r>
            <w:r>
              <w:rPr>
                <w:rFonts w:ascii="Consolas" w:hAnsi="Consolas" w:eastAsia="Consolas"/>
                <w:sz w:val="16"/>
              </w:rPr>
              <w:t>closingNet</w:t>
            </w:r>
            <w:r>
              <w:rPr>
                <w:sz w:val="17"/>
              </w:rPr>
              <w:t xml:space="preserve"> after the last entry; </w:t>
            </w:r>
            <w:r>
              <w:rPr>
                <w:rFonts w:ascii="Consolas" w:hAnsi="Consolas" w:eastAsia="Consolas"/>
                <w:sz w:val="16"/>
              </w:rPr>
              <w:t>totals</w:t>
            </w:r>
            <w:r>
              <w:rPr>
                <w:sz w:val="17"/>
              </w:rPr>
              <w:t xml:space="preserve"> = sums of debit and credit of the rows.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Reversed entries are omitted, so an edited voucher shows only its live entries.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The closing equals the account's trial-balance balance and the chart's balance for the same end date.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account, opening, openingNet, rows, closing, closingNet, totals. Screen with Dr/Cr balance.</w:t>
            </w:r>
          </w:p>
        </w:tc>
      </w:tr>
    </w:tbl>
    <w:p>
      <w:pPr>
        <w:spacing w:after="0" w:before="0"/>
        <w:rPr>
          <w:sz w:val="8"/>
        </w:rPr>
      </w:pPr>
    </w:p>
    <w:p>
      <w:pPr>
        <w:pStyle w:val="Heading2"/>
      </w:pPr>
      <w:r>
        <w:t>4.13 VAT return (FTA form VAT 201)</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VAT return</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What are the figures for each box of the UAE VAT return for a period, and do they agree with the VAT accounts?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VAT return (</w:t>
            </w:r>
            <w:r>
              <w:rPr>
                <w:rFonts w:ascii="Consolas" w:hAnsi="Consolas" w:eastAsia="Consolas"/>
                <w:sz w:val="16"/>
              </w:rPr>
              <w:t>/vat-reports</w:t>
            </w:r>
            <w:r>
              <w:rPr>
                <w:sz w:val="17"/>
              </w:rPr>
              <w:t>), tabs Return, Documents, Saved returns.</w:t>
            </w:r>
          </w:p>
          <w:p>
            <w:pPr>
              <w:spacing w:after="10" w:before="0" w:line="240" w:lineRule="auto"/>
            </w:pPr>
            <w:r>
              <w:rPr>
                <w:sz w:val="17"/>
              </w:rPr>
              <w:t xml:space="preserve">API: </w:t>
            </w:r>
            <w:r>
              <w:rPr>
                <w:rFonts w:ascii="Consolas" w:hAnsi="Consolas" w:eastAsia="Consolas"/>
                <w:sz w:val="16"/>
              </w:rPr>
              <w:t>GET /api/v1/vat-return/return?from=&amp;to=</w:t>
            </w:r>
            <w:r>
              <w:rPr>
                <w:sz w:val="17"/>
              </w:rPr>
              <w:t xml:space="preserve">; saved returns under </w:t>
            </w:r>
            <w:r>
              <w:rPr>
                <w:rFonts w:ascii="Consolas" w:hAnsi="Consolas" w:eastAsia="Consolas"/>
                <w:sz w:val="16"/>
              </w:rPr>
              <w:t>/api/v1/vat-return/returns</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Approved trade documents (invoices and returns, with their lines and header charges), approved ledger-based expense vouchers, and approved ledger-based debit and credit notes. Tax codes (kind). The company profile (emirate).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and </w:t>
            </w:r>
            <w:r>
              <w:rPr>
                <w:rFonts w:ascii="Consolas" w:hAnsi="Consolas" w:eastAsia="Consolas"/>
                <w:sz w:val="16"/>
              </w:rPr>
              <w:t>to</w:t>
            </w:r>
            <w:r>
              <w:rPr>
                <w:sz w:val="17"/>
              </w:rPr>
              <w:t xml:space="preserve"> are both required Dubai days, </w:t>
            </w:r>
            <w:r>
              <w:rPr>
                <w:rFonts w:ascii="Consolas" w:hAnsi="Consolas" w:eastAsia="Consolas"/>
                <w:sz w:val="16"/>
              </w:rPr>
              <w:t>from</w:t>
            </w:r>
            <w:r>
              <w:rPr>
                <w:sz w:val="17"/>
              </w:rPr>
              <w:t xml:space="preserve"> not after </w:t>
            </w:r>
            <w:r>
              <w:rPr>
                <w:rFonts w:ascii="Consolas" w:hAnsi="Consolas" w:eastAsia="Consolas"/>
                <w:sz w:val="16"/>
              </w:rPr>
              <w:t>to</w:t>
            </w:r>
            <w:r>
              <w:rPr>
                <w:sz w:val="17"/>
              </w:rPr>
              <w:t>. Documents are selected by their date.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b/>
                <w:sz w:val="17"/>
              </w:rPr>
              <w:t>1. Treatment of a line.</w:t>
            </w:r>
            <w:r>
              <w:rPr>
                <w:sz w:val="17"/>
              </w:rPr>
              <w:t xml:space="preserve"> </w:t>
            </w:r>
            <w:r>
              <w:rPr>
                <w:rFonts w:ascii="Consolas" w:hAnsi="Consolas" w:eastAsia="Consolas"/>
                <w:sz w:val="16"/>
              </w:rPr>
              <w:t>kind</w:t>
            </w:r>
            <w:r>
              <w:rPr>
                <w:sz w:val="17"/>
              </w:rPr>
              <w:t xml:space="preserve"> = the tax-code kind saved on the line when it was priced (</w:t>
            </w:r>
            <w:r>
              <w:rPr>
                <w:rFonts w:ascii="Consolas" w:hAnsi="Consolas" w:eastAsia="Consolas"/>
                <w:sz w:val="16"/>
              </w:rPr>
              <w:t>taxKind</w:t>
            </w:r>
            <w:r>
              <w:rPr>
                <w:sz w:val="17"/>
              </w:rPr>
              <w:t>); if none, 'standard' when the line has a VAT percent or amount above zero; otherwise 'unclassified'.</w:t>
            </w:r>
          </w:p>
          <w:p>
            <w:pPr>
              <w:spacing w:after="10" w:before="0" w:line="240" w:lineRule="auto"/>
            </w:pPr>
            <w:r>
              <w:rPr>
                <w:b/>
                <w:sz w:val="17"/>
              </w:rPr>
              <w:t>2. Taxable value of a line</w:t>
            </w:r>
            <w:r>
              <w:rPr>
                <w:sz w:val="17"/>
              </w:rPr>
              <w:t xml:space="preserve"> = </w:t>
            </w:r>
            <w:r>
              <w:rPr>
                <w:rFonts w:ascii="Consolas" w:hAnsi="Consolas" w:eastAsia="Consolas"/>
                <w:sz w:val="16"/>
              </w:rPr>
              <w:t>taxableAmount</w:t>
            </w:r>
            <w:r>
              <w:rPr>
                <w:sz w:val="17"/>
              </w:rPr>
              <w:t xml:space="preserve"> (the value after the line discount); if that and the VAT are zero, gross - discount; if still zero, quantity x price. Header charges: taxable = charge amount, kind 'standard' if the charge has VAT, otherwise 'unclassified'.</w:t>
            </w:r>
          </w:p>
          <w:p>
            <w:pPr>
              <w:spacing w:after="10" w:before="0" w:line="240" w:lineRule="auto"/>
            </w:pPr>
            <w:r>
              <w:rPr>
                <w:b/>
                <w:sz w:val="17"/>
              </w:rPr>
              <w:t>3. Direction and sign.</w:t>
            </w:r>
            <w:r>
              <w:rPr>
                <w:sz w:val="17"/>
              </w:rPr>
              <w:t xml:space="preserve"> Sales invoice +, sales return - (output). Purchase invoice +, purchase return - (input). Expense voucher + (input). Customer credit note - and customer debit note + (output); vendor debit note - and vendor credit note + (input). The taxable value and the VAT both take the sign, so a return or a note is </w:t>
            </w:r>
            <w:r>
              <w:rPr>
                <w:b/>
                <w:sz w:val="17"/>
              </w:rPr>
              <w:t>netted into the box of the supply it corrects</w:t>
            </w:r>
            <w:r>
              <w:rPr>
                <w:sz w:val="17"/>
              </w:rPr>
              <w:t>.</w:t>
            </w:r>
          </w:p>
          <w:p>
            <w:pPr>
              <w:spacing w:after="10" w:before="0" w:line="240" w:lineRule="auto"/>
            </w:pPr>
            <w:r>
              <w:rPr>
                <w:b/>
                <w:sz w:val="17"/>
              </w:rPr>
              <w:t>4. Reverse charge.</w:t>
            </w:r>
            <w:r>
              <w:rPr>
                <w:sz w:val="17"/>
              </w:rPr>
              <w:t xml:space="preserve"> For a line of kind reverse_charge the VAT counted is </w:t>
            </w:r>
            <w:r>
              <w:rPr>
                <w:rFonts w:ascii="Consolas" w:hAnsi="Consolas" w:eastAsia="Consolas"/>
                <w:sz w:val="16"/>
              </w:rPr>
              <w:t>rcmVat</w:t>
            </w:r>
            <w:r>
              <w:rPr>
                <w:sz w:val="17"/>
              </w:rPr>
              <w:t xml:space="preserve"> = round(|taxable| x percent / 100), using the line's percent, or 5 percent if the line has none; the line's own VAT is counted as zero.</w:t>
            </w:r>
          </w:p>
          <w:p>
            <w:pPr>
              <w:spacing w:after="10" w:before="0" w:line="240" w:lineRule="auto"/>
            </w:pPr>
            <w:r>
              <w:rPr>
                <w:b/>
                <w:sz w:val="17"/>
              </w:rPr>
              <w:t>5. Boxes</w:t>
            </w:r>
            <w:r>
              <w:rPr>
                <w:sz w:val="17"/>
              </w:rPr>
              <w:t xml:space="preserve"> (table below): each line adds its taxable value and VAT to one box, or to 'unclassified' or 'not reported'.</w:t>
            </w:r>
          </w:p>
          <w:p>
            <w:pPr>
              <w:spacing w:after="10" w:before="0" w:line="240" w:lineRule="auto"/>
            </w:pPr>
            <w:r>
              <w:rPr>
                <w:b/>
                <w:sz w:val="17"/>
              </w:rPr>
              <w:t>6. Totals.</w:t>
            </w:r>
            <w:r>
              <w:rPr>
                <w:sz w:val="17"/>
              </w:rPr>
              <w:t xml:space="preserve"> Box 8 = boxes 1a to 1g, 3, 4, 5. Box 11 = boxes 9 and 10. Box 12 = VAT of box 8. Box 13 = VAT of box 11. Box 14 = box 12 - box 13: payable if positive, refundable if negative.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b/>
                <w:sz w:val="17"/>
              </w:rPr>
              <w:t>Emirate rule.</w:t>
            </w:r>
            <w:r>
              <w:rPr>
                <w:sz w:val="17"/>
              </w:rPr>
              <w:t xml:space="preserve"> Standard-rated supplies are all placed in the one box 1a to 1g that matches the </w:t>
            </w:r>
            <w:r>
              <w:rPr>
                <w:b/>
                <w:sz w:val="17"/>
              </w:rPr>
              <w:t>company's own emirate</w:t>
            </w:r>
            <w:r>
              <w:rPr>
                <w:sz w:val="17"/>
              </w:rPr>
              <w:t xml:space="preserve"> (Settings &gt; company profile; 'Dubai', box 1b, if it is blank or not one of the seven). The code does not look at the customer's emirate or the place of supply.</w:t>
            </w:r>
          </w:p>
          <w:p>
            <w:pPr>
              <w:tabs>
                <w:tab w:pos="202" w:val="left"/>
              </w:tabs>
              <w:spacing w:after="10" w:before="0" w:line="240" w:lineRule="auto"/>
              <w:ind w:left="202" w:hanging="202"/>
            </w:pPr>
            <w:r>
              <w:rPr>
                <w:sz w:val="17"/>
              </w:rPr>
              <w:t>•</w:t>
              <w:tab/>
            </w:r>
            <w:r>
              <w:rPr>
                <w:b/>
                <w:sz w:val="17"/>
              </w:rPr>
              <w:t>Unclassified lines.</w:t>
            </w:r>
            <w:r>
              <w:rPr>
                <w:sz w:val="17"/>
              </w:rPr>
              <w:t xml:space="preserve"> A 0 percent line with no tax code is not guessed into zero-rated or exempt. It is counted, listed (up to 25 lines) and left out of every box.</w:t>
            </w:r>
          </w:p>
          <w:p>
            <w:pPr>
              <w:tabs>
                <w:tab w:pos="202" w:val="left"/>
              </w:tabs>
              <w:spacing w:after="10" w:before="0" w:line="240" w:lineRule="auto"/>
              <w:ind w:left="202" w:hanging="202"/>
            </w:pPr>
            <w:r>
              <w:rPr>
                <w:sz w:val="17"/>
              </w:rPr>
              <w:t>•</w:t>
              <w:tab/>
            </w:r>
            <w:r>
              <w:rPr>
                <w:b/>
                <w:sz w:val="17"/>
              </w:rPr>
              <w:t>Not reported.</w:t>
            </w:r>
            <w:r>
              <w:rPr>
                <w:sz w:val="17"/>
              </w:rPr>
              <w:t xml:space="preserve"> Out-of-scope lines (both directions) and zero-rated or exempt purchases appear in no box and are counted in 'not reported'.</w:t>
            </w:r>
          </w:p>
          <w:p>
            <w:pPr>
              <w:tabs>
                <w:tab w:pos="202" w:val="left"/>
              </w:tabs>
              <w:spacing w:after="10" w:before="0" w:line="240" w:lineRule="auto"/>
              <w:ind w:left="202" w:hanging="202"/>
            </w:pPr>
            <w:r>
              <w:rPr>
                <w:sz w:val="17"/>
              </w:rPr>
              <w:t>•</w:t>
              <w:tab/>
            </w:r>
            <w:r>
              <w:rPr>
                <w:b/>
                <w:sz w:val="17"/>
              </w:rPr>
              <w:t>Not tracked.</w:t>
            </w:r>
            <w:r>
              <w:rPr>
                <w:sz w:val="17"/>
              </w:rPr>
              <w:t xml:space="preserve"> Box 2 (tourist refunds), box 6 (goods imported) and box 7 (import adjustments) are listed as not tracked rather than shown as zero.</w:t>
            </w:r>
          </w:p>
          <w:p>
            <w:pPr>
              <w:tabs>
                <w:tab w:pos="202" w:val="left"/>
              </w:tabs>
              <w:spacing w:after="10" w:before="0" w:line="240" w:lineRule="auto"/>
              <w:ind w:left="202" w:hanging="202"/>
            </w:pPr>
            <w:r>
              <w:rPr>
                <w:sz w:val="17"/>
              </w:rPr>
              <w:t>•</w:t>
              <w:tab/>
            </w:r>
            <w:r>
              <w:rPr>
                <w:b/>
                <w:sz w:val="17"/>
              </w:rPr>
              <w:t>Excluded.</w:t>
            </w:r>
            <w:r>
              <w:rPr>
                <w:sz w:val="17"/>
              </w:rPr>
              <w:t xml:space="preserve"> Drafts, rejected and cancelled documents, opening invoices, and expense and note vouchers in the older (non-ledger) format.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r>
            <w:r>
              <w:rPr>
                <w:b/>
                <w:sz w:val="17"/>
              </w:rPr>
              <w:t>Reconciliation to the VAT accounts.</w:t>
            </w:r>
            <w:r>
              <w:rPr>
                <w:sz w:val="17"/>
              </w:rPr>
              <w:t xml:space="preserve"> Output VAT per documents = sum of the line VAT of output lines that are not reverse charge. Per ledger = credit - debit on the </w:t>
            </w:r>
            <w:r>
              <w:rPr>
                <w:rFonts w:ascii="Consolas" w:hAnsi="Consolas" w:eastAsia="Consolas"/>
                <w:sz w:val="16"/>
              </w:rPr>
              <w:t>vat-sales</w:t>
            </w:r>
            <w:r>
              <w:rPr>
                <w:sz w:val="17"/>
              </w:rPr>
              <w:t xml:space="preserve"> account in the period. Input VAT per documents = the same for input lines; per ledger = debit - credit on </w:t>
            </w:r>
            <w:r>
              <w:rPr>
                <w:rFonts w:ascii="Consolas" w:hAnsi="Consolas" w:eastAsia="Consolas"/>
                <w:sz w:val="16"/>
              </w:rPr>
              <w:t>vat-purchase</w:t>
            </w:r>
            <w:r>
              <w:rPr>
                <w:sz w:val="17"/>
              </w:rPr>
              <w:t>. Difference = documents - ledger; 'agrees' when its size is below 0.01.</w:t>
            </w:r>
          </w:p>
          <w:p>
            <w:pPr>
              <w:tabs>
                <w:tab w:pos="202" w:val="left"/>
              </w:tabs>
              <w:spacing w:after="10" w:before="0" w:line="240" w:lineRule="auto"/>
              <w:ind w:left="202" w:hanging="202"/>
            </w:pPr>
            <w:r>
              <w:rPr>
                <w:sz w:val="17"/>
              </w:rPr>
              <w:t>•</w:t>
              <w:tab/>
              <w:t>Typical causes of a difference: posting switched off for part of the period, a journal posted to a VAT account, a reverse-charge amount (reported but not posted), a document edited after a return was saved.</w:t>
            </w:r>
          </w:p>
          <w:p>
            <w:pPr>
              <w:tabs>
                <w:tab w:pos="202" w:val="left"/>
              </w:tabs>
              <w:spacing w:after="10" w:before="0" w:line="240" w:lineRule="auto"/>
              <w:ind w:left="202" w:hanging="202"/>
            </w:pPr>
            <w:r>
              <w:rPr>
                <w:sz w:val="17"/>
              </w:rPr>
              <w:t>•</w:t>
              <w:tab/>
              <w:t>Test: a hand-made credit of 7.00 on the output VAT account shows as a difference of -7.00 (vatReturn.test.js).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boxes[{box, label, amount, vat}], totals{outputVat, recoverableVat, netPayable}, unclassified{count, amount, vat, lines}, notReported, notTracked, reconciliation, emirate, currency. Screen: the box table with print and CSV.</w:t>
            </w:r>
          </w:p>
        </w:tc>
      </w:tr>
    </w:tbl>
    <w:p>
      <w:pPr>
        <w:spacing w:after="0" w:before="0"/>
        <w:rPr>
          <w:sz w:val="8"/>
        </w:rPr>
      </w:pPr>
    </w:p>
    <w:p>
      <w:pPr>
        <w:pStyle w:val="Caption"/>
      </w:pPr>
      <w:r>
        <w:t>Table 45. The boxes and the exact source of each (VatReturnService.compute)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018"/>
        <w:gridCol w:w="2910"/>
        <w:gridCol w:w="3929"/>
        <w:gridCol w:w="1746"/>
      </w:tblGrid>
      <w:tr>
        <w:trPr>
          <w:tblHeader w:val="true"/>
          <w:cantSplit w:val="true"/>
        </w:trPr>
        <w:tc>
          <w:tcPr>
            <w:tcW w:type="dxa" w:w="1019"/>
            <w:shd w:val="clear" w:color="auto" w:fill="1F3A5F"/>
            <w:tcMar>
              <w:top w:w="20" w:type="dxa"/>
              <w:left w:w="60" w:type="dxa"/>
              <w:bottom w:w="20" w:type="dxa"/>
              <w:right w:w="60" w:type="dxa"/>
            </w:tcMar>
            <w:vAlign w:val="center"/>
          </w:tcPr>
          <w:p>
            <w:pPr>
              <w:spacing w:after="10" w:before="0" w:line="240" w:lineRule="auto"/>
            </w:pPr>
            <w:r>
              <w:rPr>
                <w:b/>
                <w:color w:val="FFFFFF"/>
                <w:sz w:val="17"/>
              </w:rPr>
              <w:t>Box</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Label</w:t>
            </w:r>
          </w:p>
        </w:tc>
        <w:tc>
          <w:tcPr>
            <w:tcW w:type="dxa" w:w="3929"/>
            <w:shd w:val="clear" w:color="auto" w:fill="1F3A5F"/>
            <w:tcMar>
              <w:top w:w="20" w:type="dxa"/>
              <w:left w:w="60" w:type="dxa"/>
              <w:bottom w:w="20" w:type="dxa"/>
              <w:right w:w="60" w:type="dxa"/>
            </w:tcMar>
            <w:vAlign w:val="center"/>
          </w:tcPr>
          <w:p>
            <w:pPr>
              <w:spacing w:after="10" w:before="0" w:line="240" w:lineRule="auto"/>
            </w:pPr>
            <w:r>
              <w:rPr>
                <w:b/>
                <w:color w:val="FFFFFF"/>
                <w:sz w:val="17"/>
              </w:rPr>
              <w:t>Amount column (value without VAT)</w:t>
            </w:r>
          </w:p>
        </w:tc>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VAT column</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1a</w:t>
            </w:r>
          </w:p>
        </w:tc>
        <w:tc>
          <w:tcPr>
            <w:tcW w:type="dxa" w:w="2911"/>
            <w:tcMar>
              <w:top w:w="20" w:type="dxa"/>
              <w:left w:w="60" w:type="dxa"/>
              <w:bottom w:w="20" w:type="dxa"/>
              <w:right w:w="60" w:type="dxa"/>
            </w:tcMar>
            <w:vAlign w:val="top"/>
          </w:tcPr>
          <w:p>
            <w:pPr>
              <w:spacing w:after="10" w:before="0" w:line="240" w:lineRule="auto"/>
            </w:pPr>
            <w:r>
              <w:rPr>
                <w:sz w:val="17"/>
              </w:rPr>
              <w:t>Standard-rated supplies in Abu Dhabi</w:t>
            </w:r>
          </w:p>
        </w:tc>
        <w:tc>
          <w:tcPr>
            <w:tcW w:type="dxa" w:w="3929"/>
            <w:tcMar>
              <w:top w:w="20" w:type="dxa"/>
              <w:left w:w="60" w:type="dxa"/>
              <w:bottom w:w="20" w:type="dxa"/>
              <w:right w:w="60" w:type="dxa"/>
            </w:tcMar>
            <w:vAlign w:val="top"/>
          </w:tcPr>
          <w:p>
            <w:pPr>
              <w:spacing w:after="10" w:before="0" w:line="240" w:lineRule="auto"/>
            </w:pPr>
            <w:r>
              <w:rPr>
                <w:sz w:val="17"/>
              </w:rPr>
              <w:t>Output standard-rated taxable value, only if the company's emirate is Abu Dhabi</w:t>
            </w:r>
          </w:p>
        </w:tc>
        <w:tc>
          <w:tcPr>
            <w:tcW w:type="dxa" w:w="1746"/>
            <w:tcMar>
              <w:top w:w="20" w:type="dxa"/>
              <w:left w:w="60" w:type="dxa"/>
              <w:bottom w:w="20" w:type="dxa"/>
              <w:right w:w="60" w:type="dxa"/>
            </w:tcMar>
            <w:vAlign w:val="top"/>
          </w:tcPr>
          <w:p>
            <w:pPr>
              <w:spacing w:after="10" w:before="0" w:line="240" w:lineRule="auto"/>
            </w:pPr>
            <w:r>
              <w:rPr>
                <w:sz w:val="17"/>
              </w:rPr>
              <w:t>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1b</w:t>
            </w:r>
          </w:p>
        </w:tc>
        <w:tc>
          <w:tcPr>
            <w:tcW w:type="dxa" w:w="2911"/>
            <w:tcMar>
              <w:top w:w="20" w:type="dxa"/>
              <w:left w:w="60" w:type="dxa"/>
              <w:bottom w:w="20" w:type="dxa"/>
              <w:right w:w="60" w:type="dxa"/>
            </w:tcMar>
            <w:vAlign w:val="top"/>
          </w:tcPr>
          <w:p>
            <w:pPr>
              <w:spacing w:after="10" w:before="0" w:line="240" w:lineRule="auto"/>
            </w:pPr>
            <w:r>
              <w:rPr>
                <w:sz w:val="17"/>
              </w:rPr>
              <w:t>Standard-rated supplies in Dubai</w:t>
            </w:r>
          </w:p>
        </w:tc>
        <w:tc>
          <w:tcPr>
            <w:tcW w:type="dxa" w:w="3929"/>
            <w:tcMar>
              <w:top w:w="20" w:type="dxa"/>
              <w:left w:w="60" w:type="dxa"/>
              <w:bottom w:w="20" w:type="dxa"/>
              <w:right w:w="60" w:type="dxa"/>
            </w:tcMar>
            <w:vAlign w:val="top"/>
          </w:tcPr>
          <w:p>
            <w:pPr>
              <w:spacing w:after="10" w:before="0" w:line="240" w:lineRule="auto"/>
            </w:pPr>
            <w:r>
              <w:rPr>
                <w:sz w:val="17"/>
              </w:rPr>
              <w:t>As 1a, when the emirate is Dubai (also the default)</w:t>
            </w:r>
          </w:p>
        </w:tc>
        <w:tc>
          <w:tcPr>
            <w:tcW w:type="dxa" w:w="1746"/>
            <w:tcMar>
              <w:top w:w="20" w:type="dxa"/>
              <w:left w:w="60" w:type="dxa"/>
              <w:bottom w:w="20" w:type="dxa"/>
              <w:right w:w="60" w:type="dxa"/>
            </w:tcMar>
            <w:vAlign w:val="top"/>
          </w:tcPr>
          <w:p>
            <w:pPr>
              <w:spacing w:after="10" w:before="0" w:line="240" w:lineRule="auto"/>
            </w:pPr>
            <w:r>
              <w:rPr>
                <w:sz w:val="17"/>
              </w:rPr>
              <w:t>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1c, 1d</w:t>
            </w:r>
          </w:p>
        </w:tc>
        <w:tc>
          <w:tcPr>
            <w:tcW w:type="dxa" w:w="2911"/>
            <w:tcMar>
              <w:top w:w="20" w:type="dxa"/>
              <w:left w:w="60" w:type="dxa"/>
              <w:bottom w:w="20" w:type="dxa"/>
              <w:right w:w="60" w:type="dxa"/>
            </w:tcMar>
            <w:vAlign w:val="top"/>
          </w:tcPr>
          <w:p>
            <w:pPr>
              <w:spacing w:after="10" w:before="0" w:line="240" w:lineRule="auto"/>
            </w:pPr>
            <w:r>
              <w:rPr>
                <w:sz w:val="17"/>
              </w:rPr>
              <w:t>Sharjah, Ajman</w:t>
            </w:r>
          </w:p>
        </w:tc>
        <w:tc>
          <w:tcPr>
            <w:tcW w:type="dxa" w:w="3929"/>
            <w:tcMar>
              <w:top w:w="20" w:type="dxa"/>
              <w:left w:w="60" w:type="dxa"/>
              <w:bottom w:w="20" w:type="dxa"/>
              <w:right w:w="60" w:type="dxa"/>
            </w:tcMar>
            <w:vAlign w:val="top"/>
          </w:tcPr>
          <w:p>
            <w:pPr>
              <w:spacing w:after="10" w:before="0" w:line="240" w:lineRule="auto"/>
            </w:pPr>
            <w:r>
              <w:rPr>
                <w:sz w:val="17"/>
              </w:rPr>
              <w:t>As 1a, for that emirate</w:t>
            </w:r>
          </w:p>
        </w:tc>
        <w:tc>
          <w:tcPr>
            <w:tcW w:type="dxa" w:w="1746"/>
            <w:tcMar>
              <w:top w:w="20" w:type="dxa"/>
              <w:left w:w="60" w:type="dxa"/>
              <w:bottom w:w="20" w:type="dxa"/>
              <w:right w:w="60" w:type="dxa"/>
            </w:tcMar>
            <w:vAlign w:val="top"/>
          </w:tcPr>
          <w:p>
            <w:pPr>
              <w:spacing w:after="10" w:before="0" w:line="240" w:lineRule="auto"/>
            </w:pPr>
            <w:r>
              <w:rPr>
                <w:sz w:val="17"/>
              </w:rPr>
              <w:t>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1e, 1f, 1g</w:t>
            </w:r>
          </w:p>
        </w:tc>
        <w:tc>
          <w:tcPr>
            <w:tcW w:type="dxa" w:w="2911"/>
            <w:tcMar>
              <w:top w:w="20" w:type="dxa"/>
              <w:left w:w="60" w:type="dxa"/>
              <w:bottom w:w="20" w:type="dxa"/>
              <w:right w:w="60" w:type="dxa"/>
            </w:tcMar>
            <w:vAlign w:val="top"/>
          </w:tcPr>
          <w:p>
            <w:pPr>
              <w:spacing w:after="10" w:before="0" w:line="240" w:lineRule="auto"/>
            </w:pPr>
            <w:r>
              <w:rPr>
                <w:sz w:val="17"/>
              </w:rPr>
              <w:t>Umm Al Quwain, Ras Al Khaimah, Fujairah</w:t>
            </w:r>
          </w:p>
        </w:tc>
        <w:tc>
          <w:tcPr>
            <w:tcW w:type="dxa" w:w="3929"/>
            <w:tcMar>
              <w:top w:w="20" w:type="dxa"/>
              <w:left w:w="60" w:type="dxa"/>
              <w:bottom w:w="20" w:type="dxa"/>
              <w:right w:w="60" w:type="dxa"/>
            </w:tcMar>
            <w:vAlign w:val="top"/>
          </w:tcPr>
          <w:p>
            <w:pPr>
              <w:spacing w:after="10" w:before="0" w:line="240" w:lineRule="auto"/>
            </w:pPr>
            <w:r>
              <w:rPr>
                <w:sz w:val="17"/>
              </w:rPr>
              <w:t>As 1a, for that emirate</w:t>
            </w:r>
          </w:p>
        </w:tc>
        <w:tc>
          <w:tcPr>
            <w:tcW w:type="dxa" w:w="1746"/>
            <w:tcMar>
              <w:top w:w="20" w:type="dxa"/>
              <w:left w:w="60" w:type="dxa"/>
              <w:bottom w:w="20" w:type="dxa"/>
              <w:right w:w="60" w:type="dxa"/>
            </w:tcMar>
            <w:vAlign w:val="top"/>
          </w:tcPr>
          <w:p>
            <w:pPr>
              <w:spacing w:after="10" w:before="0" w:line="240" w:lineRule="auto"/>
            </w:pPr>
            <w:r>
              <w:rPr>
                <w:sz w:val="17"/>
              </w:rPr>
              <w:t>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3</w:t>
            </w:r>
          </w:p>
        </w:tc>
        <w:tc>
          <w:tcPr>
            <w:tcW w:type="dxa" w:w="2911"/>
            <w:tcMar>
              <w:top w:w="20" w:type="dxa"/>
              <w:left w:w="60" w:type="dxa"/>
              <w:bottom w:w="20" w:type="dxa"/>
              <w:right w:w="60" w:type="dxa"/>
            </w:tcMar>
            <w:vAlign w:val="top"/>
          </w:tcPr>
          <w:p>
            <w:pPr>
              <w:spacing w:after="10" w:before="0" w:line="240" w:lineRule="auto"/>
            </w:pPr>
            <w:r>
              <w:rPr>
                <w:sz w:val="17"/>
              </w:rPr>
              <w:t>Supplies subject to the reverse charge</w:t>
            </w:r>
          </w:p>
        </w:tc>
        <w:tc>
          <w:tcPr>
            <w:tcW w:type="dxa" w:w="3929"/>
            <w:tcMar>
              <w:top w:w="20" w:type="dxa"/>
              <w:left w:w="60" w:type="dxa"/>
              <w:bottom w:w="20" w:type="dxa"/>
              <w:right w:w="60" w:type="dxa"/>
            </w:tcMar>
            <w:vAlign w:val="top"/>
          </w:tcPr>
          <w:p>
            <w:pPr>
              <w:spacing w:after="10" w:before="0" w:line="240" w:lineRule="auto"/>
            </w:pPr>
            <w:r>
              <w:rPr>
                <w:sz w:val="17"/>
              </w:rPr>
              <w:t>Taxable value of reverse-charge lines, output and input</w:t>
            </w:r>
          </w:p>
        </w:tc>
        <w:tc>
          <w:tcPr>
            <w:tcW w:type="dxa" w:w="1746"/>
            <w:tcMar>
              <w:top w:w="20" w:type="dxa"/>
              <w:left w:w="60" w:type="dxa"/>
              <w:bottom w:w="20" w:type="dxa"/>
              <w:right w:w="60" w:type="dxa"/>
            </w:tcMar>
            <w:vAlign w:val="top"/>
          </w:tcPr>
          <w:p>
            <w:pPr>
              <w:spacing w:after="10" w:before="0" w:line="240" w:lineRule="auto"/>
            </w:pPr>
            <w:r>
              <w:rPr>
                <w:rFonts w:ascii="Consolas" w:hAnsi="Consolas" w:eastAsia="Consolas"/>
                <w:sz w:val="16"/>
              </w:rPr>
              <w:t>rcmVat</w:t>
            </w:r>
            <w:r>
              <w:rPr>
                <w:sz w:val="17"/>
              </w:rPr>
              <w:t xml:space="preserve"> of those lines</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4</w:t>
            </w:r>
          </w:p>
        </w:tc>
        <w:tc>
          <w:tcPr>
            <w:tcW w:type="dxa" w:w="2911"/>
            <w:tcMar>
              <w:top w:w="20" w:type="dxa"/>
              <w:left w:w="60" w:type="dxa"/>
              <w:bottom w:w="20" w:type="dxa"/>
              <w:right w:w="60" w:type="dxa"/>
            </w:tcMar>
            <w:vAlign w:val="top"/>
          </w:tcPr>
          <w:p>
            <w:pPr>
              <w:spacing w:after="10" w:before="0" w:line="240" w:lineRule="auto"/>
            </w:pPr>
            <w:r>
              <w:rPr>
                <w:sz w:val="17"/>
              </w:rPr>
              <w:t>Zero-rated supplies</w:t>
            </w:r>
          </w:p>
        </w:tc>
        <w:tc>
          <w:tcPr>
            <w:tcW w:type="dxa" w:w="3929"/>
            <w:tcMar>
              <w:top w:w="20" w:type="dxa"/>
              <w:left w:w="60" w:type="dxa"/>
              <w:bottom w:w="20" w:type="dxa"/>
              <w:right w:w="60" w:type="dxa"/>
            </w:tcMar>
            <w:vAlign w:val="top"/>
          </w:tcPr>
          <w:p>
            <w:pPr>
              <w:spacing w:after="10" w:before="0" w:line="240" w:lineRule="auto"/>
            </w:pPr>
            <w:r>
              <w:rPr>
                <w:sz w:val="17"/>
              </w:rPr>
              <w:t>Output zero_rated taxable value</w:t>
            </w:r>
          </w:p>
        </w:tc>
        <w:tc>
          <w:tcPr>
            <w:tcW w:type="dxa" w:w="1746"/>
            <w:tcMar>
              <w:top w:w="20" w:type="dxa"/>
              <w:left w:w="60" w:type="dxa"/>
              <w:bottom w:w="20" w:type="dxa"/>
              <w:right w:w="60" w:type="dxa"/>
            </w:tcMar>
            <w:vAlign w:val="top"/>
          </w:tcPr>
          <w:p>
            <w:pPr>
              <w:spacing w:after="10" w:before="0" w:line="240" w:lineRule="auto"/>
            </w:pPr>
            <w:r>
              <w:rPr>
                <w:sz w:val="17"/>
              </w:rPr>
              <w:t>0</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5</w:t>
            </w:r>
          </w:p>
        </w:tc>
        <w:tc>
          <w:tcPr>
            <w:tcW w:type="dxa" w:w="2911"/>
            <w:tcMar>
              <w:top w:w="20" w:type="dxa"/>
              <w:left w:w="60" w:type="dxa"/>
              <w:bottom w:w="20" w:type="dxa"/>
              <w:right w:w="60" w:type="dxa"/>
            </w:tcMar>
            <w:vAlign w:val="top"/>
          </w:tcPr>
          <w:p>
            <w:pPr>
              <w:spacing w:after="10" w:before="0" w:line="240" w:lineRule="auto"/>
            </w:pPr>
            <w:r>
              <w:rPr>
                <w:sz w:val="17"/>
              </w:rPr>
              <w:t>Exempt supplies</w:t>
            </w:r>
          </w:p>
        </w:tc>
        <w:tc>
          <w:tcPr>
            <w:tcW w:type="dxa" w:w="3929"/>
            <w:tcMar>
              <w:top w:w="20" w:type="dxa"/>
              <w:left w:w="60" w:type="dxa"/>
              <w:bottom w:w="20" w:type="dxa"/>
              <w:right w:w="60" w:type="dxa"/>
            </w:tcMar>
            <w:vAlign w:val="top"/>
          </w:tcPr>
          <w:p>
            <w:pPr>
              <w:spacing w:after="10" w:before="0" w:line="240" w:lineRule="auto"/>
            </w:pPr>
            <w:r>
              <w:rPr>
                <w:sz w:val="17"/>
              </w:rPr>
              <w:t>Output exempt taxable value</w:t>
            </w:r>
          </w:p>
        </w:tc>
        <w:tc>
          <w:tcPr>
            <w:tcW w:type="dxa" w:w="1746"/>
            <w:tcMar>
              <w:top w:w="20" w:type="dxa"/>
              <w:left w:w="60" w:type="dxa"/>
              <w:bottom w:w="20" w:type="dxa"/>
              <w:right w:w="60" w:type="dxa"/>
            </w:tcMar>
            <w:vAlign w:val="top"/>
          </w:tcPr>
          <w:p>
            <w:pPr>
              <w:spacing w:after="10" w:before="0" w:line="240" w:lineRule="auto"/>
            </w:pPr>
            <w:r>
              <w:rPr>
                <w:sz w:val="17"/>
              </w:rPr>
              <w:t>0</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8</w:t>
            </w:r>
          </w:p>
        </w:tc>
        <w:tc>
          <w:tcPr>
            <w:tcW w:type="dxa" w:w="2911"/>
            <w:tcMar>
              <w:top w:w="20" w:type="dxa"/>
              <w:left w:w="60" w:type="dxa"/>
              <w:bottom w:w="20" w:type="dxa"/>
              <w:right w:w="60" w:type="dxa"/>
            </w:tcMar>
            <w:vAlign w:val="top"/>
          </w:tcPr>
          <w:p>
            <w:pPr>
              <w:spacing w:after="10" w:before="0" w:line="240" w:lineRule="auto"/>
            </w:pPr>
            <w:r>
              <w:rPr>
                <w:sz w:val="17"/>
              </w:rPr>
              <w:t>Total supplies</w:t>
            </w:r>
          </w:p>
        </w:tc>
        <w:tc>
          <w:tcPr>
            <w:tcW w:type="dxa" w:w="3929"/>
            <w:tcMar>
              <w:top w:w="20" w:type="dxa"/>
              <w:left w:w="60" w:type="dxa"/>
              <w:bottom w:w="20" w:type="dxa"/>
              <w:right w:w="60" w:type="dxa"/>
            </w:tcMar>
            <w:vAlign w:val="top"/>
          </w:tcPr>
          <w:p>
            <w:pPr>
              <w:spacing w:after="10" w:before="0" w:line="240" w:lineRule="auto"/>
            </w:pPr>
            <w:r>
              <w:rPr>
                <w:sz w:val="17"/>
              </w:rPr>
              <w:t>Sum of 1a to 1g, 3, 4, 5</w:t>
            </w:r>
          </w:p>
        </w:tc>
        <w:tc>
          <w:tcPr>
            <w:tcW w:type="dxa" w:w="1746"/>
            <w:tcMar>
              <w:top w:w="20" w:type="dxa"/>
              <w:left w:w="60" w:type="dxa"/>
              <w:bottom w:w="20" w:type="dxa"/>
              <w:right w:w="60" w:type="dxa"/>
            </w:tcMar>
            <w:vAlign w:val="top"/>
          </w:tcPr>
          <w:p>
            <w:pPr>
              <w:spacing w:after="10" w:before="0" w:line="240" w:lineRule="auto"/>
            </w:pPr>
            <w:r>
              <w:rPr>
                <w:sz w:val="17"/>
              </w:rPr>
              <w:t>Sum of 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9</w:t>
            </w:r>
          </w:p>
        </w:tc>
        <w:tc>
          <w:tcPr>
            <w:tcW w:type="dxa" w:w="2911"/>
            <w:tcMar>
              <w:top w:w="20" w:type="dxa"/>
              <w:left w:w="60" w:type="dxa"/>
              <w:bottom w:w="20" w:type="dxa"/>
              <w:right w:w="60" w:type="dxa"/>
            </w:tcMar>
            <w:vAlign w:val="top"/>
          </w:tcPr>
          <w:p>
            <w:pPr>
              <w:spacing w:after="10" w:before="0" w:line="240" w:lineRule="auto"/>
            </w:pPr>
            <w:r>
              <w:rPr>
                <w:sz w:val="17"/>
              </w:rPr>
              <w:t>Standard-rated expenses</w:t>
            </w:r>
          </w:p>
        </w:tc>
        <w:tc>
          <w:tcPr>
            <w:tcW w:type="dxa" w:w="3929"/>
            <w:tcMar>
              <w:top w:w="20" w:type="dxa"/>
              <w:left w:w="60" w:type="dxa"/>
              <w:bottom w:w="20" w:type="dxa"/>
              <w:right w:w="60" w:type="dxa"/>
            </w:tcMar>
            <w:vAlign w:val="top"/>
          </w:tcPr>
          <w:p>
            <w:pPr>
              <w:spacing w:after="10" w:before="0" w:line="240" w:lineRule="auto"/>
            </w:pPr>
            <w:r>
              <w:rPr>
                <w:sz w:val="17"/>
              </w:rPr>
              <w:t>Input standard taxable value (purchases, expenses, vendor notes)</w:t>
            </w:r>
          </w:p>
        </w:tc>
        <w:tc>
          <w:tcPr>
            <w:tcW w:type="dxa" w:w="1746"/>
            <w:tcMar>
              <w:top w:w="20" w:type="dxa"/>
              <w:left w:w="60" w:type="dxa"/>
              <w:bottom w:w="20" w:type="dxa"/>
              <w:right w:w="60" w:type="dxa"/>
            </w:tcMar>
            <w:vAlign w:val="top"/>
          </w:tcPr>
          <w:p>
            <w:pPr>
              <w:spacing w:after="10" w:before="0" w:line="240" w:lineRule="auto"/>
            </w:pPr>
            <w:r>
              <w:rPr>
                <w:sz w:val="17"/>
              </w:rPr>
              <w:t>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10</w:t>
            </w:r>
          </w:p>
        </w:tc>
        <w:tc>
          <w:tcPr>
            <w:tcW w:type="dxa" w:w="2911"/>
            <w:tcMar>
              <w:top w:w="20" w:type="dxa"/>
              <w:left w:w="60" w:type="dxa"/>
              <w:bottom w:w="20" w:type="dxa"/>
              <w:right w:w="60" w:type="dxa"/>
            </w:tcMar>
            <w:vAlign w:val="top"/>
          </w:tcPr>
          <w:p>
            <w:pPr>
              <w:spacing w:after="10" w:before="0" w:line="240" w:lineRule="auto"/>
            </w:pPr>
            <w:r>
              <w:rPr>
                <w:sz w:val="17"/>
              </w:rPr>
              <w:t>Expenses subject to the reverse charge</w:t>
            </w:r>
          </w:p>
        </w:tc>
        <w:tc>
          <w:tcPr>
            <w:tcW w:type="dxa" w:w="3929"/>
            <w:tcMar>
              <w:top w:w="20" w:type="dxa"/>
              <w:left w:w="60" w:type="dxa"/>
              <w:bottom w:w="20" w:type="dxa"/>
              <w:right w:w="60" w:type="dxa"/>
            </w:tcMar>
            <w:vAlign w:val="top"/>
          </w:tcPr>
          <w:p>
            <w:pPr>
              <w:spacing w:after="10" w:before="0" w:line="240" w:lineRule="auto"/>
            </w:pPr>
            <w:r>
              <w:rPr>
                <w:sz w:val="17"/>
              </w:rPr>
              <w:t>Input reverse_charge taxable value</w:t>
            </w:r>
          </w:p>
        </w:tc>
        <w:tc>
          <w:tcPr>
            <w:tcW w:type="dxa" w:w="1746"/>
            <w:tcMar>
              <w:top w:w="20" w:type="dxa"/>
              <w:left w:w="60" w:type="dxa"/>
              <w:bottom w:w="20" w:type="dxa"/>
              <w:right w:w="60" w:type="dxa"/>
            </w:tcMar>
            <w:vAlign w:val="top"/>
          </w:tcPr>
          <w:p>
            <w:pPr>
              <w:spacing w:after="10" w:before="0" w:line="240" w:lineRule="auto"/>
            </w:pPr>
            <w:r>
              <w:rPr>
                <w:rFonts w:ascii="Consolas" w:hAnsi="Consolas" w:eastAsia="Consolas"/>
                <w:sz w:val="16"/>
              </w:rPr>
              <w:t>rcmVat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11</w:t>
            </w:r>
          </w:p>
        </w:tc>
        <w:tc>
          <w:tcPr>
            <w:tcW w:type="dxa" w:w="2911"/>
            <w:tcMar>
              <w:top w:w="20" w:type="dxa"/>
              <w:left w:w="60" w:type="dxa"/>
              <w:bottom w:w="20" w:type="dxa"/>
              <w:right w:w="60" w:type="dxa"/>
            </w:tcMar>
            <w:vAlign w:val="top"/>
          </w:tcPr>
          <w:p>
            <w:pPr>
              <w:spacing w:after="10" w:before="0" w:line="240" w:lineRule="auto"/>
            </w:pPr>
            <w:r>
              <w:rPr>
                <w:sz w:val="17"/>
              </w:rPr>
              <w:t>Total expenses</w:t>
            </w:r>
          </w:p>
        </w:tc>
        <w:tc>
          <w:tcPr>
            <w:tcW w:type="dxa" w:w="3929"/>
            <w:tcMar>
              <w:top w:w="20" w:type="dxa"/>
              <w:left w:w="60" w:type="dxa"/>
              <w:bottom w:w="20" w:type="dxa"/>
              <w:right w:w="60" w:type="dxa"/>
            </w:tcMar>
            <w:vAlign w:val="top"/>
          </w:tcPr>
          <w:p>
            <w:pPr>
              <w:spacing w:after="10" w:before="0" w:line="240" w:lineRule="auto"/>
            </w:pPr>
            <w:r>
              <w:rPr>
                <w:sz w:val="17"/>
              </w:rPr>
              <w:t>Sum of 9 and 10</w:t>
            </w:r>
          </w:p>
        </w:tc>
        <w:tc>
          <w:tcPr>
            <w:tcW w:type="dxa" w:w="1746"/>
            <w:tcMar>
              <w:top w:w="20" w:type="dxa"/>
              <w:left w:w="60" w:type="dxa"/>
              <w:bottom w:w="20" w:type="dxa"/>
              <w:right w:w="60" w:type="dxa"/>
            </w:tcMar>
            <w:vAlign w:val="top"/>
          </w:tcPr>
          <w:p>
            <w:pPr>
              <w:spacing w:after="10" w:before="0" w:line="240" w:lineRule="auto"/>
            </w:pPr>
            <w:r>
              <w:rPr>
                <w:sz w:val="17"/>
              </w:rPr>
              <w:t>Sum of their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12</w:t>
            </w:r>
          </w:p>
        </w:tc>
        <w:tc>
          <w:tcPr>
            <w:tcW w:type="dxa" w:w="2911"/>
            <w:tcMar>
              <w:top w:w="20" w:type="dxa"/>
              <w:left w:w="60" w:type="dxa"/>
              <w:bottom w:w="20" w:type="dxa"/>
              <w:right w:w="60" w:type="dxa"/>
            </w:tcMar>
            <w:vAlign w:val="top"/>
          </w:tcPr>
          <w:p>
            <w:pPr>
              <w:spacing w:after="10" w:before="0" w:line="240" w:lineRule="auto"/>
            </w:pPr>
            <w:r>
              <w:rPr>
                <w:sz w:val="17"/>
              </w:rPr>
              <w:t>Total VAT due</w:t>
            </w:r>
          </w:p>
        </w:tc>
        <w:tc>
          <w:tcPr>
            <w:tcW w:type="dxa" w:w="3929"/>
            <w:tcMar>
              <w:top w:w="20" w:type="dxa"/>
              <w:left w:w="60" w:type="dxa"/>
              <w:bottom w:w="20" w:type="dxa"/>
              <w:right w:w="60" w:type="dxa"/>
            </w:tcMar>
            <w:vAlign w:val="top"/>
          </w:tcPr>
          <w:p>
            <w:pPr>
              <w:spacing w:after="10" w:before="0" w:line="240" w:lineRule="auto"/>
            </w:pPr>
            <w:r>
              <w:rPr>
                <w:sz w:val="17"/>
              </w:rPr>
              <w:t>none</w:t>
            </w:r>
          </w:p>
        </w:tc>
        <w:tc>
          <w:tcPr>
            <w:tcW w:type="dxa" w:w="1746"/>
            <w:tcMar>
              <w:top w:w="20" w:type="dxa"/>
              <w:left w:w="60" w:type="dxa"/>
              <w:bottom w:w="20" w:type="dxa"/>
              <w:right w:w="60" w:type="dxa"/>
            </w:tcMar>
            <w:vAlign w:val="top"/>
          </w:tcPr>
          <w:p>
            <w:pPr>
              <w:spacing w:after="10" w:before="0" w:line="240" w:lineRule="auto"/>
            </w:pPr>
            <w:r>
              <w:rPr>
                <w:sz w:val="17"/>
              </w:rPr>
              <w:t>Box 8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13</w:t>
            </w:r>
          </w:p>
        </w:tc>
        <w:tc>
          <w:tcPr>
            <w:tcW w:type="dxa" w:w="2911"/>
            <w:tcMar>
              <w:top w:w="20" w:type="dxa"/>
              <w:left w:w="60" w:type="dxa"/>
              <w:bottom w:w="20" w:type="dxa"/>
              <w:right w:w="60" w:type="dxa"/>
            </w:tcMar>
            <w:vAlign w:val="top"/>
          </w:tcPr>
          <w:p>
            <w:pPr>
              <w:spacing w:after="10" w:before="0" w:line="240" w:lineRule="auto"/>
            </w:pPr>
            <w:r>
              <w:rPr>
                <w:sz w:val="17"/>
              </w:rPr>
              <w:t>Recoverable input VAT</w:t>
            </w:r>
          </w:p>
        </w:tc>
        <w:tc>
          <w:tcPr>
            <w:tcW w:type="dxa" w:w="3929"/>
            <w:tcMar>
              <w:top w:w="20" w:type="dxa"/>
              <w:left w:w="60" w:type="dxa"/>
              <w:bottom w:w="20" w:type="dxa"/>
              <w:right w:w="60" w:type="dxa"/>
            </w:tcMar>
            <w:vAlign w:val="top"/>
          </w:tcPr>
          <w:p>
            <w:pPr>
              <w:spacing w:after="10" w:before="0" w:line="240" w:lineRule="auto"/>
            </w:pPr>
            <w:r>
              <w:rPr>
                <w:sz w:val="17"/>
              </w:rPr>
              <w:t>none</w:t>
            </w:r>
          </w:p>
        </w:tc>
        <w:tc>
          <w:tcPr>
            <w:tcW w:type="dxa" w:w="1746"/>
            <w:tcMar>
              <w:top w:w="20" w:type="dxa"/>
              <w:left w:w="60" w:type="dxa"/>
              <w:bottom w:w="20" w:type="dxa"/>
              <w:right w:w="60" w:type="dxa"/>
            </w:tcMar>
            <w:vAlign w:val="top"/>
          </w:tcPr>
          <w:p>
            <w:pPr>
              <w:spacing w:after="10" w:before="0" w:line="240" w:lineRule="auto"/>
            </w:pPr>
            <w:r>
              <w:rPr>
                <w:sz w:val="17"/>
              </w:rPr>
              <w:t>Box 11 VAT</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14</w:t>
            </w:r>
          </w:p>
        </w:tc>
        <w:tc>
          <w:tcPr>
            <w:tcW w:type="dxa" w:w="2911"/>
            <w:tcMar>
              <w:top w:w="20" w:type="dxa"/>
              <w:left w:w="60" w:type="dxa"/>
              <w:bottom w:w="20" w:type="dxa"/>
              <w:right w:w="60" w:type="dxa"/>
            </w:tcMar>
            <w:vAlign w:val="top"/>
          </w:tcPr>
          <w:p>
            <w:pPr>
              <w:spacing w:after="10" w:before="0" w:line="240" w:lineRule="auto"/>
            </w:pPr>
            <w:r>
              <w:rPr>
                <w:sz w:val="17"/>
              </w:rPr>
              <w:t>Net VAT payable or refundable</w:t>
            </w:r>
          </w:p>
        </w:tc>
        <w:tc>
          <w:tcPr>
            <w:tcW w:type="dxa" w:w="3929"/>
            <w:tcMar>
              <w:top w:w="20" w:type="dxa"/>
              <w:left w:w="60" w:type="dxa"/>
              <w:bottom w:w="20" w:type="dxa"/>
              <w:right w:w="60" w:type="dxa"/>
            </w:tcMar>
            <w:vAlign w:val="top"/>
          </w:tcPr>
          <w:p>
            <w:pPr>
              <w:spacing w:after="10" w:before="0" w:line="240" w:lineRule="auto"/>
            </w:pPr>
            <w:r>
              <w:rPr>
                <w:sz w:val="17"/>
              </w:rPr>
              <w:t>none</w:t>
            </w:r>
          </w:p>
        </w:tc>
        <w:tc>
          <w:tcPr>
            <w:tcW w:type="dxa" w:w="1746"/>
            <w:tcMar>
              <w:top w:w="20" w:type="dxa"/>
              <w:left w:w="60" w:type="dxa"/>
              <w:bottom w:w="20" w:type="dxa"/>
              <w:right w:w="60" w:type="dxa"/>
            </w:tcMar>
            <w:vAlign w:val="top"/>
          </w:tcPr>
          <w:p>
            <w:pPr>
              <w:spacing w:after="10" w:before="0" w:line="240" w:lineRule="auto"/>
            </w:pPr>
            <w:r>
              <w:rPr>
                <w:sz w:val="17"/>
              </w:rPr>
              <w:t>Box 12 - box 13</w:t>
            </w:r>
          </w:p>
        </w:tc>
      </w:tr>
      <w:tr>
        <w:trPr>
          <w:cantSplit w:val="true"/>
        </w:trPr>
        <w:tc>
          <w:tcPr>
            <w:tcW w:type="dxa" w:w="1019"/>
            <w:tcMar>
              <w:top w:w="20" w:type="dxa"/>
              <w:left w:w="60" w:type="dxa"/>
              <w:bottom w:w="20" w:type="dxa"/>
              <w:right w:w="60" w:type="dxa"/>
            </w:tcMar>
            <w:vAlign w:val="top"/>
          </w:tcPr>
          <w:p>
            <w:pPr>
              <w:spacing w:after="10" w:before="0" w:line="240" w:lineRule="auto"/>
            </w:pPr>
            <w:r>
              <w:rPr>
                <w:b/>
                <w:sz w:val="17"/>
              </w:rPr>
              <w:t>2, 6, 7</w:t>
            </w:r>
          </w:p>
        </w:tc>
        <w:tc>
          <w:tcPr>
            <w:tcW w:type="dxa" w:w="2911"/>
            <w:tcMar>
              <w:top w:w="20" w:type="dxa"/>
              <w:left w:w="60" w:type="dxa"/>
              <w:bottom w:w="20" w:type="dxa"/>
              <w:right w:w="60" w:type="dxa"/>
            </w:tcMar>
            <w:vAlign w:val="top"/>
          </w:tcPr>
          <w:p>
            <w:pPr>
              <w:spacing w:after="10" w:before="0" w:line="240" w:lineRule="auto"/>
            </w:pPr>
            <w:r>
              <w:rPr>
                <w:sz w:val="17"/>
              </w:rPr>
              <w:t>Tourist refunds, goods imported, import adjustments</w:t>
            </w:r>
          </w:p>
        </w:tc>
        <w:tc>
          <w:tcPr>
            <w:tcW w:type="dxa" w:w="3929"/>
            <w:tcMar>
              <w:top w:w="20" w:type="dxa"/>
              <w:left w:w="60" w:type="dxa"/>
              <w:bottom w:w="20" w:type="dxa"/>
              <w:right w:w="60" w:type="dxa"/>
            </w:tcMar>
            <w:vAlign w:val="top"/>
          </w:tcPr>
          <w:p>
            <w:pPr>
              <w:spacing w:after="10" w:before="0" w:line="240" w:lineRule="auto"/>
            </w:pPr>
            <w:r>
              <w:rPr>
                <w:sz w:val="17"/>
              </w:rPr>
              <w:t>Not tracked</w:t>
            </w:r>
          </w:p>
        </w:tc>
        <w:tc>
          <w:tcPr>
            <w:tcW w:type="dxa" w:w="1746"/>
            <w:tcMar>
              <w:top w:w="20" w:type="dxa"/>
              <w:left w:w="60" w:type="dxa"/>
              <w:bottom w:w="20" w:type="dxa"/>
              <w:right w:w="60" w:type="dxa"/>
            </w:tcMar>
            <w:vAlign w:val="top"/>
          </w:tcPr>
          <w:p>
            <w:pPr>
              <w:spacing w:after="10" w:before="0" w:line="240" w:lineRule="auto"/>
            </w:pPr>
            <w:r>
              <w:rPr>
                <w:sz w:val="17"/>
              </w:rPr>
              <w:t>Not tracked</w:t>
            </w:r>
          </w:p>
        </w:tc>
      </w:tr>
    </w:tbl>
    <w:p>
      <w:pPr>
        <w:spacing w:after="0" w:before="0"/>
        <w:rPr>
          <w:sz w:val="6"/>
        </w:rPr>
      </w:pPr>
    </w:p>
    <w:p>
      <w:pPr>
        <w:pStyle w:val="Heading3"/>
      </w:pPr>
      <w:r>
        <w:t>4.13.1 Saved returns: draft, finalised, filed</w:t>
      </w:r>
    </w:p>
    <w:p>
      <w:pPr>
        <w:pStyle w:val="Caption"/>
      </w:pPr>
      <w:r>
        <w:t>Table 46. Saved returns (VatReturnService)</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182"/>
        <w:gridCol w:w="1455"/>
        <w:gridCol w:w="3638"/>
        <w:gridCol w:w="2328"/>
      </w:tblGrid>
      <w:tr>
        <w:trPr>
          <w:tblHeader w:val="true"/>
          <w:cantSplit w:val="true"/>
        </w:trPr>
        <w:tc>
          <w:tcPr>
            <w:tcW w:type="dxa" w:w="2183"/>
            <w:shd w:val="clear" w:color="auto" w:fill="1F3A5F"/>
            <w:tcMar>
              <w:top w:w="20" w:type="dxa"/>
              <w:left w:w="60" w:type="dxa"/>
              <w:bottom w:w="20" w:type="dxa"/>
              <w:right w:w="60" w:type="dxa"/>
            </w:tcMar>
            <w:vAlign w:val="center"/>
          </w:tcPr>
          <w:p>
            <w:pPr>
              <w:spacing w:after="10" w:before="0" w:line="240" w:lineRule="auto"/>
            </w:pPr>
            <w:r>
              <w:rPr>
                <w:b/>
                <w:color w:val="FFFFFF"/>
                <w:sz w:val="17"/>
              </w:rPr>
              <w:t>Action</w:t>
            </w:r>
          </w:p>
        </w:tc>
        <w:tc>
          <w:tcPr>
            <w:tcW w:type="dxa" w:w="1455"/>
            <w:shd w:val="clear" w:color="auto" w:fill="1F3A5F"/>
            <w:tcMar>
              <w:top w:w="20" w:type="dxa"/>
              <w:left w:w="60" w:type="dxa"/>
              <w:bottom w:w="20" w:type="dxa"/>
              <w:right w:w="60" w:type="dxa"/>
            </w:tcMar>
            <w:vAlign w:val="center"/>
          </w:tcPr>
          <w:p>
            <w:pPr>
              <w:spacing w:after="10" w:before="0" w:line="240" w:lineRule="auto"/>
            </w:pPr>
            <w:r>
              <w:rPr>
                <w:b/>
                <w:color w:val="FFFFFF"/>
                <w:sz w:val="17"/>
              </w:rPr>
              <w:t>Allowed from</w:t>
            </w:r>
          </w:p>
        </w:tc>
        <w:tc>
          <w:tcPr>
            <w:tcW w:type="dxa" w:w="3638"/>
            <w:shd w:val="clear" w:color="auto" w:fill="1F3A5F"/>
            <w:tcMar>
              <w:top w:w="20" w:type="dxa"/>
              <w:left w:w="60" w:type="dxa"/>
              <w:bottom w:w="20" w:type="dxa"/>
              <w:right w:w="60" w:type="dxa"/>
            </w:tcMar>
            <w:vAlign w:val="center"/>
          </w:tcPr>
          <w:p>
            <w:pPr>
              <w:spacing w:after="10" w:before="0" w:line="240" w:lineRule="auto"/>
            </w:pPr>
            <w:r>
              <w:rPr>
                <w:b/>
                <w:color w:val="FFFFFF"/>
                <w:sz w:val="17"/>
              </w:rPr>
              <w:t>What happens</w:t>
            </w:r>
          </w:p>
        </w:tc>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Refused when</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Save draft (POST /returns)</w:t>
            </w:r>
          </w:p>
        </w:tc>
        <w:tc>
          <w:tcPr>
            <w:tcW w:type="dxa" w:w="1455"/>
            <w:tcMar>
              <w:top w:w="20" w:type="dxa"/>
              <w:left w:w="60" w:type="dxa"/>
              <w:bottom w:w="20" w:type="dxa"/>
              <w:right w:w="60" w:type="dxa"/>
            </w:tcMar>
            <w:vAlign w:val="top"/>
          </w:tcPr>
          <w:p>
            <w:pPr>
              <w:spacing w:after="10" w:before="0" w:line="240" w:lineRule="auto"/>
            </w:pPr>
            <w:r>
              <w:rPr>
                <w:sz w:val="17"/>
              </w:rPr>
              <w:t>any period without a final return</w:t>
            </w:r>
          </w:p>
        </w:tc>
        <w:tc>
          <w:tcPr>
            <w:tcW w:type="dxa" w:w="3638"/>
            <w:tcMar>
              <w:top w:w="20" w:type="dxa"/>
              <w:left w:w="60" w:type="dxa"/>
              <w:bottom w:w="20" w:type="dxa"/>
              <w:right w:w="60" w:type="dxa"/>
            </w:tcMar>
            <w:vAlign w:val="top"/>
          </w:tcPr>
          <w:p>
            <w:pPr>
              <w:spacing w:after="10" w:before="0" w:line="240" w:lineRule="auto"/>
            </w:pPr>
            <w:r>
              <w:rPr>
                <w:sz w:val="17"/>
              </w:rPr>
              <w:t xml:space="preserve">The live figures for the period are stored as a DRAFT named </w:t>
            </w:r>
            <w:r>
              <w:rPr>
                <w:rFonts w:ascii="Consolas" w:hAnsi="Consolas" w:eastAsia="Consolas"/>
                <w:sz w:val="16"/>
              </w:rPr>
              <w:t>VAT-&lt;from&gt;..&lt;to&gt;</w:t>
            </w:r>
            <w:r>
              <w:rPr>
                <w:sz w:val="17"/>
              </w:rPr>
              <w:t>. Saving the same period again replaces the draft.</w:t>
            </w:r>
          </w:p>
        </w:tc>
        <w:tc>
          <w:tcPr>
            <w:tcW w:type="dxa" w:w="2328"/>
            <w:tcMar>
              <w:top w:w="20" w:type="dxa"/>
              <w:left w:w="60" w:type="dxa"/>
              <w:bottom w:w="20" w:type="dxa"/>
              <w:right w:w="60" w:type="dxa"/>
            </w:tcMar>
            <w:vAlign w:val="top"/>
          </w:tcPr>
          <w:p>
            <w:pPr>
              <w:spacing w:after="10" w:before="0" w:line="240" w:lineRule="auto"/>
            </w:pPr>
            <w:r>
              <w:rPr>
                <w:sz w:val="17"/>
              </w:rPr>
              <w:t>The period overlaps a FINALIZED or FILED return (PERIOD_OVERLAP).</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Finalise (POST /returns/:id/finalize)</w:t>
            </w:r>
          </w:p>
        </w:tc>
        <w:tc>
          <w:tcPr>
            <w:tcW w:type="dxa" w:w="1455"/>
            <w:tcMar>
              <w:top w:w="20" w:type="dxa"/>
              <w:left w:w="60" w:type="dxa"/>
              <w:bottom w:w="20" w:type="dxa"/>
              <w:right w:w="60" w:type="dxa"/>
            </w:tcMar>
            <w:vAlign w:val="top"/>
          </w:tcPr>
          <w:p>
            <w:pPr>
              <w:spacing w:after="10" w:before="0" w:line="240" w:lineRule="auto"/>
            </w:pPr>
            <w:r>
              <w:rPr>
                <w:sz w:val="17"/>
              </w:rPr>
              <w:t>DRAFT</w:t>
            </w:r>
          </w:p>
        </w:tc>
        <w:tc>
          <w:tcPr>
            <w:tcW w:type="dxa" w:w="3638"/>
            <w:tcMar>
              <w:top w:w="20" w:type="dxa"/>
              <w:left w:w="60" w:type="dxa"/>
              <w:bottom w:w="20" w:type="dxa"/>
              <w:right w:w="60" w:type="dxa"/>
            </w:tcMar>
            <w:vAlign w:val="top"/>
          </w:tcPr>
          <w:p>
            <w:pPr>
              <w:spacing w:after="10" w:before="0" w:line="240" w:lineRule="auto"/>
            </w:pPr>
            <w:r>
              <w:rPr>
                <w:sz w:val="17"/>
              </w:rPr>
              <w:t>The figures are recalculated for the stored period and stored as the record; status FINALIZED, with time and user.</w:t>
            </w:r>
          </w:p>
        </w:tc>
        <w:tc>
          <w:tcPr>
            <w:tcW w:type="dxa" w:w="2328"/>
            <w:tcMar>
              <w:top w:w="20" w:type="dxa"/>
              <w:left w:w="60" w:type="dxa"/>
              <w:bottom w:w="20" w:type="dxa"/>
              <w:right w:w="60" w:type="dxa"/>
            </w:tcMar>
            <w:vAlign w:val="top"/>
          </w:tcPr>
          <w:p>
            <w:pPr>
              <w:spacing w:after="10" w:before="0" w:line="240" w:lineRule="auto"/>
            </w:pPr>
            <w:r>
              <w:rPr>
                <w:sz w:val="17"/>
              </w:rPr>
              <w:t xml:space="preserve">Not a draft (NOT_DRAFT); lines without a tax treatment remain, unless </w:t>
            </w:r>
            <w:r>
              <w:rPr>
                <w:rFonts w:ascii="Consolas" w:hAnsi="Consolas" w:eastAsia="Consolas"/>
                <w:sz w:val="16"/>
              </w:rPr>
              <w:t>allowUnclassified</w:t>
            </w:r>
            <w:r>
              <w:rPr>
                <w:sz w:val="17"/>
              </w:rPr>
              <w:t xml:space="preserve"> is sent (UNCLASSIFIED_LINES).</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File (POST /returns/:id/file)</w:t>
            </w:r>
          </w:p>
        </w:tc>
        <w:tc>
          <w:tcPr>
            <w:tcW w:type="dxa" w:w="1455"/>
            <w:tcMar>
              <w:top w:w="20" w:type="dxa"/>
              <w:left w:w="60" w:type="dxa"/>
              <w:bottom w:w="20" w:type="dxa"/>
              <w:right w:w="60" w:type="dxa"/>
            </w:tcMar>
            <w:vAlign w:val="top"/>
          </w:tcPr>
          <w:p>
            <w:pPr>
              <w:spacing w:after="10" w:before="0" w:line="240" w:lineRule="auto"/>
            </w:pPr>
            <w:r>
              <w:rPr>
                <w:sz w:val="17"/>
              </w:rPr>
              <w:t>FINALIZED</w:t>
            </w:r>
          </w:p>
        </w:tc>
        <w:tc>
          <w:tcPr>
            <w:tcW w:type="dxa" w:w="3638"/>
            <w:tcMar>
              <w:top w:w="20" w:type="dxa"/>
              <w:left w:w="60" w:type="dxa"/>
              <w:bottom w:w="20" w:type="dxa"/>
              <w:right w:w="60" w:type="dxa"/>
            </w:tcMar>
            <w:vAlign w:val="top"/>
          </w:tcPr>
          <w:p>
            <w:pPr>
              <w:spacing w:after="10" w:before="0" w:line="240" w:lineRule="auto"/>
            </w:pPr>
            <w:r>
              <w:rPr>
                <w:sz w:val="17"/>
              </w:rPr>
              <w:t>The FTA filing reference and date are recorded; status FILED.</w:t>
            </w:r>
          </w:p>
        </w:tc>
        <w:tc>
          <w:tcPr>
            <w:tcW w:type="dxa" w:w="2328"/>
            <w:tcMar>
              <w:top w:w="20" w:type="dxa"/>
              <w:left w:w="60" w:type="dxa"/>
              <w:bottom w:w="20" w:type="dxa"/>
              <w:right w:w="60" w:type="dxa"/>
            </w:tcMar>
            <w:vAlign w:val="top"/>
          </w:tcPr>
          <w:p>
            <w:pPr>
              <w:spacing w:after="10" w:before="0" w:line="240" w:lineRule="auto"/>
            </w:pPr>
            <w:r>
              <w:rPr>
                <w:sz w:val="17"/>
              </w:rPr>
              <w:t>Not finalised (NOT_FINALIZED); no reference (REFERENCE_REQUIRED).</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Delete (DELETE /returns/:id)</w:t>
            </w:r>
          </w:p>
        </w:tc>
        <w:tc>
          <w:tcPr>
            <w:tcW w:type="dxa" w:w="1455"/>
            <w:tcMar>
              <w:top w:w="20" w:type="dxa"/>
              <w:left w:w="60" w:type="dxa"/>
              <w:bottom w:w="20" w:type="dxa"/>
              <w:right w:w="60" w:type="dxa"/>
            </w:tcMar>
            <w:vAlign w:val="top"/>
          </w:tcPr>
          <w:p>
            <w:pPr>
              <w:spacing w:after="10" w:before="0" w:line="240" w:lineRule="auto"/>
            </w:pPr>
            <w:r>
              <w:rPr>
                <w:sz w:val="17"/>
              </w:rPr>
              <w:t>DRAFT</w:t>
            </w:r>
          </w:p>
        </w:tc>
        <w:tc>
          <w:tcPr>
            <w:tcW w:type="dxa" w:w="3638"/>
            <w:tcMar>
              <w:top w:w="20" w:type="dxa"/>
              <w:left w:w="60" w:type="dxa"/>
              <w:bottom w:w="20" w:type="dxa"/>
              <w:right w:w="60" w:type="dxa"/>
            </w:tcMar>
            <w:vAlign w:val="top"/>
          </w:tcPr>
          <w:p>
            <w:pPr>
              <w:spacing w:after="10" w:before="0" w:line="240" w:lineRule="auto"/>
            </w:pPr>
            <w:r>
              <w:rPr>
                <w:sz w:val="17"/>
              </w:rPr>
              <w:t>The draft is removed.</w:t>
            </w:r>
          </w:p>
        </w:tc>
        <w:tc>
          <w:tcPr>
            <w:tcW w:type="dxa" w:w="2328"/>
            <w:tcMar>
              <w:top w:w="20" w:type="dxa"/>
              <w:left w:w="60" w:type="dxa"/>
              <w:bottom w:w="20" w:type="dxa"/>
              <w:right w:w="60" w:type="dxa"/>
            </w:tcMar>
            <w:vAlign w:val="top"/>
          </w:tcPr>
          <w:p>
            <w:pPr>
              <w:spacing w:after="10" w:before="0" w:line="240" w:lineRule="auto"/>
            </w:pPr>
            <w:r>
              <w:rPr>
                <w:sz w:val="17"/>
              </w:rPr>
              <w:t>Any other status (NOT_DRAFT).</w:t>
            </w:r>
          </w:p>
        </w:tc>
      </w:tr>
    </w:tbl>
    <w:p>
      <w:pPr>
        <w:spacing w:after="0" w:before="0"/>
        <w:rPr>
          <w:sz w:val="6"/>
        </w:rPr>
      </w:pPr>
    </w:p>
    <w:p>
      <w:r>
        <w:t>The stored boxes are a record: a document approved later, or edited, does not change a finalised or filed return (test: vatReturn.test.js). There is no action to reopen or amend a filed return; a correction is made in a later period.</w:t>
      </w:r>
    </w:p>
    <w:p>
      <w:pPr>
        <w:pStyle w:val="Heading2"/>
      </w:pPr>
      <w:r>
        <w:t>4.14 VAT documents detail</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VAT documents detail</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documents are behind the boxes, with party, TRN, treatment and VAT?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VAT return &gt; Documents.</w:t>
            </w:r>
          </w:p>
          <w:p>
            <w:pPr>
              <w:spacing w:after="10" w:before="0" w:line="240" w:lineRule="auto"/>
            </w:pPr>
            <w:r>
              <w:rPr>
                <w:sz w:val="17"/>
              </w:rPr>
              <w:t xml:space="preserve">API: </w:t>
            </w:r>
            <w:r>
              <w:rPr>
                <w:rFonts w:ascii="Consolas" w:hAnsi="Consolas" w:eastAsia="Consolas"/>
                <w:sz w:val="16"/>
              </w:rPr>
              <w:t>GET /api/v1/vat-return/detail?from=&amp;to=&amp;direction=&amp;kind=&amp;search=&amp;page=&amp;limit=</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The same lines as the VAT return, grouped by document (invoice, expense voucher or note).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required; </w:t>
            </w:r>
            <w:r>
              <w:rPr>
                <w:rFonts w:ascii="Consolas" w:hAnsi="Consolas" w:eastAsia="Consolas"/>
                <w:sz w:val="16"/>
              </w:rPr>
              <w:t>direction</w:t>
            </w:r>
            <w:r>
              <w:rPr>
                <w:sz w:val="17"/>
              </w:rPr>
              <w:t xml:space="preserve"> input or output; </w:t>
            </w:r>
            <w:r>
              <w:rPr>
                <w:rFonts w:ascii="Consolas" w:hAnsi="Consolas" w:eastAsia="Consolas"/>
                <w:sz w:val="16"/>
              </w:rPr>
              <w:t>kind</w:t>
            </w:r>
            <w:r>
              <w:rPr>
                <w:sz w:val="17"/>
              </w:rPr>
              <w:t xml:space="preserve"> a treatment; </w:t>
            </w:r>
            <w:r>
              <w:rPr>
                <w:rFonts w:ascii="Consolas" w:hAnsi="Consolas" w:eastAsia="Consolas"/>
                <w:sz w:val="16"/>
              </w:rPr>
              <w:t>search</w:t>
            </w:r>
            <w:r>
              <w:rPr>
                <w:sz w:val="17"/>
              </w:rPr>
              <w:t xml:space="preserve"> on document number, party name or TRN; </w:t>
            </w:r>
            <w:r>
              <w:rPr>
                <w:rFonts w:ascii="Consolas" w:hAnsi="Consolas" w:eastAsia="Consolas"/>
                <w:sz w:val="16"/>
              </w:rPr>
              <w:t>limit</w:t>
            </w:r>
            <w:r>
              <w:rPr>
                <w:sz w:val="17"/>
              </w:rPr>
              <w:t xml:space="preserve"> default 50, at most 200.</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Lines are grouped by source and document id: </w:t>
            </w:r>
            <w:r>
              <w:rPr>
                <w:rFonts w:ascii="Consolas" w:hAnsi="Consolas" w:eastAsia="Consolas"/>
                <w:sz w:val="16"/>
              </w:rPr>
              <w:t>kinds</w:t>
            </w:r>
            <w:r>
              <w:rPr>
                <w:sz w:val="17"/>
              </w:rPr>
              <w:t xml:space="preserve"> = the treatments present, </w:t>
            </w:r>
            <w:r>
              <w:rPr>
                <w:rFonts w:ascii="Consolas" w:hAnsi="Consolas" w:eastAsia="Consolas"/>
                <w:sz w:val="16"/>
              </w:rPr>
              <w:t>taxable</w:t>
            </w:r>
            <w:r>
              <w:rPr>
                <w:sz w:val="17"/>
              </w:rPr>
              <w:t xml:space="preserve"> = sum, </w:t>
            </w:r>
            <w:r>
              <w:rPr>
                <w:rFonts w:ascii="Consolas" w:hAnsi="Consolas" w:eastAsia="Consolas"/>
                <w:sz w:val="16"/>
              </w:rPr>
              <w:t>vat</w:t>
            </w:r>
            <w:r>
              <w:rPr>
                <w:sz w:val="17"/>
              </w:rPr>
              <w:t xml:space="preserve"> = sum, </w:t>
            </w:r>
            <w:r>
              <w:rPr>
                <w:rFonts w:ascii="Consolas" w:hAnsi="Consolas" w:eastAsia="Consolas"/>
                <w:sz w:val="16"/>
              </w:rPr>
              <w:t>rcmVat</w:t>
            </w:r>
            <w:r>
              <w:rPr>
                <w:sz w:val="17"/>
              </w:rPr>
              <w:t xml:space="preserve"> = sum.</w:t>
            </w:r>
          </w:p>
          <w:p>
            <w:pPr>
              <w:tabs>
                <w:tab w:pos="202" w:val="left"/>
              </w:tabs>
              <w:spacing w:after="10" w:before="0" w:line="240" w:lineRule="auto"/>
              <w:ind w:left="202" w:hanging="202"/>
            </w:pPr>
            <w:r>
              <w:rPr>
                <w:sz w:val="17"/>
              </w:rPr>
              <w:t>•</w:t>
              <w:tab/>
              <w:t>Party name and TRN come from the customer (</w:t>
            </w:r>
            <w:r>
              <w:rPr>
                <w:rFonts w:ascii="Consolas" w:hAnsi="Consolas" w:eastAsia="Consolas"/>
                <w:sz w:val="16"/>
              </w:rPr>
              <w:t>trnNumber</w:t>
            </w:r>
            <w:r>
              <w:rPr>
                <w:sz w:val="17"/>
              </w:rPr>
              <w:t>) or vendor (</w:t>
            </w:r>
            <w:r>
              <w:rPr>
                <w:rFonts w:ascii="Consolas" w:hAnsi="Consolas" w:eastAsia="Consolas"/>
                <w:sz w:val="16"/>
              </w:rPr>
              <w:t>trnNO</w:t>
            </w:r>
            <w:r>
              <w:rPr>
                <w:sz w:val="17"/>
              </w:rPr>
              <w:t>) record, or from the voucher.</w:t>
            </w:r>
          </w:p>
          <w:p>
            <w:pPr>
              <w:tabs>
                <w:tab w:pos="202" w:val="left"/>
              </w:tabs>
              <w:spacing w:after="10" w:before="0" w:line="240" w:lineRule="auto"/>
              <w:ind w:left="202" w:hanging="202"/>
            </w:pPr>
            <w:r>
              <w:rPr>
                <w:sz w:val="17"/>
              </w:rPr>
              <w:t>•</w:t>
              <w:tab/>
              <w:t>Sorted by date, newest first, then document number. Totals are the sum of taxable and of VAT of the filtered rows.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The same inclusions and exclusions as the VAT return. A return is netted into its own row as a negative.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The totals cover every line. They agree with the boxes after the unclassified and not-reported lines (which the detail lists with their treatment) are taken out and reverse-charge taxable value is counted once, because the return shows it in both box 3 and box 10.</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rows[{source, docNo, docType, date, direction, partyName, trn, kinds, taxable, vat, rcmVat}], totals, paging. Screen with CSV.</w:t>
            </w:r>
          </w:p>
        </w:tc>
      </w:tr>
    </w:tbl>
    <w:p>
      <w:pPr>
        <w:spacing w:after="0" w:before="0"/>
        <w:rPr>
          <w:sz w:val="8"/>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 xml:space="preserve">The older VATReport collection, served by </w:t>
            </w:r>
            <w:r>
              <w:rPr>
                <w:rFonts w:ascii="Consolas" w:hAnsi="Consolas" w:eastAsia="Consolas"/>
                <w:sz w:val="19"/>
              </w:rPr>
              <w:t>/api/v1/reports/vat</w:t>
            </w:r>
            <w:r>
              <w:rPr>
                <w:sz w:val="20"/>
              </w:rPr>
              <w:t>, is legacy: approval no longer writes to it, and only rows written by older versions remain. The VAT return does not read it, nothing reconciles it, and it is not used for filing.</w:t>
            </w:r>
          </w:p>
        </w:tc>
      </w:tr>
    </w:tbl>
    <w:p>
      <w:pPr>
        <w:spacing w:after="0" w:before="0"/>
        <w:rPr>
          <w:sz w:val="8"/>
        </w:rPr>
      </w:pPr>
    </w:p>
    <w:p>
      <w:pPr>
        <w:pStyle w:val="Heading2"/>
      </w:pPr>
      <w:r>
        <w:t>4.15 Stock valuation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Stock valuation</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How much stock is on hand, at what cost, and does its value agree with the Inventory account?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Valuation (</w:t>
            </w:r>
            <w:r>
              <w:rPr>
                <w:rFonts w:ascii="Consolas" w:hAnsi="Consolas" w:eastAsia="Consolas"/>
                <w:sz w:val="16"/>
              </w:rPr>
              <w:t>/stock-reports?tab=valuation</w:t>
            </w:r>
            <w:r>
              <w:rPr>
                <w:sz w:val="17"/>
              </w:rPr>
              <w:t>).</w:t>
            </w:r>
          </w:p>
          <w:p>
            <w:pPr>
              <w:spacing w:after="10" w:before="0" w:line="240" w:lineRule="auto"/>
            </w:pPr>
            <w:r>
              <w:rPr>
                <w:sz w:val="17"/>
              </w:rPr>
              <w:t xml:space="preserve">API: </w:t>
            </w:r>
            <w:r>
              <w:rPr>
                <w:rFonts w:ascii="Consolas" w:hAnsi="Consolas" w:eastAsia="Consolas"/>
                <w:sz w:val="16"/>
              </w:rPr>
              <w:t>GET /api/v1/stock-reports/valuation?asOn=&amp;categoryId=&amp;search=&amp;groupBy=item|category&amp;includeZero=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 xml:space="preserve">Inventory movements (the stock audit trail), the item master, categories, and the ledger entries on the account behind </w:t>
            </w:r>
            <w:r>
              <w:rPr>
                <w:rFonts w:ascii="Consolas" w:hAnsi="Consolas" w:eastAsia="Consolas"/>
                <w:sz w:val="16"/>
              </w:rPr>
              <w:t>inventory-asset</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asOn</w:t>
            </w:r>
            <w:r>
              <w:rPr>
                <w:sz w:val="17"/>
              </w:rPr>
              <w:t xml:space="preserve"> is a Dubai day (default today): every live movement dated up to the end of that day counts. </w:t>
            </w:r>
            <w:r>
              <w:rPr>
                <w:rFonts w:ascii="Consolas" w:hAnsi="Consolas" w:eastAsia="Consolas"/>
                <w:sz w:val="16"/>
              </w:rPr>
              <w:t>categoryId</w:t>
            </w:r>
            <w:r>
              <w:rPr>
                <w:sz w:val="17"/>
              </w:rPr>
              <w:t xml:space="preserve"> and </w:t>
            </w:r>
            <w:r>
              <w:rPr>
                <w:rFonts w:ascii="Consolas" w:hAnsi="Consolas" w:eastAsia="Consolas"/>
                <w:sz w:val="16"/>
              </w:rPr>
              <w:t>search</w:t>
            </w:r>
            <w:r>
              <w:rPr>
                <w:sz w:val="17"/>
              </w:rPr>
              <w:t xml:space="preserve"> narrow the rows only; the reconciliation always covers all items.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b/>
                <w:sz w:val="17"/>
              </w:rPr>
              <w:t>Live movement.</w:t>
            </w:r>
            <w:r>
              <w:rPr>
                <w:sz w:val="17"/>
              </w:rPr>
              <w:t xml:space="preserve"> A movement counts unless it was reversed (</w:t>
            </w:r>
            <w:r>
              <w:rPr>
                <w:rFonts w:ascii="Consolas" w:hAnsi="Consolas" w:eastAsia="Consolas"/>
                <w:sz w:val="16"/>
              </w:rPr>
              <w:t>isReversed</w:t>
            </w:r>
            <w:r>
              <w:rPr>
                <w:sz w:val="17"/>
              </w:rPr>
              <w:t xml:space="preserve">) or is itself a reversal row (reference number starting </w:t>
            </w:r>
            <w:r>
              <w:rPr>
                <w:rFonts w:ascii="Consolas" w:hAnsi="Consolas" w:eastAsia="Consolas"/>
                <w:sz w:val="16"/>
              </w:rPr>
              <w:t>REV-</w:t>
            </w:r>
            <w:r>
              <w:rPr>
                <w:sz w:val="17"/>
              </w:rPr>
              <w:t>). The pair cancels, exactly as a reversed ledger entry does.</w:t>
            </w:r>
          </w:p>
          <w:p>
            <w:pPr>
              <w:spacing w:after="10" w:before="0" w:line="240" w:lineRule="auto"/>
            </w:pPr>
            <w:r>
              <w:rPr>
                <w:b/>
                <w:sz w:val="17"/>
              </w:rPr>
              <w:t>Why a sum, not the last row.</w:t>
            </w:r>
            <w:r>
              <w:rPr>
                <w:sz w:val="17"/>
              </w:rPr>
              <w:t xml:space="preserve"> The position is the </w:t>
            </w:r>
            <w:r>
              <w:rPr>
                <w:b/>
                <w:sz w:val="17"/>
              </w:rPr>
              <w:t>sum</w:t>
            </w:r>
            <w:r>
              <w:rPr>
                <w:sz w:val="17"/>
              </w:rPr>
              <w:t xml:space="preserve"> of the signed effect of the live movements, not the 'new stock' of the last movement, because a back-dated document, a reversal or a re-cost makes the last row by date a different row from the last row written. A sum does not depend on order, and gives closing = opening + in - out exactly.</w:t>
            </w:r>
          </w:p>
          <w:p>
            <w:pPr>
              <w:tabs>
                <w:tab w:pos="202" w:val="left"/>
              </w:tabs>
              <w:spacing w:after="10" w:before="0" w:line="240" w:lineRule="auto"/>
              <w:ind w:left="202" w:hanging="202"/>
            </w:pPr>
            <w:r>
              <w:rPr>
                <w:sz w:val="17"/>
              </w:rPr>
              <w:t>•</w:t>
              <w:tab/>
            </w:r>
            <w:r>
              <w:rPr>
                <w:rFonts w:ascii="Consolas" w:hAnsi="Consolas" w:eastAsia="Consolas"/>
                <w:sz w:val="16"/>
              </w:rPr>
              <w:t>qty</w:t>
            </w:r>
            <w:r>
              <w:rPr>
                <w:sz w:val="17"/>
              </w:rPr>
              <w:t xml:space="preserve"> = sum of </w:t>
            </w:r>
            <w:r>
              <w:rPr>
                <w:rFonts w:ascii="Consolas" w:hAnsi="Consolas" w:eastAsia="Consolas"/>
                <w:sz w:val="16"/>
              </w:rPr>
              <w:t>quantity</w:t>
            </w:r>
            <w:r>
              <w:rPr>
                <w:sz w:val="17"/>
              </w:rPr>
              <w:t xml:space="preserve"> (+ in, - out).</w:t>
            </w:r>
          </w:p>
          <w:p>
            <w:pPr>
              <w:tabs>
                <w:tab w:pos="202" w:val="left"/>
              </w:tabs>
              <w:spacing w:after="10" w:before="0" w:line="240" w:lineRule="auto"/>
              <w:ind w:left="202" w:hanging="202"/>
            </w:pPr>
            <w:r>
              <w:rPr>
                <w:sz w:val="17"/>
              </w:rPr>
              <w:t>•</w:t>
              <w:tab/>
            </w:r>
            <w:r>
              <w:rPr>
                <w:rFonts w:ascii="Consolas" w:hAnsi="Consolas" w:eastAsia="Consolas"/>
                <w:sz w:val="16"/>
              </w:rPr>
              <w:t>value</w:t>
            </w:r>
            <w:r>
              <w:rPr>
                <w:sz w:val="17"/>
              </w:rPr>
              <w:t xml:space="preserve"> = sum of sign(quantity) x |totalValue|. </w:t>
            </w:r>
            <w:r>
              <w:rPr>
                <w:rFonts w:ascii="Consolas" w:hAnsi="Consolas" w:eastAsia="Consolas"/>
                <w:sz w:val="16"/>
              </w:rPr>
              <w:t>totalValue</w:t>
            </w:r>
            <w:r>
              <w:rPr>
                <w:sz w:val="17"/>
              </w:rPr>
              <w:t xml:space="preserve"> is the cost that moved with the stock, the same figure posted to the Inventory account.</w:t>
            </w:r>
          </w:p>
          <w:p>
            <w:pPr>
              <w:tabs>
                <w:tab w:pos="202" w:val="left"/>
              </w:tabs>
              <w:spacing w:after="10" w:before="0" w:line="240" w:lineRule="auto"/>
              <w:ind w:left="202" w:hanging="202"/>
            </w:pPr>
            <w:r>
              <w:rPr>
                <w:sz w:val="17"/>
              </w:rPr>
              <w:t>•</w:t>
              <w:tab/>
            </w:r>
            <w:r>
              <w:rPr>
                <w:rFonts w:ascii="Consolas" w:hAnsi="Consolas" w:eastAsia="Consolas"/>
                <w:sz w:val="16"/>
              </w:rPr>
              <w:t>avgCost</w:t>
            </w:r>
            <w:r>
              <w:rPr>
                <w:sz w:val="17"/>
              </w:rPr>
              <w:t xml:space="preserve"> = the item's last live </w:t>
            </w:r>
            <w:r>
              <w:rPr>
                <w:rFonts w:ascii="Consolas" w:hAnsi="Consolas" w:eastAsia="Consolas"/>
                <w:sz w:val="16"/>
              </w:rPr>
              <w:t>rateAfter</w:t>
            </w:r>
            <w:r>
              <w:rPr>
                <w:sz w:val="17"/>
              </w:rPr>
              <w:t xml:space="preserve"> (five decimals); if there is none, value / qty. Quantity x average cost can differ from </w:t>
            </w:r>
            <w:r>
              <w:rPr>
                <w:rFonts w:ascii="Consolas" w:hAnsi="Consolas" w:eastAsia="Consolas"/>
                <w:sz w:val="16"/>
              </w:rPr>
              <w:t>value</w:t>
            </w:r>
            <w:r>
              <w:rPr>
                <w:sz w:val="17"/>
              </w:rPr>
              <w:t xml:space="preserve"> by a fraction of a fils, because </w:t>
            </w:r>
            <w:r>
              <w:rPr>
                <w:rFonts w:ascii="Consolas" w:hAnsi="Consolas" w:eastAsia="Consolas"/>
                <w:sz w:val="16"/>
              </w:rPr>
              <w:t>value</w:t>
            </w:r>
            <w:r>
              <w:rPr>
                <w:sz w:val="17"/>
              </w:rPr>
              <w:t xml:space="preserve"> is the exact cost on hand.</w:t>
            </w:r>
          </w:p>
          <w:p>
            <w:pPr>
              <w:tabs>
                <w:tab w:pos="202" w:val="left"/>
              </w:tabs>
              <w:spacing w:after="10" w:before="0" w:line="240" w:lineRule="auto"/>
              <w:ind w:left="202" w:hanging="202"/>
            </w:pPr>
            <w:r>
              <w:rPr>
                <w:sz w:val="17"/>
              </w:rPr>
              <w:t>•</w:t>
              <w:tab/>
            </w:r>
            <w:r>
              <w:rPr>
                <w:rFonts w:ascii="Consolas" w:hAnsi="Consolas" w:eastAsia="Consolas"/>
                <w:sz w:val="16"/>
              </w:rPr>
              <w:t>sharePct</w:t>
            </w:r>
            <w:r>
              <w:rPr>
                <w:sz w:val="17"/>
              </w:rPr>
              <w:t xml:space="preserve"> = row value / total value x 100.</w:t>
            </w:r>
          </w:p>
          <w:p>
            <w:pPr>
              <w:spacing w:after="10" w:before="0" w:line="240" w:lineRule="auto"/>
            </w:pPr>
            <w:r>
              <w:rPr>
                <w:b/>
                <w:sz w:val="17"/>
              </w:rPr>
              <w:t>Implicit opening.</w:t>
            </w:r>
            <w:r>
              <w:rPr>
                <w:sz w:val="17"/>
              </w:rPr>
              <w:t xml:space="preserve"> If the first movement ever written for an item shows a </w:t>
            </w:r>
            <w:r>
              <w:rPr>
                <w:rFonts w:ascii="Consolas" w:hAnsi="Consolas" w:eastAsia="Consolas"/>
                <w:sz w:val="16"/>
              </w:rPr>
              <w:t>previousStock</w:t>
            </w:r>
            <w:r>
              <w:rPr>
                <w:sz w:val="17"/>
              </w:rPr>
              <w:t xml:space="preserve"> above zero (the item was created with stock and no opening movement), that quantity, valued at the rate before it, is added to the opening position so totals are not understated. It is never a period movement and, having no ledger posting, appears in the reconciliation.</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Rows with zero quantity and zero value are hidden unless </w:t>
            </w:r>
            <w:r>
              <w:rPr>
                <w:rFonts w:ascii="Consolas" w:hAnsi="Consolas" w:eastAsia="Consolas"/>
                <w:sz w:val="16"/>
              </w:rPr>
              <w:t>includeZero</w:t>
            </w:r>
            <w:r>
              <w:rPr>
                <w:sz w:val="17"/>
              </w:rPr>
              <w:t xml:space="preserve"> or the row is out of step.</w:t>
            </w:r>
          </w:p>
          <w:p>
            <w:pPr>
              <w:tabs>
                <w:tab w:pos="202" w:val="left"/>
              </w:tabs>
              <w:spacing w:after="10" w:before="0" w:line="240" w:lineRule="auto"/>
              <w:ind w:left="202" w:hanging="202"/>
            </w:pPr>
            <w:r>
              <w:rPr>
                <w:sz w:val="17"/>
              </w:rPr>
              <w:t>•</w:t>
              <w:tab/>
            </w:r>
            <w:r>
              <w:rPr>
                <w:rFonts w:ascii="Consolas" w:hAnsi="Consolas" w:eastAsia="Consolas"/>
                <w:sz w:val="16"/>
              </w:rPr>
              <w:t>negative</w:t>
            </w:r>
            <w:r>
              <w:rPr>
                <w:sz w:val="17"/>
              </w:rPr>
              <w:t xml:space="preserve"> marks a quantity below zero (an oversold item). </w:t>
            </w:r>
            <w:r>
              <w:rPr>
                <w:rFonts w:ascii="Consolas" w:hAnsi="Consolas" w:eastAsia="Consolas"/>
                <w:sz w:val="16"/>
              </w:rPr>
              <w:t>outOfSync</w:t>
            </w:r>
            <w:r>
              <w:rPr>
                <w:sz w:val="17"/>
              </w:rPr>
              <w:t xml:space="preserve"> marks an item whose quantity on the item master differs from the movement sum by 0.0005 or more; it is checked only when </w:t>
            </w:r>
            <w:r>
              <w:rPr>
                <w:rFonts w:ascii="Consolas" w:hAnsi="Consolas" w:eastAsia="Consolas"/>
                <w:sz w:val="16"/>
              </w:rPr>
              <w:t>asOn</w:t>
            </w:r>
            <w:r>
              <w:rPr>
                <w:sz w:val="17"/>
              </w:rPr>
              <w:t xml:space="preserve"> is today or later, because the master cannot be wound back.</w:t>
            </w:r>
          </w:p>
          <w:p>
            <w:pPr>
              <w:tabs>
                <w:tab w:pos="202" w:val="left"/>
              </w:tabs>
              <w:spacing w:after="10" w:before="0" w:line="240" w:lineRule="auto"/>
              <w:ind w:left="202" w:hanging="202"/>
            </w:pPr>
            <w:r>
              <w:rPr>
                <w:sz w:val="17"/>
              </w:rPr>
              <w:t>•</w:t>
              <w:tab/>
              <w:t>A deleted item keeps its movements; its value stays in the totals under the name '&lt;code&gt; (deleted item)'.</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b/>
                <w:sz w:val="17"/>
              </w:rPr>
              <w:t>Reconciliation to the ledger</w:t>
            </w:r>
            <w:r>
              <w:rPr>
                <w:sz w:val="17"/>
              </w:rPr>
              <w:t xml:space="preserve"> (always all items):</w:t>
            </w:r>
          </w:p>
          <w:p>
            <w:pPr>
              <w:tabs>
                <w:tab w:pos="202" w:val="left"/>
              </w:tabs>
              <w:spacing w:after="10" w:before="0" w:line="240" w:lineRule="auto"/>
              <w:ind w:left="202" w:hanging="202"/>
            </w:pPr>
            <w:r>
              <w:rPr>
                <w:sz w:val="17"/>
              </w:rPr>
              <w:t>•</w:t>
              <w:tab/>
            </w:r>
            <w:r>
              <w:rPr>
                <w:rFonts w:ascii="Consolas" w:hAnsi="Consolas" w:eastAsia="Consolas"/>
                <w:sz w:val="16"/>
              </w:rPr>
              <w:t>ledgerBalance</w:t>
            </w:r>
            <w:r>
              <w:rPr>
                <w:sz w:val="17"/>
              </w:rPr>
              <w:t xml:space="preserve"> = sum of (debit - credit) of live entries on the Inventory account dated up to the end of </w:t>
            </w:r>
            <w:r>
              <w:rPr>
                <w:rFonts w:ascii="Consolas" w:hAnsi="Consolas" w:eastAsia="Consolas"/>
                <w:sz w:val="16"/>
              </w:rPr>
              <w:t>asOn</w:t>
            </w:r>
            <w:r>
              <w:rPr>
                <w:sz w:val="17"/>
              </w:rPr>
              <w:t>.</w:t>
            </w:r>
          </w:p>
          <w:p>
            <w:pPr>
              <w:tabs>
                <w:tab w:pos="202" w:val="left"/>
              </w:tabs>
              <w:spacing w:after="10" w:before="0" w:line="240" w:lineRule="auto"/>
              <w:ind w:left="202" w:hanging="202"/>
            </w:pPr>
            <w:r>
              <w:rPr>
                <w:sz w:val="17"/>
              </w:rPr>
              <w:t>•</w:t>
              <w:tab/>
            </w:r>
            <w:r>
              <w:rPr>
                <w:rFonts w:ascii="Consolas" w:hAnsi="Consolas" w:eastAsia="Consolas"/>
                <w:sz w:val="16"/>
              </w:rPr>
              <w:t>difference</w:t>
            </w:r>
            <w:r>
              <w:rPr>
                <w:sz w:val="17"/>
              </w:rPr>
              <w:t xml:space="preserve"> = stockValue - ledgerBalance; </w:t>
            </w:r>
            <w:r>
              <w:rPr>
                <w:rFonts w:ascii="Consolas" w:hAnsi="Consolas" w:eastAsia="Consolas"/>
                <w:sz w:val="16"/>
              </w:rPr>
              <w:t>reconciles</w:t>
            </w:r>
            <w:r>
              <w:rPr>
                <w:sz w:val="17"/>
              </w:rPr>
              <w:t xml:space="preserve"> = |difference| &lt; 0.005.</w:t>
            </w:r>
          </w:p>
          <w:p>
            <w:pPr>
              <w:tabs>
                <w:tab w:pos="202" w:val="left"/>
              </w:tabs>
              <w:spacing w:after="10" w:before="0" w:line="240" w:lineRule="auto"/>
              <w:ind w:left="202" w:hanging="202"/>
            </w:pPr>
            <w:r>
              <w:rPr>
                <w:sz w:val="17"/>
              </w:rPr>
              <w:t>•</w:t>
              <w:tab/>
              <w:t xml:space="preserve">The difference is split by source (table below) and the part no line explains is </w:t>
            </w:r>
            <w:r>
              <w:rPr>
                <w:rFonts w:ascii="Consolas" w:hAnsi="Consolas" w:eastAsia="Consolas"/>
                <w:sz w:val="16"/>
              </w:rPr>
              <w:t>unexplained</w:t>
            </w:r>
            <w:r>
              <w:rPr>
                <w:sz w:val="17"/>
              </w:rPr>
              <w:t>.</w:t>
            </w:r>
          </w:p>
          <w:p>
            <w:pPr>
              <w:tabs>
                <w:tab w:pos="202" w:val="left"/>
              </w:tabs>
              <w:spacing w:after="10" w:before="0" w:line="240" w:lineRule="auto"/>
              <w:ind w:left="202" w:hanging="202"/>
            </w:pPr>
            <w:r>
              <w:rPr>
                <w:sz w:val="17"/>
              </w:rPr>
              <w:t>•</w:t>
              <w:tab/>
              <w:t>Typical causes of a difference: the quantity typed when an item is created, or a manual adjustment made while posting was off (neither is posted); an item created with stock (implicit opening); a journal posted straight to the Inventory account; posting switched off for part of the history.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rows[{itemId, sku, itemName, unit, categoryName, qty, avgCost, value, sharePct, negative?, outOfSync?}], totals{items, qty, value, negativeItems, outOfSyncItems}, reconciliation. Screen with CSV.</w:t>
            </w:r>
          </w:p>
        </w:tc>
      </w:tr>
    </w:tbl>
    <w:p>
      <w:pPr>
        <w:spacing w:after="0" w:before="0"/>
        <w:rPr>
          <w:sz w:val="8"/>
        </w:rPr>
      </w:pPr>
    </w:p>
    <w:p>
      <w:pPr>
        <w:pStyle w:val="Caption"/>
      </w:pPr>
      <w:r>
        <w:t>Table 47. Source lines of the stock reconciliation (stockReportsService.SOURCES)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328"/>
        <w:gridCol w:w="2619"/>
        <w:gridCol w:w="2910"/>
        <w:gridCol w:w="1746"/>
      </w:tblGrid>
      <w:tr>
        <w:trPr>
          <w:tblHeader w:val="true"/>
          <w:cantSplit w:val="true"/>
        </w:trPr>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Source line</w:t>
            </w:r>
          </w:p>
        </w:tc>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Stock side (movements)</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Ledger side (voucher types on the Inventory account)</w:t>
            </w:r>
          </w:p>
        </w:tc>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Expected</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Opening stock and manual adjustments</w:t>
            </w:r>
          </w:p>
        </w:tc>
        <w:tc>
          <w:tcPr>
            <w:tcW w:type="dxa" w:w="2619"/>
            <w:tcMar>
              <w:top w:w="20" w:type="dxa"/>
              <w:left w:w="60" w:type="dxa"/>
              <w:bottom w:w="20" w:type="dxa"/>
              <w:right w:w="60" w:type="dxa"/>
            </w:tcMar>
            <w:vAlign w:val="top"/>
          </w:tcPr>
          <w:p>
            <w:pPr>
              <w:spacing w:after="10" w:before="0" w:line="240" w:lineRule="auto"/>
            </w:pPr>
            <w:r>
              <w:rPr>
                <w:sz w:val="17"/>
              </w:rPr>
              <w:t>INITIAL_STOCK, OPENING_STOCK, STOCK_ADJUSTMENT, TRANSFER movements</w:t>
            </w:r>
          </w:p>
        </w:tc>
        <w:tc>
          <w:tcPr>
            <w:tcW w:type="dxa" w:w="2911"/>
            <w:tcMar>
              <w:top w:w="20" w:type="dxa"/>
              <w:left w:w="60" w:type="dxa"/>
              <w:bottom w:w="20" w:type="dxa"/>
              <w:right w:w="60" w:type="dxa"/>
            </w:tcMar>
            <w:vAlign w:val="top"/>
          </w:tcPr>
          <w:p>
            <w:pPr>
              <w:spacing w:after="10" w:before="0" w:line="240" w:lineRule="auto"/>
            </w:pPr>
            <w:r>
              <w:rPr>
                <w:sz w:val="17"/>
              </w:rPr>
              <w:t>opening_stock, stock_adjustment</w:t>
            </w:r>
          </w:p>
        </w:tc>
        <w:tc>
          <w:tcPr>
            <w:tcW w:type="dxa" w:w="1746"/>
            <w:tcMar>
              <w:top w:w="20" w:type="dxa"/>
              <w:left w:w="60" w:type="dxa"/>
              <w:bottom w:w="20" w:type="dxa"/>
              <w:right w:w="60" w:type="dxa"/>
            </w:tcMar>
            <w:vAlign w:val="top"/>
          </w:tcPr>
          <w:p>
            <w:pPr>
              <w:spacing w:after="10" w:before="0" w:line="240" w:lineRule="auto"/>
            </w:pPr>
            <w:r>
              <w:rPr>
                <w:sz w:val="17"/>
              </w:rPr>
              <w:t>Opening stock and posted adjustments agree; initial stock created with an item, and adjustments made while posting was off, show a difference</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Purchases</w:t>
            </w:r>
          </w:p>
        </w:tc>
        <w:tc>
          <w:tcPr>
            <w:tcW w:type="dxa" w:w="2619"/>
            <w:tcMar>
              <w:top w:w="20" w:type="dxa"/>
              <w:left w:w="60" w:type="dxa"/>
              <w:bottom w:w="20" w:type="dxa"/>
              <w:right w:w="60" w:type="dxa"/>
            </w:tcMar>
            <w:vAlign w:val="top"/>
          </w:tcPr>
          <w:p>
            <w:pPr>
              <w:spacing w:after="10" w:before="0" w:line="240" w:lineRule="auto"/>
            </w:pPr>
            <w:r>
              <w:rPr>
                <w:sz w:val="17"/>
              </w:rPr>
              <w:t>PURCHASE_RECEIVE</w:t>
            </w:r>
          </w:p>
        </w:tc>
        <w:tc>
          <w:tcPr>
            <w:tcW w:type="dxa" w:w="2911"/>
            <w:tcMar>
              <w:top w:w="20" w:type="dxa"/>
              <w:left w:w="60" w:type="dxa"/>
              <w:bottom w:w="20" w:type="dxa"/>
              <w:right w:w="60" w:type="dxa"/>
            </w:tcMar>
            <w:vAlign w:val="top"/>
          </w:tcPr>
          <w:p>
            <w:pPr>
              <w:spacing w:after="10" w:before="0" w:line="240" w:lineRule="auto"/>
            </w:pPr>
            <w:r>
              <w:rPr>
                <w:sz w:val="17"/>
              </w:rPr>
              <w:t>purchase_order</w:t>
            </w:r>
          </w:p>
        </w:tc>
        <w:tc>
          <w:tcPr>
            <w:tcW w:type="dxa" w:w="1746"/>
            <w:tcMar>
              <w:top w:w="20" w:type="dxa"/>
              <w:left w:w="60" w:type="dxa"/>
              <w:bottom w:w="20" w:type="dxa"/>
              <w:right w:w="60" w:type="dxa"/>
            </w:tcMar>
            <w:vAlign w:val="top"/>
          </w:tcPr>
          <w:p>
            <w:pPr>
              <w:spacing w:after="10" w:before="0" w:line="240" w:lineRule="auto"/>
            </w:pPr>
            <w:r>
              <w:rPr>
                <w:sz w:val="17"/>
              </w:rPr>
              <w:t>Agrees</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Purchase returns</w:t>
            </w:r>
          </w:p>
        </w:tc>
        <w:tc>
          <w:tcPr>
            <w:tcW w:type="dxa" w:w="2619"/>
            <w:tcMar>
              <w:top w:w="20" w:type="dxa"/>
              <w:left w:w="60" w:type="dxa"/>
              <w:bottom w:w="20" w:type="dxa"/>
              <w:right w:w="60" w:type="dxa"/>
            </w:tcMar>
            <w:vAlign w:val="top"/>
          </w:tcPr>
          <w:p>
            <w:pPr>
              <w:spacing w:after="10" w:before="0" w:line="240" w:lineRule="auto"/>
            </w:pPr>
            <w:r>
              <w:rPr>
                <w:sz w:val="17"/>
              </w:rPr>
              <w:t>PURCHASE_RETURN</w:t>
            </w:r>
          </w:p>
        </w:tc>
        <w:tc>
          <w:tcPr>
            <w:tcW w:type="dxa" w:w="2911"/>
            <w:tcMar>
              <w:top w:w="20" w:type="dxa"/>
              <w:left w:w="60" w:type="dxa"/>
              <w:bottom w:w="20" w:type="dxa"/>
              <w:right w:w="60" w:type="dxa"/>
            </w:tcMar>
            <w:vAlign w:val="top"/>
          </w:tcPr>
          <w:p>
            <w:pPr>
              <w:spacing w:after="10" w:before="0" w:line="240" w:lineRule="auto"/>
            </w:pPr>
            <w:r>
              <w:rPr>
                <w:sz w:val="17"/>
              </w:rPr>
              <w:t>purchase_return</w:t>
            </w:r>
          </w:p>
        </w:tc>
        <w:tc>
          <w:tcPr>
            <w:tcW w:type="dxa" w:w="1746"/>
            <w:tcMar>
              <w:top w:w="20" w:type="dxa"/>
              <w:left w:w="60" w:type="dxa"/>
              <w:bottom w:w="20" w:type="dxa"/>
              <w:right w:w="60" w:type="dxa"/>
            </w:tcMar>
            <w:vAlign w:val="top"/>
          </w:tcPr>
          <w:p>
            <w:pPr>
              <w:spacing w:after="10" w:before="0" w:line="240" w:lineRule="auto"/>
            </w:pPr>
            <w:r>
              <w:rPr>
                <w:sz w:val="17"/>
              </w:rPr>
              <w:t>Agrees</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Cost of goods sold</w:t>
            </w:r>
          </w:p>
        </w:tc>
        <w:tc>
          <w:tcPr>
            <w:tcW w:type="dxa" w:w="2619"/>
            <w:tcMar>
              <w:top w:w="20" w:type="dxa"/>
              <w:left w:w="60" w:type="dxa"/>
              <w:bottom w:w="20" w:type="dxa"/>
              <w:right w:w="60" w:type="dxa"/>
            </w:tcMar>
            <w:vAlign w:val="top"/>
          </w:tcPr>
          <w:p>
            <w:pPr>
              <w:spacing w:after="10" w:before="0" w:line="240" w:lineRule="auto"/>
            </w:pPr>
            <w:r>
              <w:rPr>
                <w:sz w:val="17"/>
              </w:rPr>
              <w:t>SALES_DISPATCH</w:t>
            </w:r>
          </w:p>
        </w:tc>
        <w:tc>
          <w:tcPr>
            <w:tcW w:type="dxa" w:w="2911"/>
            <w:tcMar>
              <w:top w:w="20" w:type="dxa"/>
              <w:left w:w="60" w:type="dxa"/>
              <w:bottom w:w="20" w:type="dxa"/>
              <w:right w:w="60" w:type="dxa"/>
            </w:tcMar>
            <w:vAlign w:val="top"/>
          </w:tcPr>
          <w:p>
            <w:pPr>
              <w:spacing w:after="10" w:before="0" w:line="240" w:lineRule="auto"/>
            </w:pPr>
            <w:r>
              <w:rPr>
                <w:sz w:val="17"/>
              </w:rPr>
              <w:t>sales_order</w:t>
            </w:r>
          </w:p>
        </w:tc>
        <w:tc>
          <w:tcPr>
            <w:tcW w:type="dxa" w:w="1746"/>
            <w:tcMar>
              <w:top w:w="20" w:type="dxa"/>
              <w:left w:w="60" w:type="dxa"/>
              <w:bottom w:w="20" w:type="dxa"/>
              <w:right w:w="60" w:type="dxa"/>
            </w:tcMar>
            <w:vAlign w:val="top"/>
          </w:tcPr>
          <w:p>
            <w:pPr>
              <w:spacing w:after="10" w:before="0" w:line="240" w:lineRule="auto"/>
            </w:pPr>
            <w:r>
              <w:rPr>
                <w:sz w:val="17"/>
              </w:rPr>
              <w:t>Agrees</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Sales returns</w:t>
            </w:r>
          </w:p>
        </w:tc>
        <w:tc>
          <w:tcPr>
            <w:tcW w:type="dxa" w:w="2619"/>
            <w:tcMar>
              <w:top w:w="20" w:type="dxa"/>
              <w:left w:w="60" w:type="dxa"/>
              <w:bottom w:w="20" w:type="dxa"/>
              <w:right w:w="60" w:type="dxa"/>
            </w:tcMar>
            <w:vAlign w:val="top"/>
          </w:tcPr>
          <w:p>
            <w:pPr>
              <w:spacing w:after="10" w:before="0" w:line="240" w:lineRule="auto"/>
            </w:pPr>
            <w:r>
              <w:rPr>
                <w:sz w:val="17"/>
              </w:rPr>
              <w:t>SALES_RETURN</w:t>
            </w:r>
          </w:p>
        </w:tc>
        <w:tc>
          <w:tcPr>
            <w:tcW w:type="dxa" w:w="2911"/>
            <w:tcMar>
              <w:top w:w="20" w:type="dxa"/>
              <w:left w:w="60" w:type="dxa"/>
              <w:bottom w:w="20" w:type="dxa"/>
              <w:right w:w="60" w:type="dxa"/>
            </w:tcMar>
            <w:vAlign w:val="top"/>
          </w:tcPr>
          <w:p>
            <w:pPr>
              <w:spacing w:after="10" w:before="0" w:line="240" w:lineRule="auto"/>
            </w:pPr>
            <w:r>
              <w:rPr>
                <w:sz w:val="17"/>
              </w:rPr>
              <w:t>sales_return</w:t>
            </w:r>
          </w:p>
        </w:tc>
        <w:tc>
          <w:tcPr>
            <w:tcW w:type="dxa" w:w="1746"/>
            <w:tcMar>
              <w:top w:w="20" w:type="dxa"/>
              <w:left w:w="60" w:type="dxa"/>
              <w:bottom w:w="20" w:type="dxa"/>
              <w:right w:w="60" w:type="dxa"/>
            </w:tcMar>
            <w:vAlign w:val="top"/>
          </w:tcPr>
          <w:p>
            <w:pPr>
              <w:spacing w:after="10" w:before="0" w:line="240" w:lineRule="auto"/>
            </w:pPr>
            <w:r>
              <w:rPr>
                <w:sz w:val="17"/>
              </w:rPr>
              <w:t>Agrees</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Stock write-offs</w:t>
            </w:r>
          </w:p>
        </w:tc>
        <w:tc>
          <w:tcPr>
            <w:tcW w:type="dxa" w:w="2619"/>
            <w:tcMar>
              <w:top w:w="20" w:type="dxa"/>
              <w:left w:w="60" w:type="dxa"/>
              <w:bottom w:w="20" w:type="dxa"/>
              <w:right w:w="60" w:type="dxa"/>
            </w:tcMar>
            <w:vAlign w:val="top"/>
          </w:tcPr>
          <w:p>
            <w:pPr>
              <w:spacing w:after="10" w:before="0" w:line="240" w:lineRule="auto"/>
            </w:pPr>
            <w:r>
              <w:rPr>
                <w:sz w:val="17"/>
              </w:rPr>
              <w:t>DAMAGED_STOCK</w:t>
            </w:r>
          </w:p>
        </w:tc>
        <w:tc>
          <w:tcPr>
            <w:tcW w:type="dxa" w:w="2911"/>
            <w:tcMar>
              <w:top w:w="20" w:type="dxa"/>
              <w:left w:w="60" w:type="dxa"/>
              <w:bottom w:w="20" w:type="dxa"/>
              <w:right w:w="60" w:type="dxa"/>
            </w:tcMar>
            <w:vAlign w:val="top"/>
          </w:tcPr>
          <w:p>
            <w:pPr>
              <w:spacing w:after="10" w:before="0" w:line="240" w:lineRule="auto"/>
            </w:pPr>
            <w:r>
              <w:rPr>
                <w:sz w:val="17"/>
              </w:rPr>
              <w:t>stock_writeoff</w:t>
            </w:r>
          </w:p>
        </w:tc>
        <w:tc>
          <w:tcPr>
            <w:tcW w:type="dxa" w:w="1746"/>
            <w:tcMar>
              <w:top w:w="20" w:type="dxa"/>
              <w:left w:w="60" w:type="dxa"/>
              <w:bottom w:w="20" w:type="dxa"/>
              <w:right w:w="60" w:type="dxa"/>
            </w:tcMar>
            <w:vAlign w:val="top"/>
          </w:tcPr>
          <w:p>
            <w:pPr>
              <w:spacing w:after="10" w:before="0" w:line="240" w:lineRule="auto"/>
            </w:pPr>
            <w:r>
              <w:rPr>
                <w:sz w:val="17"/>
              </w:rPr>
              <w:t>Agrees</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Journals and other vouchers</w:t>
            </w:r>
          </w:p>
        </w:tc>
        <w:tc>
          <w:tcPr>
            <w:tcW w:type="dxa" w:w="2619"/>
            <w:tcMar>
              <w:top w:w="20" w:type="dxa"/>
              <w:left w:w="60" w:type="dxa"/>
              <w:bottom w:w="20" w:type="dxa"/>
              <w:right w:w="60" w:type="dxa"/>
            </w:tcMar>
            <w:vAlign w:val="top"/>
          </w:tcPr>
          <w:p>
            <w:pPr>
              <w:spacing w:after="10" w:before="0" w:line="240" w:lineRule="auto"/>
            </w:pPr>
            <w:r>
              <w:rPr>
                <w:sz w:val="17"/>
              </w:rPr>
              <w:t>none</w:t>
            </w:r>
          </w:p>
        </w:tc>
        <w:tc>
          <w:tcPr>
            <w:tcW w:type="dxa" w:w="2911"/>
            <w:tcMar>
              <w:top w:w="20" w:type="dxa"/>
              <w:left w:w="60" w:type="dxa"/>
              <w:bottom w:w="20" w:type="dxa"/>
              <w:right w:w="60" w:type="dxa"/>
            </w:tcMar>
            <w:vAlign w:val="top"/>
          </w:tcPr>
          <w:p>
            <w:pPr>
              <w:spacing w:after="10" w:before="0" w:line="240" w:lineRule="auto"/>
            </w:pPr>
            <w:r>
              <w:rPr>
                <w:sz w:val="17"/>
              </w:rPr>
              <w:t>all other types (journal, opening, ...)</w:t>
            </w:r>
          </w:p>
        </w:tc>
        <w:tc>
          <w:tcPr>
            <w:tcW w:type="dxa" w:w="1746"/>
            <w:tcMar>
              <w:top w:w="20" w:type="dxa"/>
              <w:left w:w="60" w:type="dxa"/>
              <w:bottom w:w="20" w:type="dxa"/>
              <w:right w:w="60" w:type="dxa"/>
            </w:tcMar>
            <w:vAlign w:val="top"/>
          </w:tcPr>
          <w:p>
            <w:pPr>
              <w:spacing w:after="10" w:before="0" w:line="240" w:lineRule="auto"/>
            </w:pPr>
            <w:r>
              <w:rPr>
                <w:sz w:val="17"/>
              </w:rPr>
              <w:t>Shown as a ledger-only amount</w:t>
            </w:r>
          </w:p>
        </w:tc>
      </w:tr>
    </w:tbl>
    <w:p>
      <w:pPr>
        <w:spacing w:after="0" w:before="0"/>
        <w:rPr>
          <w:sz w:val="6"/>
        </w:rPr>
      </w:pPr>
    </w:p>
    <w:p>
      <w:r>
        <w:t>The first line's printed note says that opening stock (Opening balances) and manual quantity changes are posted to the ledger, and that a difference on the line is a quantity typed on a new item or a change made while ledger posting was off, to be fixed by a journal to the Inventory account. A posted adjustment is on both sides of the line (test: stockReports.test.js, 'a manual stock adjustment is posted, so stock and the Inventory account still agree').</w:t>
      </w:r>
    </w:p>
    <w:p>
      <w:pPr>
        <w:pStyle w:val="Heading2"/>
      </w:pPr>
      <w:r>
        <w:t>4.16 Stock movement</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Stock movement summary</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For each item: opening, what came in and went out by kind, and closing, in quantity and in value.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Movement.</w:t>
            </w:r>
          </w:p>
          <w:p>
            <w:pPr>
              <w:spacing w:after="10" w:before="0" w:line="240" w:lineRule="auto"/>
            </w:pPr>
            <w:r>
              <w:rPr>
                <w:sz w:val="17"/>
              </w:rPr>
              <w:t xml:space="preserve">API: </w:t>
            </w:r>
            <w:r>
              <w:rPr>
                <w:rFonts w:ascii="Consolas" w:hAnsi="Consolas" w:eastAsia="Consolas"/>
                <w:sz w:val="16"/>
              </w:rPr>
              <w:t>GET /api/v1/stock-reports/movement?from=&amp;to=&amp;categoryId=&amp;search=&amp;includeZero=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As the valuation: live inventory movements, the item master, categories, the Inventory account.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(default the first day of the current month in Dubai) to </w:t>
            </w:r>
            <w:r>
              <w:rPr>
                <w:rFonts w:ascii="Consolas" w:hAnsi="Consolas" w:eastAsia="Consolas"/>
                <w:sz w:val="16"/>
              </w:rPr>
              <w:t>to</w:t>
            </w:r>
            <w:r>
              <w:rPr>
                <w:sz w:val="17"/>
              </w:rPr>
              <w:t xml:space="preserve"> (default today).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Opening = the position (as above, with the implicit opening) before </w:t>
            </w:r>
            <w:r>
              <w:rPr>
                <w:rFonts w:ascii="Consolas" w:hAnsi="Consolas" w:eastAsia="Consolas"/>
                <w:sz w:val="16"/>
              </w:rPr>
              <w:t>from</w:t>
            </w:r>
            <w:r>
              <w:rPr>
                <w:sz w:val="17"/>
              </w:rPr>
              <w:t>. Each kind of movement in the period is summed in quantity and value: purchases, purchase returns, sales, sales returns, write-offs (DAMAGED_STOCK) and adjustments (everything else: INITIAL_STOCK, OPENING_STOCK, STOCK_ADJUSTMENT, TRANSFER_IN, TRANSFER_OUT).</w:t>
            </w:r>
          </w:p>
          <w:p>
            <w:pPr>
              <w:tabs>
                <w:tab w:pos="202" w:val="left"/>
              </w:tabs>
              <w:spacing w:after="10" w:before="0" w:line="240" w:lineRule="auto"/>
              <w:ind w:left="202" w:hanging="202"/>
            </w:pPr>
            <w:r>
              <w:rPr>
                <w:sz w:val="17"/>
              </w:rPr>
              <w:t>•</w:t>
              <w:tab/>
              <w:t>The three outgoing kinds (purchase returns, sales, write-offs) are shown as positive magnitudes.</w:t>
            </w:r>
          </w:p>
          <w:p>
            <w:pPr>
              <w:tabs>
                <w:tab w:pos="202" w:val="left"/>
              </w:tabs>
              <w:spacing w:after="10" w:before="0" w:line="240" w:lineRule="auto"/>
              <w:ind w:left="202" w:hanging="202"/>
            </w:pPr>
            <w:r>
              <w:rPr>
                <w:sz w:val="17"/>
              </w:rPr>
              <w:t>•</w:t>
              <w:tab/>
            </w:r>
            <w:r>
              <w:rPr>
                <w:b/>
                <w:sz w:val="17"/>
              </w:rPr>
              <w:t>closing = opening + purchases + sales returns + adjustments - purchase returns - sales - write-offs</w:t>
            </w:r>
            <w:r>
              <w:rPr>
                <w:sz w:val="17"/>
              </w:rPr>
              <w:t>, for quantity and for value, item by item and in total.</w:t>
            </w:r>
          </w:p>
          <w:p>
            <w:pPr>
              <w:tabs>
                <w:tab w:pos="202" w:val="left"/>
              </w:tabs>
              <w:spacing w:after="10" w:before="0" w:line="240" w:lineRule="auto"/>
              <w:ind w:left="202" w:hanging="202"/>
            </w:pPr>
            <w:r>
              <w:rPr>
                <w:sz w:val="17"/>
              </w:rPr>
              <w:t>•</w:t>
              <w:tab/>
            </w:r>
            <w:r>
              <w:rPr>
                <w:rFonts w:ascii="Consolas" w:hAnsi="Consolas" w:eastAsia="Consolas"/>
                <w:sz w:val="16"/>
              </w:rPr>
              <w:t>adjustments</w:t>
            </w:r>
            <w:r>
              <w:rPr>
                <w:sz w:val="17"/>
              </w:rPr>
              <w:t xml:space="preserve"> is signed, because opening-stock entries and manual corrections can go either way.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 xml:space="preserve">Items with nothing in the period but stock on hand still show opening and closing. Rows that are all zero are hidden unless </w:t>
            </w:r>
            <w:r>
              <w:rPr>
                <w:rFonts w:ascii="Consolas" w:hAnsi="Consolas" w:eastAsia="Consolas"/>
                <w:sz w:val="16"/>
              </w:rPr>
              <w:t>includeZero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The closing value equals the valuation at the end date; the reconciliation block is the same as the valuation's (test: stockReports.test.js).</w:t>
            </w:r>
          </w:p>
          <w:p>
            <w:pPr>
              <w:tabs>
                <w:tab w:pos="202" w:val="left"/>
              </w:tabs>
              <w:spacing w:after="10" w:before="0" w:line="240" w:lineRule="auto"/>
              <w:ind w:left="202" w:hanging="202"/>
            </w:pPr>
            <w:r>
              <w:rPr>
                <w:sz w:val="17"/>
              </w:rPr>
              <w:t>•</w:t>
              <w:tab/>
              <w:t>The identity above holds for every row and for the totals (asserted in the test).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rows[{item, opening, purchases, purchaseReturns, sales, salesReturns, writeOffs, adjustments, closing}] each with {qty, value}, totals, reconciliation. Screen with a quantity/value toggle and CSV.</w:t>
            </w:r>
          </w:p>
        </w:tc>
      </w:tr>
    </w:tbl>
    <w:p>
      <w:pPr>
        <w:spacing w:after="0" w:before="0"/>
        <w:rPr>
          <w:sz w:val="8"/>
        </w:rPr>
      </w:pPr>
    </w:p>
    <w:p>
      <w:pPr>
        <w:pStyle w:val="Heading2"/>
      </w:pPr>
      <w:r>
        <w:t>4.17 Item ledger</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Item stock ledger</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Every movement of one item with a running quantity and value.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Item ledger.</w:t>
            </w:r>
          </w:p>
          <w:p>
            <w:pPr>
              <w:spacing w:after="10" w:before="0" w:line="240" w:lineRule="auto"/>
            </w:pPr>
            <w:r>
              <w:rPr>
                <w:sz w:val="17"/>
              </w:rPr>
              <w:t xml:space="preserve">API: </w:t>
            </w:r>
            <w:r>
              <w:rPr>
                <w:rFonts w:ascii="Consolas" w:hAnsi="Consolas" w:eastAsia="Consolas"/>
                <w:sz w:val="16"/>
              </w:rPr>
              <w:t>GET /api/v1/stock-reports/item-ledger?itemId=&amp;from=&amp;to=</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Live inventory movements of the item, the documents behind them (party, batches), the item master.</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itemId</w:t>
            </w:r>
            <w:r>
              <w:rPr>
                <w:sz w:val="17"/>
              </w:rPr>
              <w:t xml:space="preserve"> is the item's id or code. </w:t>
            </w:r>
            <w:r>
              <w:rPr>
                <w:rFonts w:ascii="Consolas" w:hAnsi="Consolas" w:eastAsia="Consolas"/>
                <w:sz w:val="16"/>
              </w:rPr>
              <w:t>from</w:t>
            </w:r>
            <w:r>
              <w:rPr>
                <w:sz w:val="17"/>
              </w:rPr>
              <w:t xml:space="preserve">, </w:t>
            </w:r>
            <w:r>
              <w:rPr>
                <w:rFonts w:ascii="Consolas" w:hAnsi="Consolas" w:eastAsia="Consolas"/>
                <w:sz w:val="16"/>
              </w:rPr>
              <w:t>to</w:t>
            </w:r>
            <w:r>
              <w:rPr>
                <w:sz w:val="17"/>
              </w:rPr>
              <w:t xml:space="preserve"> as above (no default </w:t>
            </w:r>
            <w:r>
              <w:rPr>
                <w:rFonts w:ascii="Consolas" w:hAnsi="Consolas" w:eastAsia="Consolas"/>
                <w:sz w:val="16"/>
              </w:rPr>
              <w:t>from</w:t>
            </w:r>
            <w:r>
              <w:rPr>
                <w:sz w:val="17"/>
              </w:rPr>
              <w:t>: the whole history).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Opening = implicit opening + the signed effect of movements before </w:t>
            </w:r>
            <w:r>
              <w:rPr>
                <w:rFonts w:ascii="Consolas" w:hAnsi="Consolas" w:eastAsia="Consolas"/>
                <w:sz w:val="16"/>
              </w:rPr>
              <w:t>from</w:t>
            </w:r>
            <w:r>
              <w:rPr>
                <w:sz w:val="17"/>
              </w:rPr>
              <w:t>.</w:t>
            </w:r>
          </w:p>
          <w:p>
            <w:pPr>
              <w:tabs>
                <w:tab w:pos="202" w:val="left"/>
              </w:tabs>
              <w:spacing w:after="10" w:before="0" w:line="240" w:lineRule="auto"/>
              <w:ind w:left="202" w:hanging="202"/>
            </w:pPr>
            <w:r>
              <w:rPr>
                <w:sz w:val="17"/>
              </w:rPr>
              <w:t>•</w:t>
              <w:tab/>
              <w:t xml:space="preserve">Per row: date, document number, type (Purchase, Sale, Sales return, Purchase return, Write-off, Opening stock, Stock adjustment ...), party, batch, </w:t>
            </w:r>
            <w:r>
              <w:rPr>
                <w:rFonts w:ascii="Consolas" w:hAnsi="Consolas" w:eastAsia="Consolas"/>
                <w:sz w:val="16"/>
              </w:rPr>
              <w:t>qtyIn</w:t>
            </w:r>
            <w:r>
              <w:rPr>
                <w:sz w:val="17"/>
              </w:rPr>
              <w:t xml:space="preserve"> or </w:t>
            </w:r>
            <w:r>
              <w:rPr>
                <w:rFonts w:ascii="Consolas" w:hAnsi="Consolas" w:eastAsia="Consolas"/>
                <w:sz w:val="16"/>
              </w:rPr>
              <w:t>qtyOut</w:t>
            </w:r>
            <w:r>
              <w:rPr>
                <w:sz w:val="17"/>
              </w:rPr>
              <w:t xml:space="preserve">, </w:t>
            </w:r>
            <w:r>
              <w:rPr>
                <w:rFonts w:ascii="Consolas" w:hAnsi="Consolas" w:eastAsia="Consolas"/>
                <w:sz w:val="16"/>
              </w:rPr>
              <w:t>unitCost</w:t>
            </w:r>
            <w:r>
              <w:rPr>
                <w:sz w:val="17"/>
              </w:rPr>
              <w:t xml:space="preserve"> (the movement's unit cost, else |value| / |quantity|), </w:t>
            </w:r>
            <w:r>
              <w:rPr>
                <w:rFonts w:ascii="Consolas" w:hAnsi="Consolas" w:eastAsia="Consolas"/>
                <w:sz w:val="16"/>
              </w:rPr>
              <w:t>valueIn</w:t>
            </w:r>
            <w:r>
              <w:rPr>
                <w:sz w:val="17"/>
              </w:rPr>
              <w:t xml:space="preserve"> or </w:t>
            </w:r>
            <w:r>
              <w:rPr>
                <w:rFonts w:ascii="Consolas" w:hAnsi="Consolas" w:eastAsia="Consolas"/>
                <w:sz w:val="16"/>
              </w:rPr>
              <w:t>valueOut</w:t>
            </w:r>
            <w:r>
              <w:rPr>
                <w:sz w:val="17"/>
              </w:rPr>
              <w:t xml:space="preserve">, and the running </w:t>
            </w:r>
            <w:r>
              <w:rPr>
                <w:rFonts w:ascii="Consolas" w:hAnsi="Consolas" w:eastAsia="Consolas"/>
                <w:sz w:val="16"/>
              </w:rPr>
              <w:t>balanceQty</w:t>
            </w:r>
            <w:r>
              <w:rPr>
                <w:sz w:val="17"/>
              </w:rPr>
              <w:t xml:space="preserve"> and </w:t>
            </w:r>
            <w:r>
              <w:rPr>
                <w:rFonts w:ascii="Consolas" w:hAnsi="Consolas" w:eastAsia="Consolas"/>
                <w:sz w:val="16"/>
              </w:rPr>
              <w:t>balanceValue</w:t>
            </w:r>
            <w:r>
              <w:rPr>
                <w:sz w:val="17"/>
              </w:rPr>
              <w:t>. Closing average = value / qty if qty &gt; 0, else the last rate.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At most 5,000 rows (</w:t>
            </w:r>
            <w:r>
              <w:rPr>
                <w:rFonts w:ascii="Consolas" w:hAnsi="Consolas" w:eastAsia="Consolas"/>
                <w:sz w:val="16"/>
              </w:rPr>
              <w:t>truncated</w:t>
            </w:r>
            <w:r>
              <w:rPr>
                <w:sz w:val="17"/>
              </w:rPr>
              <w:t xml:space="preserve"> says if more exist). Reversed movements and their reversal rows are left out.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Closing quantity and value equal the item's row in the valuation at the end date (test: stockReports.test.js).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item, opening, rows, totals, closing{qty, value, avgCost}, truncated. Screen with CSV.</w:t>
            </w:r>
          </w:p>
        </w:tc>
      </w:tr>
    </w:tbl>
    <w:p>
      <w:pPr>
        <w:spacing w:after="0" w:before="0"/>
        <w:rPr>
          <w:sz w:val="8"/>
        </w:rPr>
      </w:pPr>
    </w:p>
    <w:p>
      <w:pPr>
        <w:pStyle w:val="Heading2"/>
      </w:pPr>
      <w:r>
        <w:t>4.18 Sales and purchase analysis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Sales and purchase analysis</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How much was sold or bought, for how much, at what cost and margin, by item, category or party?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Sales analysis.</w:t>
            </w:r>
          </w:p>
          <w:p>
            <w:pPr>
              <w:spacing w:after="10" w:before="0" w:line="240" w:lineRule="auto"/>
            </w:pPr>
            <w:r>
              <w:rPr>
                <w:sz w:val="17"/>
              </w:rPr>
              <w:t xml:space="preserve">API: </w:t>
            </w:r>
            <w:r>
              <w:rPr>
                <w:rFonts w:ascii="Consolas" w:hAnsi="Consolas" w:eastAsia="Consolas"/>
                <w:sz w:val="16"/>
              </w:rPr>
              <w:t>GET /api/v1/stock-reports/sales-analysis?from=&amp;to=&amp;groupBy=item|category|customer&amp;direction=sales|purchases&amp;categoryId=&amp;search=</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Approved trade document lines (and their parties) for revenue; inventory movements for cost.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(default the first day of the current month) to </w:t>
            </w:r>
            <w:r>
              <w:rPr>
                <w:rFonts w:ascii="Consolas" w:hAnsi="Consolas" w:eastAsia="Consolas"/>
                <w:sz w:val="16"/>
              </w:rPr>
              <w:t>to</w:t>
            </w:r>
            <w:r>
              <w:rPr>
                <w:sz w:val="17"/>
              </w:rPr>
              <w:t xml:space="preserve"> (default today), Dubai days. Documents are selected by document date, movements by movement date.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b/>
                <w:sz w:val="17"/>
              </w:rPr>
              <w:t>Sales.</w:t>
            </w:r>
            <w:r>
              <w:rPr>
                <w:sz w:val="17"/>
              </w:rPr>
              <w:t xml:space="preserve"> For each group:</w:t>
            </w:r>
          </w:p>
          <w:p>
            <w:pPr>
              <w:tabs>
                <w:tab w:pos="202" w:val="left"/>
              </w:tabs>
              <w:spacing w:after="10" w:before="0" w:line="240" w:lineRule="auto"/>
              <w:ind w:left="202" w:hanging="202"/>
            </w:pPr>
            <w:r>
              <w:rPr>
                <w:sz w:val="17"/>
              </w:rPr>
              <w:t>•</w:t>
              <w:tab/>
            </w:r>
            <w:r>
              <w:rPr>
                <w:rFonts w:ascii="Consolas" w:hAnsi="Consolas" w:eastAsia="Consolas"/>
                <w:sz w:val="16"/>
              </w:rPr>
              <w:t>revenue</w:t>
            </w:r>
            <w:r>
              <w:rPr>
                <w:sz w:val="17"/>
              </w:rPr>
              <w:t xml:space="preserve"> = sum of (lineTotal - vatAmount) of sales invoice lines; </w:t>
            </w:r>
            <w:r>
              <w:rPr>
                <w:rFonts w:ascii="Consolas" w:hAnsi="Consolas" w:eastAsia="Consolas"/>
                <w:sz w:val="16"/>
              </w:rPr>
              <w:t>returns</w:t>
            </w:r>
            <w:r>
              <w:rPr>
                <w:sz w:val="17"/>
              </w:rPr>
              <w:t xml:space="preserve"> = the same for sales return lines; </w:t>
            </w:r>
            <w:r>
              <w:rPr>
                <w:rFonts w:ascii="Consolas" w:hAnsi="Consolas" w:eastAsia="Consolas"/>
                <w:sz w:val="16"/>
              </w:rPr>
              <w:t>netRevenue</w:t>
            </w:r>
            <w:r>
              <w:rPr>
                <w:sz w:val="17"/>
              </w:rPr>
              <w:t xml:space="preserve"> = revenue - returns. So revenue </w:t>
            </w:r>
            <w:r>
              <w:rPr>
                <w:b/>
                <w:sz w:val="17"/>
              </w:rPr>
              <w:t>excludes VAT</w:t>
            </w:r>
            <w:r>
              <w:rPr>
                <w:sz w:val="17"/>
              </w:rPr>
              <w:t xml:space="preserve">, is </w:t>
            </w:r>
            <w:r>
              <w:rPr>
                <w:b/>
                <w:sz w:val="17"/>
              </w:rPr>
              <w:t>after line discounts</w:t>
            </w:r>
            <w:r>
              <w:rPr>
                <w:sz w:val="17"/>
              </w:rPr>
              <w:t xml:space="preserve">, and is </w:t>
            </w:r>
            <w:r>
              <w:rPr>
                <w:b/>
                <w:sz w:val="17"/>
              </w:rPr>
              <w:t>net of returns</w:t>
            </w:r>
            <w:r>
              <w:rPr>
                <w:sz w:val="17"/>
              </w:rPr>
              <w:t>.</w:t>
            </w:r>
          </w:p>
          <w:p>
            <w:pPr>
              <w:tabs>
                <w:tab w:pos="202" w:val="left"/>
              </w:tabs>
              <w:spacing w:after="10" w:before="0" w:line="240" w:lineRule="auto"/>
              <w:ind w:left="202" w:hanging="202"/>
            </w:pPr>
            <w:r>
              <w:rPr>
                <w:sz w:val="17"/>
              </w:rPr>
              <w:t>•</w:t>
              <w:tab/>
            </w:r>
            <w:r>
              <w:rPr>
                <w:rFonts w:ascii="Consolas" w:hAnsi="Consolas" w:eastAsia="Consolas"/>
                <w:sz w:val="16"/>
              </w:rPr>
              <w:t>quantity</w:t>
            </w:r>
            <w:r>
              <w:rPr>
                <w:sz w:val="17"/>
              </w:rPr>
              <w:t xml:space="preserve"> = sold quantity - returned quantity.</w:t>
            </w:r>
          </w:p>
          <w:p>
            <w:pPr>
              <w:tabs>
                <w:tab w:pos="202" w:val="left"/>
              </w:tabs>
              <w:spacing w:after="10" w:before="0" w:line="240" w:lineRule="auto"/>
              <w:ind w:left="202" w:hanging="202"/>
            </w:pPr>
            <w:r>
              <w:rPr>
                <w:sz w:val="17"/>
              </w:rPr>
              <w:t>•</w:t>
              <w:tab/>
            </w:r>
            <w:r>
              <w:rPr>
                <w:rFonts w:ascii="Consolas" w:hAnsi="Consolas" w:eastAsia="Consolas"/>
                <w:sz w:val="16"/>
              </w:rPr>
              <w:t>cogs</w:t>
            </w:r>
            <w:r>
              <w:rPr>
                <w:sz w:val="17"/>
              </w:rPr>
              <w:t xml:space="preserve"> = sum over SALES_DISPATCH movements of </w:t>
            </w:r>
            <w:r>
              <w:rPr>
                <w:rFonts w:ascii="Consolas" w:hAnsi="Consolas" w:eastAsia="Consolas"/>
                <w:sz w:val="16"/>
              </w:rPr>
              <w:t>cogsAmount</w:t>
            </w:r>
            <w:r>
              <w:rPr>
                <w:sz w:val="17"/>
              </w:rPr>
              <w:t xml:space="preserve"> (else </w:t>
            </w:r>
            <w:r>
              <w:rPr>
                <w:rFonts w:ascii="Consolas" w:hAnsi="Consolas" w:eastAsia="Consolas"/>
                <w:sz w:val="16"/>
              </w:rPr>
              <w:t>totalValue</w:t>
            </w:r>
            <w:r>
              <w:rPr>
                <w:sz w:val="17"/>
              </w:rPr>
              <w:t xml:space="preserve">) minus the </w:t>
            </w:r>
            <w:r>
              <w:rPr>
                <w:rFonts w:ascii="Consolas" w:hAnsi="Consolas" w:eastAsia="Consolas"/>
                <w:sz w:val="16"/>
              </w:rPr>
              <w:t>totalValue</w:t>
            </w:r>
            <w:r>
              <w:rPr>
                <w:sz w:val="17"/>
              </w:rPr>
              <w:t xml:space="preserve"> of SALES_RETURN movements, for approved documents. It is the </w:t>
            </w:r>
            <w:r>
              <w:rPr>
                <w:b/>
                <w:sz w:val="17"/>
              </w:rPr>
              <w:t>actual cost stamped on the movements</w:t>
            </w:r>
            <w:r>
              <w:rPr>
                <w:sz w:val="17"/>
              </w:rPr>
              <w:t>, not an estimate.</w:t>
            </w:r>
          </w:p>
          <w:p>
            <w:pPr>
              <w:tabs>
                <w:tab w:pos="202" w:val="left"/>
              </w:tabs>
              <w:spacing w:after="10" w:before="0" w:line="240" w:lineRule="auto"/>
              <w:ind w:left="202" w:hanging="202"/>
            </w:pPr>
            <w:r>
              <w:rPr>
                <w:sz w:val="17"/>
              </w:rPr>
              <w:t>•</w:t>
              <w:tab/>
            </w:r>
            <w:r>
              <w:rPr>
                <w:rFonts w:ascii="Consolas" w:hAnsi="Consolas" w:eastAsia="Consolas"/>
                <w:sz w:val="16"/>
              </w:rPr>
              <w:t>grossProfit</w:t>
            </w:r>
            <w:r>
              <w:rPr>
                <w:sz w:val="17"/>
              </w:rPr>
              <w:t xml:space="preserve"> = netRevenue - cogs; </w:t>
            </w:r>
            <w:r>
              <w:rPr>
                <w:rFonts w:ascii="Consolas" w:hAnsi="Consolas" w:eastAsia="Consolas"/>
                <w:sz w:val="16"/>
              </w:rPr>
              <w:t>marginPct</w:t>
            </w:r>
            <w:r>
              <w:rPr>
                <w:sz w:val="17"/>
              </w:rPr>
              <w:t xml:space="preserve"> = grossProfit / netRevenue x 100 (empty if netRevenue &lt;= 0); </w:t>
            </w:r>
            <w:r>
              <w:rPr>
                <w:rFonts w:ascii="Consolas" w:hAnsi="Consolas" w:eastAsia="Consolas"/>
                <w:sz w:val="16"/>
              </w:rPr>
              <w:t>sharePct</w:t>
            </w:r>
            <w:r>
              <w:rPr>
                <w:sz w:val="17"/>
              </w:rPr>
              <w:t xml:space="preserve"> = netRevenue / total netRevenue x 100. Rows are sorted by netRevenue.</w:t>
            </w:r>
          </w:p>
          <w:p>
            <w:pPr>
              <w:spacing w:after="10" w:before="0" w:line="240" w:lineRule="auto"/>
            </w:pPr>
            <w:r>
              <w:rPr>
                <w:b/>
                <w:sz w:val="17"/>
              </w:rPr>
              <w:t>Purchases.</w:t>
            </w:r>
            <w:r>
              <w:rPr>
                <w:sz w:val="17"/>
              </w:rPr>
              <w:t xml:space="preserve"> </w:t>
            </w:r>
            <w:r>
              <w:rPr>
                <w:rFonts w:ascii="Consolas" w:hAnsi="Consolas" w:eastAsia="Consolas"/>
                <w:sz w:val="16"/>
              </w:rPr>
              <w:t>purchased</w:t>
            </w:r>
            <w:r>
              <w:rPr>
                <w:sz w:val="17"/>
              </w:rPr>
              <w:t xml:space="preserve">, </w:t>
            </w:r>
            <w:r>
              <w:rPr>
                <w:rFonts w:ascii="Consolas" w:hAnsi="Consolas" w:eastAsia="Consolas"/>
                <w:sz w:val="16"/>
              </w:rPr>
              <w:t>returned</w:t>
            </w:r>
            <w:r>
              <w:rPr>
                <w:sz w:val="17"/>
              </w:rPr>
              <w:t xml:space="preserve">, </w:t>
            </w:r>
            <w:r>
              <w:rPr>
                <w:rFonts w:ascii="Consolas" w:hAnsi="Consolas" w:eastAsia="Consolas"/>
                <w:sz w:val="16"/>
              </w:rPr>
              <w:t>netValue</w:t>
            </w:r>
            <w:r>
              <w:rPr>
                <w:sz w:val="17"/>
              </w:rPr>
              <w:t xml:space="preserve"> = purchased - returned (VAT excluded), </w:t>
            </w:r>
            <w:r>
              <w:rPr>
                <w:rFonts w:ascii="Consolas" w:hAnsi="Consolas" w:eastAsia="Consolas"/>
                <w:sz w:val="16"/>
              </w:rPr>
              <w:t>avgPrice</w:t>
            </w:r>
            <w:r>
              <w:rPr>
                <w:sz w:val="17"/>
              </w:rPr>
              <w:t xml:space="preserve"> = netValue / quantity, and the number of vendors.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Statuses APPROVED, PAID and PARTIAL (the last two are what older versions wrote) count as approved. Opening invoices are left out.</w:t>
            </w:r>
          </w:p>
          <w:p>
            <w:pPr>
              <w:tabs>
                <w:tab w:pos="202" w:val="left"/>
              </w:tabs>
              <w:spacing w:after="10" w:before="0" w:line="240" w:lineRule="auto"/>
              <w:ind w:left="202" w:hanging="202"/>
            </w:pPr>
            <w:r>
              <w:rPr>
                <w:sz w:val="17"/>
              </w:rPr>
              <w:t>•</w:t>
              <w:tab/>
              <w:t>A header discount or header charge is not allocated to items, so it is not in these figures.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Net revenue here differs from the ledger's Sales Revenue by the line discounts (the ledger posts revenue gross) and by header-level amounts.</w:t>
            </w:r>
          </w:p>
          <w:p>
            <w:pPr>
              <w:tabs>
                <w:tab w:pos="202" w:val="left"/>
              </w:tabs>
              <w:spacing w:after="10" w:before="0" w:line="240" w:lineRule="auto"/>
              <w:ind w:left="202" w:hanging="202"/>
            </w:pPr>
            <w:r>
              <w:rPr>
                <w:sz w:val="17"/>
              </w:rPr>
              <w:t>•</w:t>
              <w:tab/>
            </w:r>
            <w:r>
              <w:rPr>
                <w:rFonts w:ascii="Consolas" w:hAnsi="Consolas" w:eastAsia="Consolas"/>
                <w:sz w:val="16"/>
              </w:rPr>
              <w:t>cogs</w:t>
            </w:r>
            <w:r>
              <w:rPr>
                <w:sz w:val="17"/>
              </w:rPr>
              <w:t xml:space="preserve"> is built from the same cost figures that are posted to the cost-of-goods account for those documents; the test compares it with the sum of the cost stamped on the movements (stockReports.test.js).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 with the figures above, totals, groupBy, direction. Screen with CSV.</w:t>
            </w:r>
          </w:p>
        </w:tc>
      </w:tr>
    </w:tbl>
    <w:p>
      <w:pPr>
        <w:spacing w:after="0" w:before="0"/>
        <w:rPr>
          <w:sz w:val="8"/>
        </w:rPr>
      </w:pPr>
    </w:p>
    <w:p>
      <w:pPr>
        <w:pStyle w:val="Heading2"/>
      </w:pPr>
      <w:r>
        <w:t>4.19 Batch expiry</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Batch expiry</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batches with stock on hand expire within a number of days, or have already expired?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Expiry.</w:t>
            </w:r>
          </w:p>
          <w:p>
            <w:pPr>
              <w:spacing w:after="10" w:before="0" w:line="240" w:lineRule="auto"/>
            </w:pPr>
            <w:r>
              <w:rPr>
                <w:sz w:val="17"/>
              </w:rPr>
              <w:t xml:space="preserve">API: </w:t>
            </w:r>
            <w:r>
              <w:rPr>
                <w:rFonts w:ascii="Consolas" w:hAnsi="Consolas" w:eastAsia="Consolas"/>
                <w:sz w:val="16"/>
              </w:rPr>
              <w:t>GET /api/v1/stock-reports/expiry?withinDays=&amp;categoryId=&amp;search=</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Stock batches (one per receipt) and the item master.</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withinDays</w:t>
            </w:r>
            <w:r>
              <w:rPr>
                <w:sz w:val="17"/>
              </w:rPr>
              <w:t xml:space="preserve"> (default 30, 0 to 3,650). A batch is listed if it is active, has quantity on hand above zero and an expiry date on or before now + withinDays.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Order: earliest expiry, then earliest receipt (first-expiry-first-out); </w:t>
            </w:r>
            <w:r>
              <w:rPr>
                <w:rFonts w:ascii="Consolas" w:hAnsi="Consolas" w:eastAsia="Consolas"/>
                <w:sz w:val="16"/>
              </w:rPr>
              <w:t>fefoRank</w:t>
            </w:r>
            <w:r>
              <w:rPr>
                <w:sz w:val="17"/>
              </w:rPr>
              <w:t xml:space="preserve"> is the position within the item. </w:t>
            </w:r>
            <w:r>
              <w:rPr>
                <w:rFonts w:ascii="Consolas" w:hAnsi="Consolas" w:eastAsia="Consolas"/>
                <w:sz w:val="16"/>
              </w:rPr>
              <w:t>daysToExpiry</w:t>
            </w:r>
            <w:r>
              <w:rPr>
                <w:sz w:val="17"/>
              </w:rPr>
              <w:t xml:space="preserve"> = ceiling((expiry - now) / one day); </w:t>
            </w:r>
            <w:r>
              <w:rPr>
                <w:rFonts w:ascii="Consolas" w:hAnsi="Consolas" w:eastAsia="Consolas"/>
                <w:sz w:val="16"/>
              </w:rPr>
              <w:t>expired</w:t>
            </w:r>
            <w:r>
              <w:rPr>
                <w:sz w:val="17"/>
              </w:rPr>
              <w:t xml:space="preserve"> when the expiry is earlier than now.</w:t>
            </w:r>
          </w:p>
          <w:p>
            <w:pPr>
              <w:tabs>
                <w:tab w:pos="202" w:val="left"/>
              </w:tabs>
              <w:spacing w:after="10" w:before="0" w:line="240" w:lineRule="auto"/>
              <w:ind w:left="202" w:hanging="202"/>
            </w:pPr>
            <w:r>
              <w:rPr>
                <w:sz w:val="17"/>
              </w:rPr>
              <w:t>•</w:t>
              <w:tab/>
            </w:r>
            <w:r>
              <w:rPr>
                <w:rFonts w:ascii="Consolas" w:hAnsi="Consolas" w:eastAsia="Consolas"/>
                <w:sz w:val="16"/>
              </w:rPr>
              <w:t>valueAtCost</w:t>
            </w:r>
            <w:r>
              <w:rPr>
                <w:sz w:val="17"/>
              </w:rPr>
              <w:t xml:space="preserve"> = qtyOnHand x the item's </w:t>
            </w:r>
            <w:r>
              <w:rPr>
                <w:b/>
                <w:sz w:val="17"/>
              </w:rPr>
              <w:t>current average cost</w:t>
            </w:r>
            <w:r>
              <w:rPr>
                <w:sz w:val="17"/>
              </w:rPr>
              <w:t>: batches are not cost layers, and a write-off leaves stock at the average, so this is what writing the batch off would cost. The receipt cost is shown for information. Totals are split into expired and expiring.</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Batches with no expiry date are never listed. Stock on hand is always today's; it cannot be wound back.</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Batch quantities are kept apart from the item quantity; stock that arrived before batches existed has no batch and is not listed.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rows[{batchNumber, itemName, qtyOnHand, expiryDate, daysToExpiry, expired, fefoRank, unitCost, receiptCost, valueAtCost}], totals. Screen with CSV.</w:t>
            </w:r>
          </w:p>
        </w:tc>
      </w:tr>
    </w:tbl>
    <w:p>
      <w:pPr>
        <w:spacing w:after="0" w:before="0"/>
        <w:rPr>
          <w:sz w:val="8"/>
        </w:rPr>
      </w:pPr>
    </w:p>
    <w:p>
      <w:pPr>
        <w:pStyle w:val="Heading2"/>
      </w:pPr>
      <w:r>
        <w:t>4.20 Slow-moving stock</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Slow-moving stock</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items have stock on hand but have not sold for a number of days?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Slow stock.</w:t>
            </w:r>
          </w:p>
          <w:p>
            <w:pPr>
              <w:spacing w:after="10" w:before="0" w:line="240" w:lineRule="auto"/>
            </w:pPr>
            <w:r>
              <w:rPr>
                <w:sz w:val="17"/>
              </w:rPr>
              <w:t xml:space="preserve">API: </w:t>
            </w:r>
            <w:r>
              <w:rPr>
                <w:rFonts w:ascii="Consolas" w:hAnsi="Consolas" w:eastAsia="Consolas"/>
                <w:sz w:val="16"/>
              </w:rPr>
              <w:t>GET /api/v1/stock-reports/slow-moving?days=&amp;categoryId=&amp;search=</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The same positions as the valuation (as at now), and each item's last sale and first receipt.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days</w:t>
            </w:r>
            <w:r>
              <w:rPr>
                <w:sz w:val="17"/>
              </w:rPr>
              <w:t xml:space="preserve"> (default 90, 1 to 3,650).</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Listed if quantity &gt; 0 and the reference date is more than </w:t>
            </w:r>
            <w:r>
              <w:rPr>
                <w:rFonts w:ascii="Consolas" w:hAnsi="Consolas" w:eastAsia="Consolas"/>
                <w:sz w:val="16"/>
              </w:rPr>
              <w:t>days</w:t>
            </w:r>
            <w:r>
              <w:rPr>
                <w:sz w:val="17"/>
              </w:rPr>
              <w:t xml:space="preserve"> days ago. Reference date = the last SALES_DISPATCH movement; if never sold, the first incoming movement (stock that arrived yesterday is not called dead).</w:t>
            </w:r>
          </w:p>
          <w:p>
            <w:pPr>
              <w:tabs>
                <w:tab w:pos="202" w:val="left"/>
              </w:tabs>
              <w:spacing w:after="10" w:before="0" w:line="240" w:lineRule="auto"/>
              <w:ind w:left="202" w:hanging="202"/>
            </w:pPr>
            <w:r>
              <w:rPr>
                <w:sz w:val="17"/>
              </w:rPr>
              <w:t>•</w:t>
              <w:tab/>
            </w:r>
            <w:r>
              <w:rPr>
                <w:rFonts w:ascii="Consolas" w:hAnsi="Consolas" w:eastAsia="Consolas"/>
                <w:sz w:val="16"/>
              </w:rPr>
              <w:t>daysSince</w:t>
            </w:r>
            <w:r>
              <w:rPr>
                <w:sz w:val="17"/>
              </w:rPr>
              <w:t xml:space="preserve"> = floor((now - reference) / one day); </w:t>
            </w:r>
            <w:r>
              <w:rPr>
                <w:rFonts w:ascii="Consolas" w:hAnsi="Consolas" w:eastAsia="Consolas"/>
                <w:sz w:val="16"/>
              </w:rPr>
              <w:t>neverSold</w:t>
            </w:r>
            <w:r>
              <w:rPr>
                <w:sz w:val="17"/>
              </w:rPr>
              <w:t xml:space="preserve"> flags items with no sale. Sorted by value, largest first; </w:t>
            </w:r>
            <w:r>
              <w:rPr>
                <w:rFonts w:ascii="Consolas" w:hAnsi="Consolas" w:eastAsia="Consolas"/>
                <w:sz w:val="16"/>
              </w:rPr>
              <w:t>pctOfStockValue</w:t>
            </w:r>
            <w:r>
              <w:rPr>
                <w:sz w:val="17"/>
              </w:rPr>
              <w:t xml:space="preserve"> = listed value / total stock value x 100.</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Only items with positive quantity; reversed movements are ignored.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Quantity and value are the valuation's own, so the totals are consistent with it.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rows[{itemName, qty, avgCost, value, lastSaleDate, neverSold, daysSince}], totals. Screen with CSV.</w:t>
            </w:r>
          </w:p>
        </w:tc>
      </w:tr>
    </w:tbl>
    <w:p>
      <w:pPr>
        <w:spacing w:after="0" w:before="0"/>
        <w:rPr>
          <w:sz w:val="8"/>
        </w:rPr>
      </w:pPr>
    </w:p>
    <w:p>
      <w:pPr>
        <w:pStyle w:val="Heading2"/>
      </w:pPr>
      <w:r>
        <w:t>4.21 Reorder</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Reorder</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active items are at or below their reorder level?</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Stock reports &gt; Reorder.</w:t>
            </w:r>
          </w:p>
          <w:p>
            <w:pPr>
              <w:spacing w:after="10" w:before="0" w:line="240" w:lineRule="auto"/>
            </w:pPr>
            <w:r>
              <w:rPr>
                <w:sz w:val="17"/>
              </w:rPr>
              <w:t xml:space="preserve">API: </w:t>
            </w:r>
            <w:r>
              <w:rPr>
                <w:rFonts w:ascii="Consolas" w:hAnsi="Consolas" w:eastAsia="Consolas"/>
                <w:sz w:val="16"/>
              </w:rPr>
              <w:t>GET /api/v1/stock-reports/reorder?categoryId=&amp;search=</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The item master (quantity on hand, reorder level, purchase price, vendor). The master quantity is used because it is what sales check against.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sz w:val="17"/>
              </w:rPr>
              <w:t>No date.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Listed if the item is Active, its reorder level is above zero and </w:t>
            </w:r>
            <w:r>
              <w:rPr>
                <w:rFonts w:ascii="Consolas" w:hAnsi="Consolas" w:eastAsia="Consolas"/>
                <w:sz w:val="16"/>
              </w:rPr>
              <w:t>currentStock</w:t>
            </w:r>
            <w:r>
              <w:rPr>
                <w:sz w:val="17"/>
              </w:rPr>
              <w:t xml:space="preserve"> &lt;= </w:t>
            </w:r>
            <w:r>
              <w:rPr>
                <w:rFonts w:ascii="Consolas" w:hAnsi="Consolas" w:eastAsia="Consolas"/>
                <w:sz w:val="16"/>
              </w:rPr>
              <w:t>reorderLevel</w:t>
            </w:r>
            <w:r>
              <w:rPr>
                <w:sz w:val="17"/>
              </w:rPr>
              <w:t xml:space="preserve">. </w:t>
            </w:r>
            <w:r>
              <w:rPr>
                <w:rFonts w:ascii="Consolas" w:hAnsi="Consolas" w:eastAsia="Consolas"/>
                <w:sz w:val="16"/>
              </w:rPr>
              <w:t>shortfall</w:t>
            </w:r>
            <w:r>
              <w:rPr>
                <w:sz w:val="17"/>
              </w:rPr>
              <w:t xml:space="preserve"> = reorderLevel - currentStock; </w:t>
            </w:r>
            <w:r>
              <w:rPr>
                <w:rFonts w:ascii="Consolas" w:hAnsi="Consolas" w:eastAsia="Consolas"/>
                <w:sz w:val="16"/>
              </w:rPr>
              <w:t>shortfallValue</w:t>
            </w:r>
            <w:r>
              <w:rPr>
                <w:sz w:val="17"/>
              </w:rPr>
              <w:t xml:space="preserve"> = shortfall x the item's purchase price (its average cost).</w:t>
            </w:r>
          </w:p>
          <w:p>
            <w:pPr>
              <w:tabs>
                <w:tab w:pos="202" w:val="left"/>
              </w:tabs>
              <w:spacing w:after="10" w:before="0" w:line="240" w:lineRule="auto"/>
              <w:ind w:left="202" w:hanging="202"/>
            </w:pPr>
            <w:r>
              <w:rPr>
                <w:sz w:val="17"/>
              </w:rPr>
              <w:t>•</w:t>
              <w:tab/>
            </w:r>
            <w:r>
              <w:rPr>
                <w:rFonts w:ascii="Consolas" w:hAnsi="Consolas" w:eastAsia="Consolas"/>
                <w:sz w:val="16"/>
              </w:rPr>
              <w:t>status</w:t>
            </w:r>
            <w:r>
              <w:rPr>
                <w:sz w:val="17"/>
              </w:rPr>
              <w:t>: 'out' if quantity &lt;= 0; 'below' if under the level; 'at' if equal. Sorted by quantity / level, lowest first.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A reorder level of 0 means the item is not managed and is never listed.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The number of listed items (out, below and at level) is the low-stock figure on the dashboard.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rows[{itemName, qty, reorderLevel, shortfall, avgCost, shortfallValue, status, vendorName}], totals. Screen with CSV.</w:t>
            </w:r>
          </w:p>
        </w:tc>
      </w:tr>
    </w:tbl>
    <w:p>
      <w:pPr>
        <w:spacing w:after="0" w:before="0"/>
        <w:rPr>
          <w:sz w:val="8"/>
        </w:rPr>
      </w:pPr>
    </w:p>
    <w:p>
      <w:pPr>
        <w:pStyle w:val="Heading2"/>
      </w:pPr>
      <w:r>
        <w:t>4.22 IFRS statements</w:t>
      </w:r>
    </w:p>
    <w:p>
      <w:r>
        <w:t xml:space="preserve">Five statements are produced from the same ledger entries as the trial balance, so they cannot disagree with it: the statement of financial position, the statement of profit or loss (by function), the statement of changes in equity, the statement of cash flows (indirect method) and basic notes. Each takes </w:t>
      </w:r>
      <w:r>
        <w:rPr>
          <w:rFonts w:ascii="Consolas" w:hAnsi="Consolas" w:eastAsia="Consolas"/>
        </w:rPr>
        <w:t>compare</w:t>
      </w:r>
      <w:r>
        <w:t xml:space="preserve">: </w:t>
      </w:r>
      <w:r>
        <w:rPr>
          <w:rFonts w:ascii="Consolas" w:hAnsi="Consolas" w:eastAsia="Consolas"/>
        </w:rPr>
        <w:t>prior-year</w:t>
      </w:r>
      <w:r>
        <w:t xml:space="preserve"> (the default), </w:t>
      </w:r>
      <w:r>
        <w:rPr>
          <w:rFonts w:ascii="Consolas" w:hAnsi="Consolas" w:eastAsia="Consolas"/>
        </w:rPr>
        <w:t>prior-period</w:t>
      </w:r>
      <w:r>
        <w:t xml:space="preserve"> or </w:t>
      </w:r>
      <w:r>
        <w:rPr>
          <w:rFonts w:ascii="Consolas" w:hAnsi="Consolas" w:eastAsia="Consolas"/>
        </w:rPr>
        <w:t>none</w:t>
      </w:r>
      <w:r>
        <w:t>, and returns the comparative column next to the current one.</w:t>
      </w:r>
    </w:p>
    <w:p>
      <w:pPr>
        <w:pStyle w:val="ListBullet"/>
      </w:pPr>
      <w:r>
        <w:rPr>
          <w:b/>
        </w:rPr>
        <w:t>Dates.</w:t>
      </w:r>
      <w:r>
        <w:t xml:space="preserve"> Dubai days. The end date is </w:t>
      </w:r>
      <w:r>
        <w:rPr>
          <w:rFonts w:ascii="Consolas" w:hAnsi="Consolas" w:eastAsia="Consolas"/>
        </w:rPr>
        <w:t>asAt</w:t>
      </w:r>
      <w:r>
        <w:t xml:space="preserve"> (or </w:t>
      </w:r>
      <w:r>
        <w:rPr>
          <w:rFonts w:ascii="Consolas" w:hAnsi="Consolas" w:eastAsia="Consolas"/>
        </w:rPr>
        <w:t>to</w:t>
      </w:r>
      <w:r>
        <w:t xml:space="preserve">), default today. The start </w:t>
      </w:r>
      <w:r>
        <w:rPr>
          <w:rFonts w:ascii="Consolas" w:hAnsi="Consolas" w:eastAsia="Consolas"/>
        </w:rPr>
        <w:t>from</w:t>
      </w:r>
      <w:r>
        <w:t xml:space="preserve"> is the first day of the fiscal year containing the end date, using the company's fiscal year start month (default January). Errors: INVALID_DATE, INVALID_RANGE (from after to), INVALID_COMPARE.</w:t>
      </w:r>
    </w:p>
    <w:p>
      <w:pPr>
        <w:pStyle w:val="ListBullet"/>
      </w:pPr>
      <w:r>
        <w:rPr>
          <w:b/>
        </w:rPr>
        <w:t>prior-year</w:t>
      </w:r>
      <w:r>
        <w:t xml:space="preserve"> = the same days one year earlier (the last day of a month stays the last day, so 29 February maps to 28 February). </w:t>
      </w:r>
      <w:r>
        <w:rPr>
          <w:b/>
        </w:rPr>
        <w:t>prior-period</w:t>
      </w:r>
      <w:r>
        <w:t xml:space="preserve"> = the period of the same length just before: whole months move back by that many months (October becomes September, a quarter the quarter before), anything else by the number of days. </w:t>
      </w:r>
      <w:r>
        <w:rPr>
          <w:b/>
        </w:rPr>
        <w:t>none</w:t>
      </w:r>
      <w:r>
        <w:t xml:space="preserve"> = no comparative column.</w:t>
      </w:r>
    </w:p>
    <w:p>
      <w:pPr>
        <w:pStyle w:val="Heading3"/>
      </w:pPr>
      <w:r>
        <w:t>4.22.1 How accounts are classified (by name and group)</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 xml:space="preserve">Classification is by </w:t>
            </w:r>
            <w:r>
              <w:rPr>
                <w:b/>
                <w:sz w:val="20"/>
              </w:rPr>
              <w:t>name</w:t>
            </w:r>
            <w:r>
              <w:rPr>
                <w:sz w:val="20"/>
              </w:rPr>
              <w:t xml:space="preserve">. An asset or liability is non-current when its group, or any group above it, has a name matching </w:t>
            </w:r>
            <w:r>
              <w:rPr>
                <w:rFonts w:ascii="Consolas" w:hAnsi="Consolas" w:eastAsia="Consolas"/>
                <w:sz w:val="19"/>
              </w:rPr>
              <w:t>fixed|non.?current|property|plant|equipment|intangible|long.?term</w:t>
            </w:r>
            <w:r>
              <w:rPr>
                <w:sz w:val="20"/>
              </w:rPr>
              <w:t xml:space="preserve"> (case-insensitive); everything else is current. Every account lands on exactly one side; nothing is left unclassified. Renaming a group changes the statements.</w:t>
            </w:r>
          </w:p>
        </w:tc>
      </w:tr>
    </w:tbl>
    <w:p>
      <w:pPr>
        <w:spacing w:after="0" w:before="0"/>
        <w:rPr>
          <w:sz w:val="8"/>
        </w:rPr>
      </w:pPr>
    </w:p>
    <w:p>
      <w:pPr>
        <w:pStyle w:val="Caption"/>
      </w:pPr>
      <w:r>
        <w:t>Table 48. Name rules (ifrsReportsService.js)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910"/>
        <w:gridCol w:w="4365"/>
        <w:gridCol w:w="2328"/>
      </w:tblGrid>
      <w:tr>
        <w:trPr>
          <w:tblHeader w:val="true"/>
          <w:cantSplit w:val="true"/>
        </w:trPr>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Purpose</w:t>
            </w:r>
          </w:p>
        </w:tc>
        <w:tc>
          <w:tcPr>
            <w:tcW w:type="dxa" w:w="4366"/>
            <w:shd w:val="clear" w:color="auto" w:fill="1F3A5F"/>
            <w:tcMar>
              <w:top w:w="20" w:type="dxa"/>
              <w:left w:w="60" w:type="dxa"/>
              <w:bottom w:w="20" w:type="dxa"/>
              <w:right w:w="60" w:type="dxa"/>
            </w:tcMar>
            <w:vAlign w:val="center"/>
          </w:tcPr>
          <w:p>
            <w:pPr>
              <w:spacing w:after="10" w:before="0" w:line="240" w:lineRule="auto"/>
            </w:pPr>
            <w:r>
              <w:rPr>
                <w:b/>
                <w:color w:val="FFFFFF"/>
                <w:sz w:val="17"/>
              </w:rPr>
              <w:t>Pattern (case-insensitive)</w:t>
            </w:r>
          </w:p>
        </w:tc>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Matched against</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Non-current</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fixed|non.?current|property|plant|equipment|intangible|long.?term</w:t>
            </w:r>
          </w:p>
        </w:tc>
        <w:tc>
          <w:tcPr>
            <w:tcW w:type="dxa" w:w="2328"/>
            <w:tcMar>
              <w:top w:w="20" w:type="dxa"/>
              <w:left w:w="60" w:type="dxa"/>
              <w:bottom w:w="20" w:type="dxa"/>
              <w:right w:w="60" w:type="dxa"/>
            </w:tcMar>
            <w:vAlign w:val="top"/>
          </w:tcPr>
          <w:p>
            <w:pPr>
              <w:spacing w:after="10" w:before="0" w:line="240" w:lineRule="auto"/>
            </w:pPr>
            <w:r>
              <w:rPr>
                <w:sz w:val="17"/>
              </w:rPr>
              <w:t>names of the group and its ancestors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Income tax (expense, and tax payable)</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income tax|corporate tax</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Depreciation and amortisation</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depreciation|amortis|amortiz</w:t>
            </w:r>
          </w:p>
        </w:tc>
        <w:tc>
          <w:tcPr>
            <w:tcW w:type="dxa" w:w="2328"/>
            <w:tcMar>
              <w:top w:w="20" w:type="dxa"/>
              <w:left w:w="60" w:type="dxa"/>
              <w:bottom w:w="20" w:type="dxa"/>
              <w:right w:w="60" w:type="dxa"/>
            </w:tcMar>
            <w:vAlign w:val="top"/>
          </w:tcPr>
          <w:p>
            <w:pPr>
              <w:spacing w:after="10" w:before="0" w:line="240" w:lineRule="auto"/>
            </w:pPr>
            <w:r>
              <w:rPr>
                <w:sz w:val="17"/>
              </w:rPr>
              <w:t>account name and group name</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 xml:space="preserve">Finance costs (and interest payable: </w:t>
            </w:r>
            <w:r>
              <w:rPr>
                <w:rFonts w:ascii="Consolas" w:hAnsi="Consolas" w:eastAsia="Consolas"/>
                <w:b/>
                <w:sz w:val="16"/>
              </w:rPr>
              <w:t>interest</w:t>
            </w:r>
            <w:r>
              <w:rPr>
                <w:b/>
                <w:sz w:val="17"/>
              </w:rPr>
              <w:t>)</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interest|finance|bank charges</w:t>
            </w:r>
          </w:p>
        </w:tc>
        <w:tc>
          <w:tcPr>
            <w:tcW w:type="dxa" w:w="2328"/>
            <w:tcMar>
              <w:top w:w="20" w:type="dxa"/>
              <w:left w:w="60" w:type="dxa"/>
              <w:bottom w:w="20" w:type="dxa"/>
              <w:right w:w="60" w:type="dxa"/>
            </w:tcMar>
            <w:vAlign w:val="top"/>
          </w:tcPr>
          <w:p>
            <w:pPr>
              <w:spacing w:after="10" w:before="0" w:line="240" w:lineRule="auto"/>
            </w:pPr>
            <w:r>
              <w:rPr>
                <w:sz w:val="17"/>
              </w:rPr>
              <w:t>account name and group name</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Inventory</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inventor|stock</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Receivables</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receivable|debtor</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Payables</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payable|creditor</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Borrowings</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loan|borrowing|debenture|finance lease|mortgage</w:t>
            </w:r>
            <w:r>
              <w:rPr>
                <w:sz w:val="17"/>
              </w:rPr>
              <w:t xml:space="preserve"> (or any non-current liability)</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Disposal gain or loss</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disposal</w:t>
            </w:r>
          </w:p>
        </w:tc>
        <w:tc>
          <w:tcPr>
            <w:tcW w:type="dxa" w:w="2328"/>
            <w:tcMar>
              <w:top w:w="20" w:type="dxa"/>
              <w:left w:w="60" w:type="dxa"/>
              <w:bottom w:w="20" w:type="dxa"/>
              <w:right w:w="60" w:type="dxa"/>
            </w:tcMar>
            <w:vAlign w:val="top"/>
          </w:tcPr>
          <w:p>
            <w:pPr>
              <w:spacing w:after="10" w:before="0" w:line="240" w:lineRule="auto"/>
            </w:pPr>
            <w:r>
              <w:rPr>
                <w:sz w:val="17"/>
              </w:rPr>
              <w:t>account name</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Equity: retained earnings</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retained|accumulated|earnings|profit</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Equity: share capital</w:t>
            </w:r>
          </w:p>
        </w:tc>
        <w:tc>
          <w:tcPr>
            <w:tcW w:type="dxa" w:w="4366"/>
            <w:tcMar>
              <w:top w:w="20" w:type="dxa"/>
              <w:left w:w="60" w:type="dxa"/>
              <w:bottom w:w="20" w:type="dxa"/>
              <w:right w:w="60" w:type="dxa"/>
            </w:tcMar>
            <w:vAlign w:val="top"/>
          </w:tcPr>
          <w:p>
            <w:pPr>
              <w:spacing w:after="10" w:before="0" w:line="240" w:lineRule="auto"/>
            </w:pPr>
            <w:r>
              <w:rPr>
                <w:rFonts w:ascii="Consolas" w:hAnsi="Consolas" w:eastAsia="Consolas"/>
                <w:sz w:val="16"/>
              </w:rPr>
              <w:t>capital|share</w:t>
            </w:r>
          </w:p>
        </w:tc>
        <w:tc>
          <w:tcPr>
            <w:tcW w:type="dxa" w:w="2328"/>
            <w:tcMar>
              <w:top w:w="20" w:type="dxa"/>
              <w:left w:w="60" w:type="dxa"/>
              <w:bottom w:w="20" w:type="dxa"/>
              <w:right w:w="60" w:type="dxa"/>
            </w:tcMar>
            <w:vAlign w:val="top"/>
          </w:tcPr>
          <w:p>
            <w:pPr>
              <w:spacing w:after="10" w:before="0" w:line="240" w:lineRule="auto"/>
            </w:pPr>
            <w:r>
              <w:rPr>
                <w:sz w:val="17"/>
              </w:rPr>
              <w:t>account name and group names</w:t>
            </w:r>
          </w:p>
        </w:tc>
      </w:tr>
    </w:tbl>
    <w:p>
      <w:pPr>
        <w:spacing w:after="0" w:before="0"/>
        <w:rPr>
          <w:sz w:val="6"/>
        </w:rPr>
      </w:pPr>
    </w:p>
    <w:p>
      <w:pPr>
        <w:pStyle w:val="Caption"/>
      </w:pPr>
      <w:r>
        <w:t>Table 49. How the accounts that need attention are classified (computed with the real functions; other default accounts follow their group)</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765"/>
        <w:gridCol w:w="2910"/>
        <w:gridCol w:w="2328"/>
        <w:gridCol w:w="1600"/>
      </w:tblGrid>
      <w:tr>
        <w:trPr>
          <w:tblHeader w:val="true"/>
          <w:cantSplit w:val="true"/>
        </w:trPr>
        <w:tc>
          <w:tcPr>
            <w:tcW w:type="dxa" w:w="2765"/>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Group path</w:t>
            </w:r>
          </w:p>
        </w:tc>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Position section</w:t>
            </w:r>
          </w:p>
        </w:tc>
        <w:tc>
          <w:tcPr>
            <w:tcW w:type="dxa" w:w="1601"/>
            <w:shd w:val="clear" w:color="auto" w:fill="1F3A5F"/>
            <w:tcMar>
              <w:top w:w="20" w:type="dxa"/>
              <w:left w:w="60" w:type="dxa"/>
              <w:bottom w:w="20" w:type="dxa"/>
              <w:right w:w="60" w:type="dxa"/>
            </w:tcMar>
            <w:vAlign w:val="center"/>
          </w:tcPr>
          <w:p>
            <w:pPr>
              <w:spacing w:after="10" w:before="0" w:line="240" w:lineRule="auto"/>
            </w:pPr>
            <w:r>
              <w:rPr>
                <w:b/>
                <w:color w:val="FFFFFF"/>
                <w:sz w:val="17"/>
              </w:rPr>
              <w:t>Cash-flow bucket</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Cash in Hand</w:t>
            </w:r>
          </w:p>
        </w:tc>
        <w:tc>
          <w:tcPr>
            <w:tcW w:type="dxa" w:w="2911"/>
            <w:tcMar>
              <w:top w:w="20" w:type="dxa"/>
              <w:left w:w="60" w:type="dxa"/>
              <w:bottom w:w="20" w:type="dxa"/>
              <w:right w:w="60" w:type="dxa"/>
            </w:tcMar>
            <w:vAlign w:val="top"/>
          </w:tcPr>
          <w:p>
            <w:pPr>
              <w:spacing w:after="10" w:before="0" w:line="240" w:lineRule="auto"/>
            </w:pPr>
            <w:r>
              <w:rPr>
                <w:sz w:val="17"/>
              </w:rPr>
              <w:t>Current Assets &gt; Cash</w:t>
            </w:r>
          </w:p>
        </w:tc>
        <w:tc>
          <w:tcPr>
            <w:tcW w:type="dxa" w:w="2328"/>
            <w:tcMar>
              <w:top w:w="20" w:type="dxa"/>
              <w:left w:w="60" w:type="dxa"/>
              <w:bottom w:w="20" w:type="dxa"/>
              <w:right w:w="60" w:type="dxa"/>
            </w:tcMar>
            <w:vAlign w:val="top"/>
          </w:tcPr>
          <w:p>
            <w:pPr>
              <w:spacing w:after="10" w:before="0" w:line="240" w:lineRule="auto"/>
            </w:pPr>
            <w:r>
              <w:rPr>
                <w:sz w:val="17"/>
              </w:rPr>
              <w:t>Current assets</w:t>
            </w:r>
          </w:p>
        </w:tc>
        <w:tc>
          <w:tcPr>
            <w:tcW w:type="dxa" w:w="1601"/>
            <w:tcMar>
              <w:top w:w="20" w:type="dxa"/>
              <w:left w:w="60" w:type="dxa"/>
              <w:bottom w:w="20" w:type="dxa"/>
              <w:right w:w="60" w:type="dxa"/>
            </w:tcMar>
            <w:vAlign w:val="top"/>
          </w:tcPr>
          <w:p>
            <w:pPr>
              <w:spacing w:after="10" w:before="0" w:line="240" w:lineRule="auto"/>
            </w:pPr>
            <w:r>
              <w:rPr>
                <w:sz w:val="17"/>
              </w:rPr>
              <w:t>cash</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Inventory Stock</w:t>
            </w:r>
          </w:p>
        </w:tc>
        <w:tc>
          <w:tcPr>
            <w:tcW w:type="dxa" w:w="2911"/>
            <w:tcMar>
              <w:top w:w="20" w:type="dxa"/>
              <w:left w:w="60" w:type="dxa"/>
              <w:bottom w:w="20" w:type="dxa"/>
              <w:right w:w="60" w:type="dxa"/>
            </w:tcMar>
            <w:vAlign w:val="top"/>
          </w:tcPr>
          <w:p>
            <w:pPr>
              <w:spacing w:after="10" w:before="0" w:line="240" w:lineRule="auto"/>
            </w:pPr>
            <w:r>
              <w:rPr>
                <w:sz w:val="17"/>
              </w:rPr>
              <w:t>Current Assets &gt; Inventory</w:t>
            </w:r>
          </w:p>
        </w:tc>
        <w:tc>
          <w:tcPr>
            <w:tcW w:type="dxa" w:w="2328"/>
            <w:tcMar>
              <w:top w:w="20" w:type="dxa"/>
              <w:left w:w="60" w:type="dxa"/>
              <w:bottom w:w="20" w:type="dxa"/>
              <w:right w:w="60" w:type="dxa"/>
            </w:tcMar>
            <w:vAlign w:val="top"/>
          </w:tcPr>
          <w:p>
            <w:pPr>
              <w:spacing w:after="10" w:before="0" w:line="240" w:lineRule="auto"/>
            </w:pPr>
            <w:r>
              <w:rPr>
                <w:sz w:val="17"/>
              </w:rPr>
              <w:t>Current assets</w:t>
            </w:r>
          </w:p>
        </w:tc>
        <w:tc>
          <w:tcPr>
            <w:tcW w:type="dxa" w:w="1601"/>
            <w:tcMar>
              <w:top w:w="20" w:type="dxa"/>
              <w:left w:w="60" w:type="dxa"/>
              <w:bottom w:w="20" w:type="dxa"/>
              <w:right w:w="60" w:type="dxa"/>
            </w:tcMar>
            <w:vAlign w:val="top"/>
          </w:tcPr>
          <w:p>
            <w:pPr>
              <w:spacing w:after="10" w:before="0" w:line="240" w:lineRule="auto"/>
            </w:pPr>
            <w:r>
              <w:rPr>
                <w:sz w:val="17"/>
              </w:rPr>
              <w:t>inventory</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Input VAT</w:t>
            </w:r>
          </w:p>
        </w:tc>
        <w:tc>
          <w:tcPr>
            <w:tcW w:type="dxa" w:w="2911"/>
            <w:tcMar>
              <w:top w:w="20" w:type="dxa"/>
              <w:left w:w="60" w:type="dxa"/>
              <w:bottom w:w="20" w:type="dxa"/>
              <w:right w:w="60" w:type="dxa"/>
            </w:tcMar>
            <w:vAlign w:val="top"/>
          </w:tcPr>
          <w:p>
            <w:pPr>
              <w:spacing w:after="10" w:before="0" w:line="240" w:lineRule="auto"/>
            </w:pPr>
            <w:r>
              <w:rPr>
                <w:sz w:val="17"/>
              </w:rPr>
              <w:t>Current Assets &gt; Tax Receivable</w:t>
            </w:r>
          </w:p>
        </w:tc>
        <w:tc>
          <w:tcPr>
            <w:tcW w:type="dxa" w:w="2328"/>
            <w:tcMar>
              <w:top w:w="20" w:type="dxa"/>
              <w:left w:w="60" w:type="dxa"/>
              <w:bottom w:w="20" w:type="dxa"/>
              <w:right w:w="60" w:type="dxa"/>
            </w:tcMar>
            <w:vAlign w:val="top"/>
          </w:tcPr>
          <w:p>
            <w:pPr>
              <w:spacing w:after="10" w:before="0" w:line="240" w:lineRule="auto"/>
            </w:pPr>
            <w:r>
              <w:rPr>
                <w:sz w:val="17"/>
              </w:rPr>
              <w:t>Current assets</w:t>
            </w:r>
          </w:p>
        </w:tc>
        <w:tc>
          <w:tcPr>
            <w:tcW w:type="dxa" w:w="1601"/>
            <w:tcMar>
              <w:top w:w="20" w:type="dxa"/>
              <w:left w:w="60" w:type="dxa"/>
              <w:bottom w:w="20" w:type="dxa"/>
              <w:right w:w="60" w:type="dxa"/>
            </w:tcMar>
            <w:vAlign w:val="top"/>
          </w:tcPr>
          <w:p>
            <w:pPr>
              <w:spacing w:after="10" w:before="0" w:line="240" w:lineRule="auto"/>
            </w:pPr>
            <w:r>
              <w:rPr>
                <w:sz w:val="17"/>
              </w:rPr>
              <w:t>receivables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Cheques in Hand</w:t>
            </w:r>
          </w:p>
        </w:tc>
        <w:tc>
          <w:tcPr>
            <w:tcW w:type="dxa" w:w="2911"/>
            <w:tcMar>
              <w:top w:w="20" w:type="dxa"/>
              <w:left w:w="60" w:type="dxa"/>
              <w:bottom w:w="20" w:type="dxa"/>
              <w:right w:w="60" w:type="dxa"/>
            </w:tcMar>
            <w:vAlign w:val="top"/>
          </w:tcPr>
          <w:p>
            <w:pPr>
              <w:spacing w:after="10" w:before="0" w:line="240" w:lineRule="auto"/>
            </w:pPr>
            <w:r>
              <w:rPr>
                <w:sz w:val="17"/>
              </w:rPr>
              <w:t>Current Assets &gt; Post-dated Cheques Received</w:t>
            </w:r>
          </w:p>
        </w:tc>
        <w:tc>
          <w:tcPr>
            <w:tcW w:type="dxa" w:w="2328"/>
            <w:tcMar>
              <w:top w:w="20" w:type="dxa"/>
              <w:left w:w="60" w:type="dxa"/>
              <w:bottom w:w="20" w:type="dxa"/>
              <w:right w:w="60" w:type="dxa"/>
            </w:tcMar>
            <w:vAlign w:val="top"/>
          </w:tcPr>
          <w:p>
            <w:pPr>
              <w:spacing w:after="10" w:before="0" w:line="240" w:lineRule="auto"/>
            </w:pPr>
            <w:r>
              <w:rPr>
                <w:sz w:val="17"/>
              </w:rPr>
              <w:t>Current assets</w:t>
            </w:r>
          </w:p>
        </w:tc>
        <w:tc>
          <w:tcPr>
            <w:tcW w:type="dxa" w:w="1601"/>
            <w:tcMar>
              <w:top w:w="20" w:type="dxa"/>
              <w:left w:w="60" w:type="dxa"/>
              <w:bottom w:w="20" w:type="dxa"/>
              <w:right w:w="60" w:type="dxa"/>
            </w:tcMar>
            <w:vAlign w:val="top"/>
          </w:tcPr>
          <w:p>
            <w:pPr>
              <w:spacing w:after="10" w:before="0" w:line="240" w:lineRule="auto"/>
            </w:pPr>
            <w:r>
              <w:rPr>
                <w:sz w:val="17"/>
              </w:rPr>
              <w:t>otherCurrentAssets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Furniture &amp; Equipment</w:t>
            </w:r>
          </w:p>
        </w:tc>
        <w:tc>
          <w:tcPr>
            <w:tcW w:type="dxa" w:w="2911"/>
            <w:tcMar>
              <w:top w:w="20" w:type="dxa"/>
              <w:left w:w="60" w:type="dxa"/>
              <w:bottom w:w="20" w:type="dxa"/>
              <w:right w:w="60" w:type="dxa"/>
            </w:tcMar>
            <w:vAlign w:val="top"/>
          </w:tcPr>
          <w:p>
            <w:pPr>
              <w:spacing w:after="10" w:before="0" w:line="240" w:lineRule="auto"/>
            </w:pPr>
            <w:r>
              <w:rPr>
                <w:sz w:val="17"/>
              </w:rPr>
              <w:t>Fixed Assets</w:t>
            </w:r>
          </w:p>
        </w:tc>
        <w:tc>
          <w:tcPr>
            <w:tcW w:type="dxa" w:w="2328"/>
            <w:tcMar>
              <w:top w:w="20" w:type="dxa"/>
              <w:left w:w="60" w:type="dxa"/>
              <w:bottom w:w="20" w:type="dxa"/>
              <w:right w:w="60" w:type="dxa"/>
            </w:tcMar>
            <w:vAlign w:val="top"/>
          </w:tcPr>
          <w:p>
            <w:pPr>
              <w:spacing w:after="10" w:before="0" w:line="240" w:lineRule="auto"/>
            </w:pPr>
            <w:r>
              <w:rPr>
                <w:sz w:val="17"/>
              </w:rPr>
              <w:t>Non-current assets</w:t>
            </w:r>
          </w:p>
        </w:tc>
        <w:tc>
          <w:tcPr>
            <w:tcW w:type="dxa" w:w="1601"/>
            <w:tcMar>
              <w:top w:w="20" w:type="dxa"/>
              <w:left w:w="60" w:type="dxa"/>
              <w:bottom w:w="20" w:type="dxa"/>
              <w:right w:w="60" w:type="dxa"/>
            </w:tcMar>
            <w:vAlign w:val="top"/>
          </w:tcPr>
          <w:p>
            <w:pPr>
              <w:spacing w:after="10" w:before="0" w:line="240" w:lineRule="auto"/>
            </w:pPr>
            <w:r>
              <w:rPr>
                <w:sz w:val="17"/>
              </w:rPr>
              <w:t>nonCurrentAssets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Output VAT</w:t>
            </w:r>
          </w:p>
        </w:tc>
        <w:tc>
          <w:tcPr>
            <w:tcW w:type="dxa" w:w="2911"/>
            <w:tcMar>
              <w:top w:w="20" w:type="dxa"/>
              <w:left w:w="60" w:type="dxa"/>
              <w:bottom w:w="20" w:type="dxa"/>
              <w:right w:w="60" w:type="dxa"/>
            </w:tcMar>
            <w:vAlign w:val="top"/>
          </w:tcPr>
          <w:p>
            <w:pPr>
              <w:spacing w:after="10" w:before="0" w:line="240" w:lineRule="auto"/>
            </w:pPr>
            <w:r>
              <w:rPr>
                <w:sz w:val="17"/>
              </w:rPr>
              <w:t>Current Liabilities &gt; Tax Payable</w:t>
            </w:r>
          </w:p>
        </w:tc>
        <w:tc>
          <w:tcPr>
            <w:tcW w:type="dxa" w:w="2328"/>
            <w:tcMar>
              <w:top w:w="20" w:type="dxa"/>
              <w:left w:w="60" w:type="dxa"/>
              <w:bottom w:w="20" w:type="dxa"/>
              <w:right w:w="60" w:type="dxa"/>
            </w:tcMar>
            <w:vAlign w:val="top"/>
          </w:tcPr>
          <w:p>
            <w:pPr>
              <w:spacing w:after="10" w:before="0" w:line="240" w:lineRule="auto"/>
            </w:pPr>
            <w:r>
              <w:rPr>
                <w:sz w:val="17"/>
              </w:rPr>
              <w:t>Current liabilities</w:t>
            </w:r>
          </w:p>
        </w:tc>
        <w:tc>
          <w:tcPr>
            <w:tcW w:type="dxa" w:w="1601"/>
            <w:tcMar>
              <w:top w:w="20" w:type="dxa"/>
              <w:left w:w="60" w:type="dxa"/>
              <w:bottom w:w="20" w:type="dxa"/>
              <w:right w:w="60" w:type="dxa"/>
            </w:tcMar>
            <w:vAlign w:val="top"/>
          </w:tcPr>
          <w:p>
            <w:pPr>
              <w:spacing w:after="10" w:before="0" w:line="240" w:lineRule="auto"/>
            </w:pPr>
            <w:r>
              <w:rPr>
                <w:sz w:val="17"/>
              </w:rPr>
              <w:t>payables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Reverse-charge VAT</w:t>
            </w:r>
          </w:p>
        </w:tc>
        <w:tc>
          <w:tcPr>
            <w:tcW w:type="dxa" w:w="2911"/>
            <w:tcMar>
              <w:top w:w="20" w:type="dxa"/>
              <w:left w:w="60" w:type="dxa"/>
              <w:bottom w:w="20" w:type="dxa"/>
              <w:right w:w="60" w:type="dxa"/>
            </w:tcMar>
            <w:vAlign w:val="top"/>
          </w:tcPr>
          <w:p>
            <w:pPr>
              <w:spacing w:after="10" w:before="0" w:line="240" w:lineRule="auto"/>
            </w:pPr>
            <w:r>
              <w:rPr>
                <w:sz w:val="17"/>
              </w:rPr>
              <w:t>Current Liabilities &gt; Tax Payable</w:t>
            </w:r>
          </w:p>
        </w:tc>
        <w:tc>
          <w:tcPr>
            <w:tcW w:type="dxa" w:w="2328"/>
            <w:tcMar>
              <w:top w:w="20" w:type="dxa"/>
              <w:left w:w="60" w:type="dxa"/>
              <w:bottom w:w="20" w:type="dxa"/>
              <w:right w:w="60" w:type="dxa"/>
            </w:tcMar>
            <w:vAlign w:val="top"/>
          </w:tcPr>
          <w:p>
            <w:pPr>
              <w:spacing w:after="10" w:before="0" w:line="240" w:lineRule="auto"/>
            </w:pPr>
            <w:r>
              <w:rPr>
                <w:sz w:val="17"/>
              </w:rPr>
              <w:t>Current liabilities</w:t>
            </w:r>
          </w:p>
        </w:tc>
        <w:tc>
          <w:tcPr>
            <w:tcW w:type="dxa" w:w="1601"/>
            <w:tcMar>
              <w:top w:w="20" w:type="dxa"/>
              <w:left w:w="60" w:type="dxa"/>
              <w:bottom w:w="20" w:type="dxa"/>
              <w:right w:w="60" w:type="dxa"/>
            </w:tcMar>
            <w:vAlign w:val="top"/>
          </w:tcPr>
          <w:p>
            <w:pPr>
              <w:spacing w:after="10" w:before="0" w:line="240" w:lineRule="auto"/>
            </w:pPr>
            <w:r>
              <w:rPr>
                <w:sz w:val="17"/>
              </w:rPr>
              <w:t>payables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Cheques Issued</w:t>
            </w:r>
          </w:p>
        </w:tc>
        <w:tc>
          <w:tcPr>
            <w:tcW w:type="dxa" w:w="2911"/>
            <w:tcMar>
              <w:top w:w="20" w:type="dxa"/>
              <w:left w:w="60" w:type="dxa"/>
              <w:bottom w:w="20" w:type="dxa"/>
              <w:right w:w="60" w:type="dxa"/>
            </w:tcMar>
            <w:vAlign w:val="top"/>
          </w:tcPr>
          <w:p>
            <w:pPr>
              <w:spacing w:after="10" w:before="0" w:line="240" w:lineRule="auto"/>
            </w:pPr>
            <w:r>
              <w:rPr>
                <w:sz w:val="17"/>
              </w:rPr>
              <w:t>Current Liabilities &gt; Post-dated Cheques Issued</w:t>
            </w:r>
          </w:p>
        </w:tc>
        <w:tc>
          <w:tcPr>
            <w:tcW w:type="dxa" w:w="2328"/>
            <w:tcMar>
              <w:top w:w="20" w:type="dxa"/>
              <w:left w:w="60" w:type="dxa"/>
              <w:bottom w:w="20" w:type="dxa"/>
              <w:right w:w="60" w:type="dxa"/>
            </w:tcMar>
            <w:vAlign w:val="top"/>
          </w:tcPr>
          <w:p>
            <w:pPr>
              <w:spacing w:after="10" w:before="0" w:line="240" w:lineRule="auto"/>
            </w:pPr>
            <w:r>
              <w:rPr>
                <w:sz w:val="17"/>
              </w:rPr>
              <w:t>Current liabilities</w:t>
            </w:r>
          </w:p>
        </w:tc>
        <w:tc>
          <w:tcPr>
            <w:tcW w:type="dxa" w:w="1601"/>
            <w:tcMar>
              <w:top w:w="20" w:type="dxa"/>
              <w:left w:w="60" w:type="dxa"/>
              <w:bottom w:w="20" w:type="dxa"/>
              <w:right w:w="60" w:type="dxa"/>
            </w:tcMar>
            <w:vAlign w:val="top"/>
          </w:tcPr>
          <w:p>
            <w:pPr>
              <w:spacing w:after="10" w:before="0" w:line="240" w:lineRule="auto"/>
            </w:pPr>
            <w:r>
              <w:rPr>
                <w:sz w:val="17"/>
              </w:rPr>
              <w:t>otherCurrentLiabilities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Bank Loan</w:t>
            </w:r>
          </w:p>
        </w:tc>
        <w:tc>
          <w:tcPr>
            <w:tcW w:type="dxa" w:w="2911"/>
            <w:tcMar>
              <w:top w:w="20" w:type="dxa"/>
              <w:left w:w="60" w:type="dxa"/>
              <w:bottom w:w="20" w:type="dxa"/>
              <w:right w:w="60" w:type="dxa"/>
            </w:tcMar>
            <w:vAlign w:val="top"/>
          </w:tcPr>
          <w:p>
            <w:pPr>
              <w:spacing w:after="10" w:before="0" w:line="240" w:lineRule="auto"/>
            </w:pPr>
            <w:r>
              <w:rPr>
                <w:sz w:val="17"/>
              </w:rPr>
              <w:t>Long-term Liabilities</w:t>
            </w:r>
          </w:p>
        </w:tc>
        <w:tc>
          <w:tcPr>
            <w:tcW w:type="dxa" w:w="2328"/>
            <w:tcMar>
              <w:top w:w="20" w:type="dxa"/>
              <w:left w:w="60" w:type="dxa"/>
              <w:bottom w:w="20" w:type="dxa"/>
              <w:right w:w="60" w:type="dxa"/>
            </w:tcMar>
            <w:vAlign w:val="top"/>
          </w:tcPr>
          <w:p>
            <w:pPr>
              <w:spacing w:after="10" w:before="0" w:line="240" w:lineRule="auto"/>
            </w:pPr>
            <w:r>
              <w:rPr>
                <w:sz w:val="17"/>
              </w:rPr>
              <w:t>Non-current liabilities</w:t>
            </w:r>
          </w:p>
        </w:tc>
        <w:tc>
          <w:tcPr>
            <w:tcW w:type="dxa" w:w="1601"/>
            <w:tcMar>
              <w:top w:w="20" w:type="dxa"/>
              <w:left w:w="60" w:type="dxa"/>
              <w:bottom w:w="20" w:type="dxa"/>
              <w:right w:w="60" w:type="dxa"/>
            </w:tcMar>
            <w:vAlign w:val="top"/>
          </w:tcPr>
          <w:p>
            <w:pPr>
              <w:spacing w:after="10" w:before="0" w:line="240" w:lineRule="auto"/>
            </w:pPr>
            <w:r>
              <w:rPr>
                <w:sz w:val="17"/>
              </w:rPr>
              <w:t>borrowings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Owner's Capital</w:t>
            </w:r>
          </w:p>
        </w:tc>
        <w:tc>
          <w:tcPr>
            <w:tcW w:type="dxa" w:w="2911"/>
            <w:tcMar>
              <w:top w:w="20" w:type="dxa"/>
              <w:left w:w="60" w:type="dxa"/>
              <w:bottom w:w="20" w:type="dxa"/>
              <w:right w:w="60" w:type="dxa"/>
            </w:tcMar>
            <w:vAlign w:val="top"/>
          </w:tcPr>
          <w:p>
            <w:pPr>
              <w:spacing w:after="10" w:before="0" w:line="240" w:lineRule="auto"/>
            </w:pPr>
            <w:r>
              <w:rPr>
                <w:sz w:val="17"/>
              </w:rPr>
              <w:t>Equity</w:t>
            </w:r>
          </w:p>
        </w:tc>
        <w:tc>
          <w:tcPr>
            <w:tcW w:type="dxa" w:w="2328"/>
            <w:tcMar>
              <w:top w:w="20" w:type="dxa"/>
              <w:left w:w="60" w:type="dxa"/>
              <w:bottom w:w="20" w:type="dxa"/>
              <w:right w:w="60" w:type="dxa"/>
            </w:tcMar>
            <w:vAlign w:val="top"/>
          </w:tcPr>
          <w:p>
            <w:pPr>
              <w:spacing w:after="10" w:before="0" w:line="240" w:lineRule="auto"/>
            </w:pPr>
            <w:r>
              <w:rPr>
                <w:sz w:val="17"/>
              </w:rPr>
              <w:t>Equity (share capital)</w:t>
            </w:r>
          </w:p>
        </w:tc>
        <w:tc>
          <w:tcPr>
            <w:tcW w:type="dxa" w:w="1601"/>
            <w:tcMar>
              <w:top w:w="20" w:type="dxa"/>
              <w:left w:w="60" w:type="dxa"/>
              <w:bottom w:w="20" w:type="dxa"/>
              <w:right w:w="60" w:type="dxa"/>
            </w:tcMar>
            <w:vAlign w:val="top"/>
          </w:tcPr>
          <w:p>
            <w:pPr>
              <w:spacing w:after="10" w:before="0" w:line="240" w:lineRule="auto"/>
            </w:pPr>
            <w:r>
              <w:rPr>
                <w:sz w:val="17"/>
              </w:rPr>
              <w:t>equity</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Opening Balance Equity</w:t>
            </w:r>
          </w:p>
        </w:tc>
        <w:tc>
          <w:tcPr>
            <w:tcW w:type="dxa" w:w="2911"/>
            <w:tcMar>
              <w:top w:w="20" w:type="dxa"/>
              <w:left w:w="60" w:type="dxa"/>
              <w:bottom w:w="20" w:type="dxa"/>
              <w:right w:w="60" w:type="dxa"/>
            </w:tcMar>
            <w:vAlign w:val="top"/>
          </w:tcPr>
          <w:p>
            <w:pPr>
              <w:spacing w:after="10" w:before="0" w:line="240" w:lineRule="auto"/>
            </w:pPr>
            <w:r>
              <w:rPr>
                <w:sz w:val="17"/>
              </w:rPr>
              <w:t>Equity</w:t>
            </w:r>
          </w:p>
        </w:tc>
        <w:tc>
          <w:tcPr>
            <w:tcW w:type="dxa" w:w="2328"/>
            <w:tcMar>
              <w:top w:w="20" w:type="dxa"/>
              <w:left w:w="60" w:type="dxa"/>
              <w:bottom w:w="20" w:type="dxa"/>
              <w:right w:w="60" w:type="dxa"/>
            </w:tcMar>
            <w:vAlign w:val="top"/>
          </w:tcPr>
          <w:p>
            <w:pPr>
              <w:spacing w:after="10" w:before="0" w:line="240" w:lineRule="auto"/>
            </w:pPr>
            <w:r>
              <w:rPr>
                <w:sz w:val="17"/>
              </w:rPr>
              <w:t>Equity (other equity)</w:t>
            </w:r>
          </w:p>
        </w:tc>
        <w:tc>
          <w:tcPr>
            <w:tcW w:type="dxa" w:w="1601"/>
            <w:tcMar>
              <w:top w:w="20" w:type="dxa"/>
              <w:left w:w="60" w:type="dxa"/>
              <w:bottom w:w="20" w:type="dxa"/>
              <w:right w:w="60" w:type="dxa"/>
            </w:tcMar>
            <w:vAlign w:val="top"/>
          </w:tcPr>
          <w:p>
            <w:pPr>
              <w:spacing w:after="10" w:before="0" w:line="240" w:lineRule="auto"/>
            </w:pPr>
            <w:r>
              <w:rPr>
                <w:sz w:val="17"/>
              </w:rPr>
              <w:t>equity</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Customer - &lt;name&gt;</w:t>
            </w:r>
          </w:p>
        </w:tc>
        <w:tc>
          <w:tcPr>
            <w:tcW w:type="dxa" w:w="2911"/>
            <w:tcMar>
              <w:top w:w="20" w:type="dxa"/>
              <w:left w:w="60" w:type="dxa"/>
              <w:bottom w:w="20" w:type="dxa"/>
              <w:right w:w="60" w:type="dxa"/>
            </w:tcMar>
            <w:vAlign w:val="top"/>
          </w:tcPr>
          <w:p>
            <w:pPr>
              <w:spacing w:after="10" w:before="0" w:line="240" w:lineRule="auto"/>
            </w:pPr>
            <w:r>
              <w:rPr>
                <w:sz w:val="17"/>
              </w:rPr>
              <w:t>Current Assets &gt; Accounts Receivable</w:t>
            </w:r>
          </w:p>
        </w:tc>
        <w:tc>
          <w:tcPr>
            <w:tcW w:type="dxa" w:w="2328"/>
            <w:tcMar>
              <w:top w:w="20" w:type="dxa"/>
              <w:left w:w="60" w:type="dxa"/>
              <w:bottom w:w="20" w:type="dxa"/>
              <w:right w:w="60" w:type="dxa"/>
            </w:tcMar>
            <w:vAlign w:val="top"/>
          </w:tcPr>
          <w:p>
            <w:pPr>
              <w:spacing w:after="10" w:before="0" w:line="240" w:lineRule="auto"/>
            </w:pPr>
            <w:r>
              <w:rPr>
                <w:sz w:val="17"/>
              </w:rPr>
              <w:t>Current assets</w:t>
            </w:r>
          </w:p>
        </w:tc>
        <w:tc>
          <w:tcPr>
            <w:tcW w:type="dxa" w:w="1601"/>
            <w:tcMar>
              <w:top w:w="20" w:type="dxa"/>
              <w:left w:w="60" w:type="dxa"/>
              <w:bottom w:w="20" w:type="dxa"/>
              <w:right w:w="60" w:type="dxa"/>
            </w:tcMar>
            <w:vAlign w:val="top"/>
          </w:tcPr>
          <w:p>
            <w:pPr>
              <w:spacing w:after="10" w:before="0" w:line="240" w:lineRule="auto"/>
            </w:pPr>
            <w:r>
              <w:rPr>
                <w:sz w:val="17"/>
              </w:rPr>
              <w:t>receivables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Advance to Vendor - &lt;name&gt;</w:t>
            </w:r>
          </w:p>
        </w:tc>
        <w:tc>
          <w:tcPr>
            <w:tcW w:type="dxa" w:w="2911"/>
            <w:tcMar>
              <w:top w:w="20" w:type="dxa"/>
              <w:left w:w="60" w:type="dxa"/>
              <w:bottom w:w="20" w:type="dxa"/>
              <w:right w:w="60" w:type="dxa"/>
            </w:tcMar>
            <w:vAlign w:val="top"/>
          </w:tcPr>
          <w:p>
            <w:pPr>
              <w:spacing w:after="10" w:before="0" w:line="240" w:lineRule="auto"/>
            </w:pPr>
            <w:r>
              <w:rPr>
                <w:sz w:val="17"/>
              </w:rPr>
              <w:t>Current Assets &gt; Accounts Receivable</w:t>
            </w:r>
          </w:p>
        </w:tc>
        <w:tc>
          <w:tcPr>
            <w:tcW w:type="dxa" w:w="2328"/>
            <w:tcMar>
              <w:top w:w="20" w:type="dxa"/>
              <w:left w:w="60" w:type="dxa"/>
              <w:bottom w:w="20" w:type="dxa"/>
              <w:right w:w="60" w:type="dxa"/>
            </w:tcMar>
            <w:vAlign w:val="top"/>
          </w:tcPr>
          <w:p>
            <w:pPr>
              <w:spacing w:after="10" w:before="0" w:line="240" w:lineRule="auto"/>
            </w:pPr>
            <w:r>
              <w:rPr>
                <w:sz w:val="17"/>
              </w:rPr>
              <w:t>Current assets</w:t>
            </w:r>
          </w:p>
        </w:tc>
        <w:tc>
          <w:tcPr>
            <w:tcW w:type="dxa" w:w="1601"/>
            <w:tcMar>
              <w:top w:w="20" w:type="dxa"/>
              <w:left w:w="60" w:type="dxa"/>
              <w:bottom w:w="20" w:type="dxa"/>
              <w:right w:w="60" w:type="dxa"/>
            </w:tcMar>
            <w:vAlign w:val="top"/>
          </w:tcPr>
          <w:p>
            <w:pPr>
              <w:spacing w:after="10" w:before="0" w:line="240" w:lineRule="auto"/>
            </w:pPr>
            <w:r>
              <w:rPr>
                <w:sz w:val="17"/>
              </w:rPr>
              <w:t>receivables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Vendor - &lt;name&gt;</w:t>
            </w:r>
          </w:p>
        </w:tc>
        <w:tc>
          <w:tcPr>
            <w:tcW w:type="dxa" w:w="2911"/>
            <w:tcMar>
              <w:top w:w="20" w:type="dxa"/>
              <w:left w:w="60" w:type="dxa"/>
              <w:bottom w:w="20" w:type="dxa"/>
              <w:right w:w="60" w:type="dxa"/>
            </w:tcMar>
            <w:vAlign w:val="top"/>
          </w:tcPr>
          <w:p>
            <w:pPr>
              <w:spacing w:after="10" w:before="0" w:line="240" w:lineRule="auto"/>
            </w:pPr>
            <w:r>
              <w:rPr>
                <w:sz w:val="17"/>
              </w:rPr>
              <w:t>Current Liabilities &gt; Accounts Payable</w:t>
            </w:r>
          </w:p>
        </w:tc>
        <w:tc>
          <w:tcPr>
            <w:tcW w:type="dxa" w:w="2328"/>
            <w:tcMar>
              <w:top w:w="20" w:type="dxa"/>
              <w:left w:w="60" w:type="dxa"/>
              <w:bottom w:w="20" w:type="dxa"/>
              <w:right w:w="60" w:type="dxa"/>
            </w:tcMar>
            <w:vAlign w:val="top"/>
          </w:tcPr>
          <w:p>
            <w:pPr>
              <w:spacing w:after="10" w:before="0" w:line="240" w:lineRule="auto"/>
            </w:pPr>
            <w:r>
              <w:rPr>
                <w:sz w:val="17"/>
              </w:rPr>
              <w:t>Current liabilities</w:t>
            </w:r>
          </w:p>
        </w:tc>
        <w:tc>
          <w:tcPr>
            <w:tcW w:type="dxa" w:w="1601"/>
            <w:tcMar>
              <w:top w:w="20" w:type="dxa"/>
              <w:left w:w="60" w:type="dxa"/>
              <w:bottom w:w="20" w:type="dxa"/>
              <w:right w:w="60" w:type="dxa"/>
            </w:tcMar>
            <w:vAlign w:val="top"/>
          </w:tcPr>
          <w:p>
            <w:pPr>
              <w:spacing w:after="10" w:before="0" w:line="240" w:lineRule="auto"/>
            </w:pPr>
            <w:r>
              <w:rPr>
                <w:sz w:val="17"/>
              </w:rPr>
              <w:t>payables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Customer Advance - &lt;name&gt;</w:t>
            </w:r>
          </w:p>
        </w:tc>
        <w:tc>
          <w:tcPr>
            <w:tcW w:type="dxa" w:w="2911"/>
            <w:tcMar>
              <w:top w:w="20" w:type="dxa"/>
              <w:left w:w="60" w:type="dxa"/>
              <w:bottom w:w="20" w:type="dxa"/>
              <w:right w:w="60" w:type="dxa"/>
            </w:tcMar>
            <w:vAlign w:val="top"/>
          </w:tcPr>
          <w:p>
            <w:pPr>
              <w:spacing w:after="10" w:before="0" w:line="240" w:lineRule="auto"/>
            </w:pPr>
            <w:r>
              <w:rPr>
                <w:sz w:val="17"/>
              </w:rPr>
              <w:t>Current Liabilities &gt; Accounts Payable</w:t>
            </w:r>
          </w:p>
        </w:tc>
        <w:tc>
          <w:tcPr>
            <w:tcW w:type="dxa" w:w="2328"/>
            <w:tcMar>
              <w:top w:w="20" w:type="dxa"/>
              <w:left w:w="60" w:type="dxa"/>
              <w:bottom w:w="20" w:type="dxa"/>
              <w:right w:w="60" w:type="dxa"/>
            </w:tcMar>
            <w:vAlign w:val="top"/>
          </w:tcPr>
          <w:p>
            <w:pPr>
              <w:spacing w:after="10" w:before="0" w:line="240" w:lineRule="auto"/>
            </w:pPr>
            <w:r>
              <w:rPr>
                <w:sz w:val="17"/>
              </w:rPr>
              <w:t>Current liabilities</w:t>
            </w:r>
          </w:p>
        </w:tc>
        <w:tc>
          <w:tcPr>
            <w:tcW w:type="dxa" w:w="1601"/>
            <w:tcMar>
              <w:top w:w="20" w:type="dxa"/>
              <w:left w:w="60" w:type="dxa"/>
              <w:bottom w:w="20" w:type="dxa"/>
              <w:right w:w="60" w:type="dxa"/>
            </w:tcMar>
            <w:vAlign w:val="top"/>
          </w:tcPr>
          <w:p>
            <w:pPr>
              <w:spacing w:after="10" w:before="0" w:line="240" w:lineRule="auto"/>
            </w:pPr>
            <w:r>
              <w:rPr>
                <w:sz w:val="17"/>
              </w:rPr>
              <w:t>payables</w:t>
            </w:r>
          </w:p>
        </w:tc>
      </w:tr>
      <w:tr>
        <w:trPr>
          <w:cantSplit w:val="true"/>
        </w:trPr>
        <w:tc>
          <w:tcPr>
            <w:tcW w:type="dxa" w:w="2765"/>
            <w:tcMar>
              <w:top w:w="20" w:type="dxa"/>
              <w:left w:w="60" w:type="dxa"/>
              <w:bottom w:w="20" w:type="dxa"/>
              <w:right w:w="60" w:type="dxa"/>
            </w:tcMar>
            <w:vAlign w:val="top"/>
          </w:tcPr>
          <w:p>
            <w:pPr>
              <w:spacing w:after="10" w:before="0" w:line="240" w:lineRule="auto"/>
            </w:pPr>
            <w:r>
              <w:rPr>
                <w:sz w:val="17"/>
              </w:rPr>
              <w:t>Credit Card - &lt;label&gt;</w:t>
            </w:r>
          </w:p>
        </w:tc>
        <w:tc>
          <w:tcPr>
            <w:tcW w:type="dxa" w:w="2911"/>
            <w:tcMar>
              <w:top w:w="20" w:type="dxa"/>
              <w:left w:w="60" w:type="dxa"/>
              <w:bottom w:w="20" w:type="dxa"/>
              <w:right w:w="60" w:type="dxa"/>
            </w:tcMar>
            <w:vAlign w:val="top"/>
          </w:tcPr>
          <w:p>
            <w:pPr>
              <w:spacing w:after="10" w:before="0" w:line="240" w:lineRule="auto"/>
            </w:pPr>
            <w:r>
              <w:rPr>
                <w:sz w:val="17"/>
              </w:rPr>
              <w:t>Current Liabilities &gt; Credit Cards</w:t>
            </w:r>
          </w:p>
        </w:tc>
        <w:tc>
          <w:tcPr>
            <w:tcW w:type="dxa" w:w="2328"/>
            <w:tcMar>
              <w:top w:w="20" w:type="dxa"/>
              <w:left w:w="60" w:type="dxa"/>
              <w:bottom w:w="20" w:type="dxa"/>
              <w:right w:w="60" w:type="dxa"/>
            </w:tcMar>
            <w:vAlign w:val="top"/>
          </w:tcPr>
          <w:p>
            <w:pPr>
              <w:spacing w:after="10" w:before="0" w:line="240" w:lineRule="auto"/>
            </w:pPr>
            <w:r>
              <w:rPr>
                <w:sz w:val="17"/>
              </w:rPr>
              <w:t>Current liabilities</w:t>
            </w:r>
          </w:p>
        </w:tc>
        <w:tc>
          <w:tcPr>
            <w:tcW w:type="dxa" w:w="1601"/>
            <w:tcMar>
              <w:top w:w="20" w:type="dxa"/>
              <w:left w:w="60" w:type="dxa"/>
              <w:bottom w:w="20" w:type="dxa"/>
              <w:right w:w="60" w:type="dxa"/>
            </w:tcMar>
            <w:vAlign w:val="top"/>
          </w:tcPr>
          <w:p>
            <w:pPr>
              <w:spacing w:after="10" w:before="0" w:line="240" w:lineRule="auto"/>
            </w:pPr>
            <w:r>
              <w:rPr>
                <w:sz w:val="17"/>
              </w:rPr>
              <w:t>otherCurrentLiabilities</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Two consequences of the name rules. Input VAT sits in the group 'Tax Receivable', so it is classified with receivables, and Output VAT sits in 'Tax Payable', so it is classified with payables; both move the 'trade and other receivables' and 'trade and other payables' lines of the cash flow. Advances follow the group they are filed in, not the party kind (section 2.4).</w:t>
            </w:r>
          </w:p>
        </w:tc>
      </w:tr>
    </w:tbl>
    <w:p>
      <w:pPr>
        <w:spacing w:after="0" w:before="0"/>
        <w:rPr>
          <w:sz w:val="8"/>
        </w:rPr>
      </w:pPr>
    </w:p>
    <w:p>
      <w:pPr>
        <w:pStyle w:val="Heading3"/>
      </w:pPr>
      <w:r>
        <w:t>4.22.2 Statement of financial position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Statement of financial position</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What does the company own and owe, split into current and non-current, with equity?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IFRS statements &gt; Financial position (</w:t>
            </w:r>
            <w:r>
              <w:rPr>
                <w:rFonts w:ascii="Consolas" w:hAnsi="Consolas" w:eastAsia="Consolas"/>
                <w:sz w:val="16"/>
              </w:rPr>
              <w:t>/ifrs-statements</w:t>
            </w:r>
            <w:r>
              <w:rPr>
                <w:sz w:val="17"/>
              </w:rPr>
              <w:t>).</w:t>
            </w:r>
          </w:p>
          <w:p>
            <w:pPr>
              <w:spacing w:after="10" w:before="0" w:line="240" w:lineRule="auto"/>
            </w:pPr>
            <w:r>
              <w:rPr>
                <w:sz w:val="17"/>
              </w:rPr>
              <w:t xml:space="preserve">API: </w:t>
            </w:r>
            <w:r>
              <w:rPr>
                <w:rFonts w:ascii="Consolas" w:hAnsi="Consolas" w:eastAsia="Consolas"/>
                <w:sz w:val="16"/>
              </w:rPr>
              <w:t>GET /api/v1/ifrs/financial-position?asAt=&amp;from=&amp;compare=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 xml:space="preserve">Ledger entries up to </w:t>
            </w:r>
            <w:r>
              <w:rPr>
                <w:rFonts w:ascii="Consolas" w:hAnsi="Consolas" w:eastAsia="Consolas"/>
                <w:sz w:val="16"/>
              </w:rPr>
              <w:t>asAt</w:t>
            </w:r>
            <w:r>
              <w:rPr>
                <w:sz w:val="17"/>
              </w:rPr>
              <w:t xml:space="preserve"> per account, with the group tree.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asAt</w:t>
            </w:r>
            <w:r>
              <w:rPr>
                <w:sz w:val="17"/>
              </w:rPr>
              <w:t xml:space="preserve"> (default today), </w:t>
            </w:r>
            <w:r>
              <w:rPr>
                <w:rFonts w:ascii="Consolas" w:hAnsi="Consolas" w:eastAsia="Consolas"/>
                <w:sz w:val="16"/>
              </w:rPr>
              <w:t>from</w:t>
            </w:r>
            <w:r>
              <w:rPr>
                <w:sz w:val="17"/>
              </w:rPr>
              <w:t xml:space="preserve"> (start of the fiscal year), </w:t>
            </w:r>
            <w:r>
              <w:rPr>
                <w:rFonts w:ascii="Consolas" w:hAnsi="Consolas" w:eastAsia="Consolas"/>
                <w:sz w:val="16"/>
              </w:rPr>
              <w:t>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Per account: </w:t>
            </w:r>
            <w:r>
              <w:rPr>
                <w:rFonts w:ascii="Consolas" w:hAnsi="Consolas" w:eastAsia="Consolas"/>
                <w:sz w:val="16"/>
              </w:rPr>
              <w:t>closingNet</w:t>
            </w:r>
            <w:r>
              <w:rPr>
                <w:sz w:val="17"/>
              </w:rPr>
              <w:t xml:space="preserve"> = opening net + period net (debit - credit, all entries up to </w:t>
            </w:r>
            <w:r>
              <w:rPr>
                <w:rFonts w:ascii="Consolas" w:hAnsi="Consolas" w:eastAsia="Consolas"/>
                <w:sz w:val="16"/>
              </w:rPr>
              <w:t>asAt</w:t>
            </w:r>
            <w:r>
              <w:rPr>
                <w:sz w:val="17"/>
              </w:rPr>
              <w:t xml:space="preserve">). </w:t>
            </w:r>
            <w:r>
              <w:rPr>
                <w:rFonts w:ascii="Consolas" w:hAnsi="Consolas" w:eastAsia="Consolas"/>
                <w:sz w:val="16"/>
              </w:rPr>
              <w:t>amount</w:t>
            </w:r>
            <w:r>
              <w:rPr>
                <w:sz w:val="17"/>
              </w:rPr>
              <w:t xml:space="preserve"> = closingNet for an asset; -closingNet for a liability or an equity account.</w:t>
            </w:r>
          </w:p>
          <w:p>
            <w:pPr>
              <w:tabs>
                <w:tab w:pos="202" w:val="left"/>
              </w:tabs>
              <w:spacing w:after="10" w:before="0" w:line="240" w:lineRule="auto"/>
              <w:ind w:left="202" w:hanging="202"/>
            </w:pPr>
            <w:r>
              <w:rPr>
                <w:sz w:val="17"/>
              </w:rPr>
              <w:t>•</w:t>
              <w:tab/>
              <w:t>Section: asset non-current or current; liability non-current or current; equity accounts in equity.</w:t>
            </w:r>
          </w:p>
          <w:p>
            <w:pPr>
              <w:tabs>
                <w:tab w:pos="202" w:val="left"/>
              </w:tabs>
              <w:spacing w:after="10" w:before="0" w:line="240" w:lineRule="auto"/>
              <w:ind w:left="202" w:hanging="202"/>
            </w:pPr>
            <w:r>
              <w:rPr>
                <w:sz w:val="17"/>
              </w:rPr>
              <w:t>•</w:t>
              <w:tab/>
              <w:t>Presentation order inside current assets: inventory, receivables, other, then cash and bank last.</w:t>
            </w:r>
          </w:p>
          <w:p>
            <w:pPr>
              <w:tabs>
                <w:tab w:pos="202" w:val="left"/>
              </w:tabs>
              <w:spacing w:after="10" w:before="0" w:line="240" w:lineRule="auto"/>
              <w:ind w:left="202" w:hanging="202"/>
            </w:pPr>
            <w:r>
              <w:rPr>
                <w:sz w:val="17"/>
              </w:rPr>
              <w:t>•</w:t>
              <w:tab/>
            </w:r>
            <w:r>
              <w:rPr>
                <w:b/>
                <w:sz w:val="17"/>
              </w:rPr>
              <w:t>Profit is not closed to equity</w:t>
            </w:r>
            <w:r>
              <w:rPr>
                <w:sz w:val="17"/>
              </w:rPr>
              <w:t xml:space="preserve">, so it is shown inside equity as two lines: 'Accumulated profit brought forward' = -(sum of the income and expense accounts' net before </w:t>
            </w:r>
            <w:r>
              <w:rPr>
                <w:rFonts w:ascii="Consolas" w:hAnsi="Consolas" w:eastAsia="Consolas"/>
                <w:sz w:val="16"/>
              </w:rPr>
              <w:t>from</w:t>
            </w:r>
            <w:r>
              <w:rPr>
                <w:sz w:val="17"/>
              </w:rPr>
              <w:t xml:space="preserve">), and 'Profit for the period' = -(their net from </w:t>
            </w:r>
            <w:r>
              <w:rPr>
                <w:rFonts w:ascii="Consolas" w:hAnsi="Consolas" w:eastAsia="Consolas"/>
                <w:sz w:val="16"/>
              </w:rPr>
              <w:t>from</w:t>
            </w:r>
            <w:r>
              <w:rPr>
                <w:sz w:val="17"/>
              </w:rPr>
              <w:t xml:space="preserve"> to </w:t>
            </w:r>
            <w:r>
              <w:rPr>
                <w:rFonts w:ascii="Consolas" w:hAnsi="Consolas" w:eastAsia="Consolas"/>
                <w:sz w:val="16"/>
              </w:rPr>
              <w:t>asAt</w:t>
            </w:r>
            <w:r>
              <w:rPr>
                <w:sz w:val="17"/>
              </w:rPr>
              <w:t>).</w:t>
            </w:r>
          </w:p>
          <w:p>
            <w:pPr>
              <w:tabs>
                <w:tab w:pos="202" w:val="left"/>
              </w:tabs>
              <w:spacing w:after="10" w:before="0" w:line="240" w:lineRule="auto"/>
              <w:ind w:left="202" w:hanging="202"/>
            </w:pPr>
            <w:r>
              <w:rPr>
                <w:sz w:val="17"/>
              </w:rPr>
              <w:t>•</w:t>
              <w:tab/>
            </w:r>
            <w:r>
              <w:rPr>
                <w:rFonts w:ascii="Consolas" w:hAnsi="Consolas" w:eastAsia="Consolas"/>
                <w:sz w:val="16"/>
              </w:rPr>
              <w:t>isBalanced</w:t>
            </w:r>
            <w:r>
              <w:rPr>
                <w:sz w:val="17"/>
              </w:rPr>
              <w:t xml:space="preserve"> = |assets - (equity + liabilities)| &lt; 0.01; </w:t>
            </w:r>
            <w:r>
              <w:rPr>
                <w:rFonts w:ascii="Consolas" w:hAnsi="Consolas" w:eastAsia="Consolas"/>
                <w:sz w:val="16"/>
              </w:rPr>
              <w:t>difference</w:t>
            </w:r>
            <w:r>
              <w:rPr>
                <w:sz w:val="17"/>
              </w:rPr>
              <w:t xml:space="preserve"> shows the amount; the comparative has its own check.</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An account in credit on the asset side is shown as a negative on its own side; nothing is moved between sides. Contra accounts (accumulated depreciation) appear as negative lines in their group.</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Balances; equals the trial balance. The note tables agree with the lines (test: ifrsReports.test.js).</w:t>
            </w:r>
          </w:p>
          <w:p>
            <w:pPr>
              <w:tabs>
                <w:tab w:pos="202" w:val="left"/>
              </w:tabs>
              <w:spacing w:after="10" w:before="0" w:line="240" w:lineRule="auto"/>
              <w:ind w:left="202" w:hanging="202"/>
            </w:pPr>
            <w:r>
              <w:rPr>
                <w:sz w:val="17"/>
              </w:rPr>
              <w:t>•</w:t>
              <w:tab/>
              <w:t>Equity equals the closing equity of the statement of changes in equity.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assets{nonCurrent, current}, equityAndLiabilities{equity, nonCurrentLiabilities, currentLiabilities}, each with groups, accounts, amount and comparative; isBalanced. Screen with print and CSV.</w:t>
            </w:r>
          </w:p>
        </w:tc>
      </w:tr>
    </w:tbl>
    <w:p>
      <w:pPr>
        <w:spacing w:after="0" w:before="0"/>
        <w:rPr>
          <w:sz w:val="8"/>
        </w:rPr>
      </w:pPr>
    </w:p>
    <w:p>
      <w:pPr>
        <w:pStyle w:val="Heading3"/>
      </w:pPr>
      <w:r>
        <w:t>4.22.3 Statement of profit or loss (by function)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Statement of profit or loss and other comprehensive income</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Revenue, cost of sales, gross profit and the expenses by nature, down to the profit for the period.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IFRS statements &gt; Profit or loss.</w:t>
            </w:r>
          </w:p>
          <w:p>
            <w:pPr>
              <w:spacing w:after="10" w:before="0" w:line="240" w:lineRule="auto"/>
            </w:pPr>
            <w:r>
              <w:rPr>
                <w:sz w:val="17"/>
              </w:rPr>
              <w:t xml:space="preserve">API: </w:t>
            </w:r>
            <w:r>
              <w:rPr>
                <w:rFonts w:ascii="Consolas" w:hAnsi="Consolas" w:eastAsia="Consolas"/>
                <w:sz w:val="16"/>
              </w:rPr>
              <w:t>GET /api/v1/ifrs/profit-or-loss?from=&amp;to=&amp;compare=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The ledger profit and loss (section 4.2), then the name rules.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w:t>
            </w:r>
            <w:r>
              <w:rPr>
                <w:rFonts w:ascii="Consolas" w:hAnsi="Consolas" w:eastAsia="Consolas"/>
                <w:sz w:val="16"/>
              </w:rPr>
              <w:t>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Revenue, cost of sales and other income are those of the ledger profit and loss. Each expense account outside the direct costs is tested in this order: income tax; depreciation and amortisation; finance costs; otherwise operating expenses.</w:t>
            </w:r>
          </w:p>
          <w:p>
            <w:pPr>
              <w:tabs>
                <w:tab w:pos="202" w:val="left"/>
              </w:tabs>
              <w:spacing w:after="10" w:before="0" w:line="240" w:lineRule="auto"/>
              <w:ind w:left="202" w:hanging="202"/>
            </w:pPr>
            <w:r>
              <w:rPr>
                <w:sz w:val="17"/>
              </w:rPr>
              <w:t>•</w:t>
              <w:tab/>
              <w:t>Gross profit = revenue - cost of sales.</w:t>
            </w:r>
          </w:p>
          <w:p>
            <w:pPr>
              <w:tabs>
                <w:tab w:pos="202" w:val="left"/>
              </w:tabs>
              <w:spacing w:after="10" w:before="0" w:line="240" w:lineRule="auto"/>
              <w:ind w:left="202" w:hanging="202"/>
            </w:pPr>
            <w:r>
              <w:rPr>
                <w:sz w:val="17"/>
              </w:rPr>
              <w:t>•</w:t>
              <w:tab/>
            </w:r>
            <w:r>
              <w:rPr>
                <w:b/>
                <w:sz w:val="17"/>
              </w:rPr>
              <w:t>Operating profit</w:t>
            </w:r>
            <w:r>
              <w:rPr>
                <w:sz w:val="17"/>
              </w:rPr>
              <w:t xml:space="preserve"> = gross profit + other income - operating expenses - depreciation and amortisation.</w:t>
            </w:r>
          </w:p>
          <w:p>
            <w:pPr>
              <w:tabs>
                <w:tab w:pos="202" w:val="left"/>
              </w:tabs>
              <w:spacing w:after="10" w:before="0" w:line="240" w:lineRule="auto"/>
              <w:ind w:left="202" w:hanging="202"/>
            </w:pPr>
            <w:r>
              <w:rPr>
                <w:sz w:val="17"/>
              </w:rPr>
              <w:t>•</w:t>
              <w:tab/>
            </w:r>
            <w:r>
              <w:rPr>
                <w:b/>
                <w:sz w:val="17"/>
              </w:rPr>
              <w:t>Profit before tax</w:t>
            </w:r>
            <w:r>
              <w:rPr>
                <w:sz w:val="17"/>
              </w:rPr>
              <w:t xml:space="preserve"> = operating profit - finance costs.</w:t>
            </w:r>
          </w:p>
          <w:p>
            <w:pPr>
              <w:tabs>
                <w:tab w:pos="202" w:val="left"/>
              </w:tabs>
              <w:spacing w:after="10" w:before="0" w:line="240" w:lineRule="auto"/>
              <w:ind w:left="202" w:hanging="202"/>
            </w:pPr>
            <w:r>
              <w:rPr>
                <w:sz w:val="17"/>
              </w:rPr>
              <w:t>•</w:t>
              <w:tab/>
            </w:r>
            <w:r>
              <w:rPr>
                <w:b/>
                <w:sz w:val="17"/>
              </w:rPr>
              <w:t>Profit for the period</w:t>
            </w:r>
            <w:r>
              <w:rPr>
                <w:sz w:val="17"/>
              </w:rPr>
              <w:t xml:space="preserve"> = profit before tax - income tax.</w:t>
            </w:r>
          </w:p>
          <w:p>
            <w:pPr>
              <w:tabs>
                <w:tab w:pos="202" w:val="left"/>
              </w:tabs>
              <w:spacing w:after="10" w:before="0" w:line="240" w:lineRule="auto"/>
              <w:ind w:left="202" w:hanging="202"/>
            </w:pPr>
            <w:r>
              <w:rPr>
                <w:sz w:val="17"/>
              </w:rPr>
              <w:t>•</w:t>
              <w:tab/>
              <w:t>Other comprehensive income is zero (none is recognised); total comprehensive income = profit for the period.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With the default chart, Bank Charges is a finance cost (it matches 'bank charges'); Card Processing Fees is an operating expense. Sales Discounts Given is an operating expense.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The profit for the period equals the ledger profit and loss net profit for the same days and the legacy statement (test: ifrsReports.test.js).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revenue, costOfSales, grossProfit, otherIncome, operatingExpenses, depreciationAndAmortisation, operatingProfit, financeCosts, profitBeforeTax, incomeTaxExpense, profitForPeriod, otherComprehensiveIncome, totalComprehensiveIncome; each with amount and comparative.</w:t>
            </w:r>
          </w:p>
        </w:tc>
      </w:tr>
    </w:tbl>
    <w:p>
      <w:pPr>
        <w:spacing w:after="0" w:before="0"/>
        <w:rPr>
          <w:sz w:val="8"/>
        </w:rPr>
      </w:pPr>
    </w:p>
    <w:p>
      <w:pPr>
        <w:pStyle w:val="Heading3"/>
      </w:pPr>
      <w:r>
        <w:t>4.22.4 Statement of changes in equity</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Statement of changes in equity</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How did each part of equity move during the period?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IFRS statements &gt; Changes in equity.</w:t>
            </w:r>
          </w:p>
          <w:p>
            <w:pPr>
              <w:spacing w:after="10" w:before="0" w:line="240" w:lineRule="auto"/>
            </w:pPr>
            <w:r>
              <w:rPr>
                <w:sz w:val="17"/>
              </w:rPr>
              <w:t xml:space="preserve">API: </w:t>
            </w:r>
            <w:r>
              <w:rPr>
                <w:rFonts w:ascii="Consolas" w:hAnsi="Consolas" w:eastAsia="Consolas"/>
                <w:sz w:val="16"/>
              </w:rPr>
              <w:t>GET /api/v1/ifrs/changes-in-equity?from=&amp;to=&amp;compare=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Equity accounts and the income and expense accounts of the ledger.</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w:t>
            </w:r>
            <w:r>
              <w:rPr>
                <w:rFonts w:ascii="Consolas" w:hAnsi="Consolas" w:eastAsia="Consolas"/>
                <w:sz w:val="16"/>
              </w:rPr>
              <w:t>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spacing w:after="10" w:before="0" w:line="240" w:lineRule="auto"/>
            </w:pPr>
            <w:r>
              <w:rPr>
                <w:sz w:val="17"/>
              </w:rPr>
              <w:t xml:space="preserve">Three columns plus a total: share capital, retained earnings, other equity and reserves. An equity account goes to the column its name selects: retained earnings if it matches </w:t>
            </w:r>
            <w:r>
              <w:rPr>
                <w:rFonts w:ascii="Consolas" w:hAnsi="Consolas" w:eastAsia="Consolas"/>
                <w:sz w:val="16"/>
              </w:rPr>
              <w:t>retained|accumulated|earnings|profit</w:t>
            </w:r>
            <w:r>
              <w:rPr>
                <w:sz w:val="17"/>
              </w:rPr>
              <w:t xml:space="preserve">; share capital if it matches </w:t>
            </w:r>
            <w:r>
              <w:rPr>
                <w:rFonts w:ascii="Consolas" w:hAnsi="Consolas" w:eastAsia="Consolas"/>
                <w:sz w:val="16"/>
              </w:rPr>
              <w:t>capital|share</w:t>
            </w:r>
            <w:r>
              <w:rPr>
                <w:sz w:val="17"/>
              </w:rPr>
              <w:t>; otherwise other. 'Opening Balance Equity' is therefore in 'other'.</w:t>
            </w:r>
          </w:p>
          <w:p>
            <w:pPr>
              <w:tabs>
                <w:tab w:pos="202" w:val="left"/>
              </w:tabs>
              <w:spacing w:after="10" w:before="0" w:line="240" w:lineRule="auto"/>
              <w:ind w:left="202" w:hanging="202"/>
            </w:pPr>
            <w:r>
              <w:rPr>
                <w:sz w:val="17"/>
              </w:rPr>
              <w:t>•</w:t>
              <w:tab/>
              <w:t>Opening = the natural opening balance of each equity account; profit of earlier periods (not closed to equity) is added to retained earnings.</w:t>
            </w:r>
          </w:p>
          <w:p>
            <w:pPr>
              <w:tabs>
                <w:tab w:pos="202" w:val="left"/>
              </w:tabs>
              <w:spacing w:after="10" w:before="0" w:line="240" w:lineRule="auto"/>
              <w:ind w:left="202" w:hanging="202"/>
            </w:pPr>
            <w:r>
              <w:rPr>
                <w:sz w:val="17"/>
              </w:rPr>
              <w:t>•</w:t>
              <w:tab/>
              <w:t>Profit for the period = net profit, in retained earnings.</w:t>
            </w:r>
          </w:p>
          <w:p>
            <w:pPr>
              <w:tabs>
                <w:tab w:pos="202" w:val="left"/>
              </w:tabs>
              <w:spacing w:after="10" w:before="0" w:line="240" w:lineRule="auto"/>
              <w:ind w:left="202" w:hanging="202"/>
            </w:pPr>
            <w:r>
              <w:rPr>
                <w:sz w:val="17"/>
              </w:rPr>
              <w:t>•</w:t>
              <w:tab/>
              <w:t>Capital introduced and other increases = the period's positive movements on equity accounts, per column. Drawings, dividends and other decreases = the negative movements.</w:t>
            </w:r>
          </w:p>
          <w:p>
            <w:pPr>
              <w:tabs>
                <w:tab w:pos="202" w:val="left"/>
              </w:tabs>
              <w:spacing w:after="10" w:before="0" w:line="240" w:lineRule="auto"/>
              <w:ind w:left="202" w:hanging="202"/>
            </w:pPr>
            <w:r>
              <w:rPr>
                <w:sz w:val="17"/>
              </w:rPr>
              <w:t>•</w:t>
              <w:tab/>
              <w:t xml:space="preserve">Closing = opening + profit + other comprehensive income + increases + decreases. It is compared with the equity of the statement of financial position built from the same rows; </w:t>
            </w:r>
            <w:r>
              <w:rPr>
                <w:rFonts w:ascii="Consolas" w:hAnsi="Consolas" w:eastAsia="Consolas"/>
                <w:sz w:val="16"/>
              </w:rPr>
              <w:t>difference</w:t>
            </w:r>
            <w:r>
              <w:rPr>
                <w:sz w:val="17"/>
              </w:rPr>
              <w:t xml:space="preserve"> and </w:t>
            </w:r>
            <w:r>
              <w:rPr>
                <w:rFonts w:ascii="Consolas" w:hAnsi="Consolas" w:eastAsia="Consolas"/>
                <w:sz w:val="16"/>
              </w:rPr>
              <w:t>reconciles</w:t>
            </w:r>
            <w:r>
              <w:rPr>
                <w:sz w:val="17"/>
              </w:rPr>
              <w:t xml:space="preserve"> show the result.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Owner's drawings posted by journal to the capital account appear under decreases (test: ifrsReports.test.js, 500.00 in September).</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reconciles</w:t>
            </w:r>
            <w:r>
              <w:rPr>
                <w:sz w:val="17"/>
              </w:rPr>
              <w:t xml:space="preserve"> must be true for the current period and the comparative.</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columns, current{rows[opening, profit, oci, comprehensive, introduced, reduced, closing], equityPerPosition, difference, reconciles}, comparative, reconciles.</w:t>
            </w:r>
          </w:p>
        </w:tc>
      </w:tr>
    </w:tbl>
    <w:p>
      <w:pPr>
        <w:spacing w:after="0" w:before="0"/>
        <w:rPr>
          <w:sz w:val="8"/>
        </w:rPr>
      </w:pPr>
    </w:p>
    <w:p>
      <w:pPr>
        <w:pStyle w:val="Heading3"/>
      </w:pPr>
      <w:r>
        <w:t>4.22.5 Statement of cash flows (indirect), line by line</w:t>
      </w:r>
    </w:p>
    <w:p>
      <w:r>
        <w:t xml:space="preserve">Every figure is signed as cash: money in positive, money out negative. For a non-cash account the cash effect of a period is the </w:t>
      </w:r>
      <w:r>
        <w:rPr>
          <w:b/>
        </w:rPr>
        <w:t>opposite of its net movement</w:t>
      </w:r>
      <w:r>
        <w:t xml:space="preserve"> (debit - credit): stock rising uses cash, a payable rising keeps it. Each account is put in one bucket by the name rules, and the lines are:</w:t>
      </w:r>
    </w:p>
    <w:p>
      <w:pPr>
        <w:pStyle w:val="Caption"/>
      </w:pPr>
      <w:r>
        <w:t>Table 50. Cash flow lines (IfrsReportsService.cashFlowFigures)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347"/>
        <w:gridCol w:w="3638"/>
        <w:gridCol w:w="2619"/>
      </w:tblGrid>
      <w:tr>
        <w:trPr>
          <w:tblHeader w:val="true"/>
          <w:cantSplit w:val="true"/>
        </w:trPr>
        <w:tc>
          <w:tcPr>
            <w:tcW w:type="dxa" w:w="3347"/>
            <w:shd w:val="clear" w:color="auto" w:fill="1F3A5F"/>
            <w:tcMar>
              <w:top w:w="20" w:type="dxa"/>
              <w:left w:w="60" w:type="dxa"/>
              <w:bottom w:w="20" w:type="dxa"/>
              <w:right w:w="60" w:type="dxa"/>
            </w:tcMar>
            <w:vAlign w:val="center"/>
          </w:tcPr>
          <w:p>
            <w:pPr>
              <w:spacing w:after="10" w:before="0" w:line="240" w:lineRule="auto"/>
            </w:pPr>
            <w:r>
              <w:rPr>
                <w:b/>
                <w:color w:val="FFFFFF"/>
                <w:sz w:val="17"/>
              </w:rPr>
              <w:t>Line</w:t>
            </w:r>
          </w:p>
        </w:tc>
        <w:tc>
          <w:tcPr>
            <w:tcW w:type="dxa" w:w="3638"/>
            <w:shd w:val="clear" w:color="auto" w:fill="1F3A5F"/>
            <w:tcMar>
              <w:top w:w="20" w:type="dxa"/>
              <w:left w:w="60" w:type="dxa"/>
              <w:bottom w:w="20" w:type="dxa"/>
              <w:right w:w="60" w:type="dxa"/>
            </w:tcMar>
            <w:vAlign w:val="center"/>
          </w:tcPr>
          <w:p>
            <w:pPr>
              <w:spacing w:after="10" w:before="0" w:line="240" w:lineRule="auto"/>
            </w:pPr>
            <w:r>
              <w:rPr>
                <w:b/>
                <w:color w:val="FFFFFF"/>
                <w:sz w:val="17"/>
              </w:rPr>
              <w:t>Formula</w:t>
            </w:r>
          </w:p>
        </w:tc>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Accounts that feed it</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Profit before tax</w:t>
            </w:r>
          </w:p>
        </w:tc>
        <w:tc>
          <w:tcPr>
            <w:tcW w:type="dxa" w:w="3638"/>
            <w:tcMar>
              <w:top w:w="20" w:type="dxa"/>
              <w:left w:w="60" w:type="dxa"/>
              <w:bottom w:w="20" w:type="dxa"/>
              <w:right w:w="60" w:type="dxa"/>
            </w:tcMar>
            <w:vAlign w:val="top"/>
          </w:tcPr>
          <w:p>
            <w:pPr>
              <w:spacing w:after="10" w:before="0" w:line="240" w:lineRule="auto"/>
            </w:pPr>
            <w:r>
              <w:rPr>
                <w:sz w:val="17"/>
              </w:rPr>
              <w:t>from the profit or loss statement</w:t>
            </w:r>
          </w:p>
        </w:tc>
        <w:tc>
          <w:tcPr>
            <w:tcW w:type="dxa" w:w="2619"/>
            <w:tcMar>
              <w:top w:w="20" w:type="dxa"/>
              <w:left w:w="60" w:type="dxa"/>
              <w:bottom w:w="20" w:type="dxa"/>
              <w:right w:w="60" w:type="dxa"/>
            </w:tcMar>
            <w:vAlign w:val="top"/>
          </w:tcPr>
          <w:p>
            <w:pPr>
              <w:spacing w:after="10" w:before="0" w:line="240" w:lineRule="auto"/>
            </w:pPr>
            <w:r>
              <w:rPr>
                <w:sz w:val="17"/>
              </w:rPr>
              <w:t>all income and expense accounts except income tax</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Depreciation and amortisation</w:t>
            </w:r>
          </w:p>
        </w:tc>
        <w:tc>
          <w:tcPr>
            <w:tcW w:type="dxa" w:w="3638"/>
            <w:tcMar>
              <w:top w:w="20" w:type="dxa"/>
              <w:left w:w="60" w:type="dxa"/>
              <w:bottom w:w="20" w:type="dxa"/>
              <w:right w:w="60" w:type="dxa"/>
            </w:tcMar>
            <w:vAlign w:val="top"/>
          </w:tcPr>
          <w:p>
            <w:pPr>
              <w:spacing w:after="10" w:before="0" w:line="240" w:lineRule="auto"/>
            </w:pPr>
            <w:r>
              <w:rPr>
                <w:sz w:val="17"/>
              </w:rPr>
              <w:t>total of depreciation accounts (in expenses or in cost of sales)</w:t>
            </w:r>
          </w:p>
        </w:tc>
        <w:tc>
          <w:tcPr>
            <w:tcW w:type="dxa" w:w="2619"/>
            <w:tcMar>
              <w:top w:w="20" w:type="dxa"/>
              <w:left w:w="60" w:type="dxa"/>
              <w:bottom w:w="20" w:type="dxa"/>
              <w:right w:w="60" w:type="dxa"/>
            </w:tcMar>
            <w:vAlign w:val="top"/>
          </w:tcPr>
          <w:p>
            <w:pPr>
              <w:spacing w:after="10" w:before="0" w:line="240" w:lineRule="auto"/>
            </w:pPr>
            <w:r>
              <w:rPr>
                <w:sz w:val="17"/>
              </w:rPr>
              <w:t>names matching depreciation, amortisation</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Finance costs</w:t>
            </w:r>
          </w:p>
        </w:tc>
        <w:tc>
          <w:tcPr>
            <w:tcW w:type="dxa" w:w="3638"/>
            <w:tcMar>
              <w:top w:w="20" w:type="dxa"/>
              <w:left w:w="60" w:type="dxa"/>
              <w:bottom w:w="20" w:type="dxa"/>
              <w:right w:w="60" w:type="dxa"/>
            </w:tcMar>
            <w:vAlign w:val="top"/>
          </w:tcPr>
          <w:p>
            <w:pPr>
              <w:spacing w:after="10" w:before="0" w:line="240" w:lineRule="auto"/>
            </w:pPr>
            <w:r>
              <w:rPr>
                <w:sz w:val="17"/>
              </w:rPr>
              <w:t>total of finance cost accounts</w:t>
            </w:r>
          </w:p>
        </w:tc>
        <w:tc>
          <w:tcPr>
            <w:tcW w:type="dxa" w:w="2619"/>
            <w:tcMar>
              <w:top w:w="20" w:type="dxa"/>
              <w:left w:w="60" w:type="dxa"/>
              <w:bottom w:w="20" w:type="dxa"/>
              <w:right w:w="60" w:type="dxa"/>
            </w:tcMar>
            <w:vAlign w:val="top"/>
          </w:tcPr>
          <w:p>
            <w:pPr>
              <w:spacing w:after="10" w:before="0" w:line="240" w:lineRule="auto"/>
            </w:pPr>
            <w:r>
              <w:rPr>
                <w:sz w:val="17"/>
              </w:rPr>
              <w:t>names matching interest, finance, bank charges</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Loss (gain) on disposal</w:t>
            </w:r>
          </w:p>
        </w:tc>
        <w:tc>
          <w:tcPr>
            <w:tcW w:type="dxa" w:w="3638"/>
            <w:tcMar>
              <w:top w:w="20" w:type="dxa"/>
              <w:left w:w="60" w:type="dxa"/>
              <w:bottom w:w="20" w:type="dxa"/>
              <w:right w:w="60" w:type="dxa"/>
            </w:tcMar>
            <w:vAlign w:val="top"/>
          </w:tcPr>
          <w:p>
            <w:pPr>
              <w:spacing w:after="10" w:before="0" w:line="240" w:lineRule="auto"/>
            </w:pPr>
            <w:r>
              <w:rPr>
                <w:sz w:val="17"/>
              </w:rPr>
              <w:t>disposal accounts in expenses minus those in other income</w:t>
            </w:r>
          </w:p>
        </w:tc>
        <w:tc>
          <w:tcPr>
            <w:tcW w:type="dxa" w:w="2619"/>
            <w:tcMar>
              <w:top w:w="20" w:type="dxa"/>
              <w:left w:w="60" w:type="dxa"/>
              <w:bottom w:w="20" w:type="dxa"/>
              <w:right w:w="60" w:type="dxa"/>
            </w:tcMar>
            <w:vAlign w:val="top"/>
          </w:tcPr>
          <w:p>
            <w:pPr>
              <w:spacing w:after="10" w:before="0" w:line="240" w:lineRule="auto"/>
            </w:pPr>
            <w:r>
              <w:rPr>
                <w:sz w:val="17"/>
              </w:rPr>
              <w:t>names matching disposal</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Operating cash flow before working capital</w:t>
            </w:r>
          </w:p>
        </w:tc>
        <w:tc>
          <w:tcPr>
            <w:tcW w:type="dxa" w:w="3638"/>
            <w:tcMar>
              <w:top w:w="20" w:type="dxa"/>
              <w:left w:w="60" w:type="dxa"/>
              <w:bottom w:w="20" w:type="dxa"/>
              <w:right w:w="60" w:type="dxa"/>
            </w:tcMar>
            <w:vAlign w:val="top"/>
          </w:tcPr>
          <w:p>
            <w:pPr>
              <w:spacing w:after="10" w:before="0" w:line="240" w:lineRule="auto"/>
            </w:pPr>
            <w:r>
              <w:rPr>
                <w:sz w:val="17"/>
              </w:rPr>
              <w:t>profit before tax + the three adjustments</w:t>
            </w:r>
          </w:p>
        </w:tc>
        <w:tc>
          <w:tcPr>
            <w:tcW w:type="dxa" w:w="2619"/>
            <w:tcMar>
              <w:top w:w="20" w:type="dxa"/>
              <w:left w:w="60" w:type="dxa"/>
              <w:bottom w:w="20" w:type="dxa"/>
              <w:right w:w="60" w:type="dxa"/>
            </w:tcMar>
            <w:vAlign w:val="top"/>
          </w:tcPr>
          <w:p>
            <w:pPr>
              <w:spacing w:after="10" w:before="0" w:line="240" w:lineRule="auto"/>
            </w:pP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(Increase) decrease in inventories</w:t>
            </w:r>
          </w:p>
        </w:tc>
        <w:tc>
          <w:tcPr>
            <w:tcW w:type="dxa" w:w="3638"/>
            <w:tcMar>
              <w:top w:w="20" w:type="dxa"/>
              <w:left w:w="60" w:type="dxa"/>
              <w:bottom w:w="20" w:type="dxa"/>
              <w:right w:w="60" w:type="dxa"/>
            </w:tcMar>
            <w:vAlign w:val="top"/>
          </w:tcPr>
          <w:p>
            <w:pPr>
              <w:spacing w:after="10" w:before="0" w:line="240" w:lineRule="auto"/>
            </w:pPr>
            <w:r>
              <w:rPr>
                <w:sz w:val="17"/>
              </w:rPr>
              <w:t>minus the net movement of inventory accounts</w:t>
            </w:r>
          </w:p>
        </w:tc>
        <w:tc>
          <w:tcPr>
            <w:tcW w:type="dxa" w:w="2619"/>
            <w:tcMar>
              <w:top w:w="20" w:type="dxa"/>
              <w:left w:w="60" w:type="dxa"/>
              <w:bottom w:w="20" w:type="dxa"/>
              <w:right w:w="60" w:type="dxa"/>
            </w:tcMar>
            <w:vAlign w:val="top"/>
          </w:tcPr>
          <w:p>
            <w:pPr>
              <w:spacing w:after="10" w:before="0" w:line="240" w:lineRule="auto"/>
            </w:pPr>
            <w:r>
              <w:rPr>
                <w:sz w:val="17"/>
              </w:rPr>
              <w:t>assets matching inventor, stock</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(Increase) decrease in trade and other receivables</w:t>
            </w:r>
          </w:p>
        </w:tc>
        <w:tc>
          <w:tcPr>
            <w:tcW w:type="dxa" w:w="3638"/>
            <w:tcMar>
              <w:top w:w="20" w:type="dxa"/>
              <w:left w:w="60" w:type="dxa"/>
              <w:bottom w:w="20" w:type="dxa"/>
              <w:right w:w="60" w:type="dxa"/>
            </w:tcMar>
            <w:vAlign w:val="top"/>
          </w:tcPr>
          <w:p>
            <w:pPr>
              <w:spacing w:after="10" w:before="0" w:line="240" w:lineRule="auto"/>
            </w:pPr>
            <w:r>
              <w:rPr>
                <w:sz w:val="17"/>
              </w:rPr>
              <w:t>minus the net movement of receivable accounts</w:t>
            </w:r>
          </w:p>
        </w:tc>
        <w:tc>
          <w:tcPr>
            <w:tcW w:type="dxa" w:w="2619"/>
            <w:tcMar>
              <w:top w:w="20" w:type="dxa"/>
              <w:left w:w="60" w:type="dxa"/>
              <w:bottom w:w="20" w:type="dxa"/>
              <w:right w:w="60" w:type="dxa"/>
            </w:tcMar>
            <w:vAlign w:val="top"/>
          </w:tcPr>
          <w:p>
            <w:pPr>
              <w:spacing w:after="10" w:before="0" w:line="240" w:lineRule="auto"/>
            </w:pPr>
            <w:r>
              <w:rPr>
                <w:sz w:val="17"/>
              </w:rPr>
              <w:t>assets matching receivable, debtor (customers, advances to vendors, Input VAT)</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Increase (decrease) in trade and other payables</w:t>
            </w:r>
          </w:p>
        </w:tc>
        <w:tc>
          <w:tcPr>
            <w:tcW w:type="dxa" w:w="3638"/>
            <w:tcMar>
              <w:top w:w="20" w:type="dxa"/>
              <w:left w:w="60" w:type="dxa"/>
              <w:bottom w:w="20" w:type="dxa"/>
              <w:right w:w="60" w:type="dxa"/>
            </w:tcMar>
            <w:vAlign w:val="top"/>
          </w:tcPr>
          <w:p>
            <w:pPr>
              <w:spacing w:after="10" w:before="0" w:line="240" w:lineRule="auto"/>
            </w:pPr>
            <w:r>
              <w:rPr>
                <w:sz w:val="17"/>
              </w:rPr>
              <w:t>the increase in payable accounts (minus their net movement)</w:t>
            </w:r>
          </w:p>
        </w:tc>
        <w:tc>
          <w:tcPr>
            <w:tcW w:type="dxa" w:w="2619"/>
            <w:tcMar>
              <w:top w:w="20" w:type="dxa"/>
              <w:left w:w="60" w:type="dxa"/>
              <w:bottom w:w="20" w:type="dxa"/>
              <w:right w:w="60" w:type="dxa"/>
            </w:tcMar>
            <w:vAlign w:val="top"/>
          </w:tcPr>
          <w:p>
            <w:pPr>
              <w:spacing w:after="10" w:before="0" w:line="240" w:lineRule="auto"/>
            </w:pPr>
            <w:r>
              <w:rPr>
                <w:sz w:val="17"/>
              </w:rPr>
              <w:t>liabilities matching payable, creditor (vendors, customer advances, Output VAT)</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Other current assets, other current liabilities</w:t>
            </w:r>
          </w:p>
        </w:tc>
        <w:tc>
          <w:tcPr>
            <w:tcW w:type="dxa" w:w="3638"/>
            <w:tcMar>
              <w:top w:w="20" w:type="dxa"/>
              <w:left w:w="60" w:type="dxa"/>
              <w:bottom w:w="20" w:type="dxa"/>
              <w:right w:w="60" w:type="dxa"/>
            </w:tcMar>
            <w:vAlign w:val="top"/>
          </w:tcPr>
          <w:p>
            <w:pPr>
              <w:spacing w:after="10" w:before="0" w:line="240" w:lineRule="auto"/>
            </w:pPr>
            <w:r>
              <w:rPr>
                <w:sz w:val="17"/>
              </w:rPr>
              <w:t>minus the net movement of the rest</w:t>
            </w:r>
          </w:p>
        </w:tc>
        <w:tc>
          <w:tcPr>
            <w:tcW w:type="dxa" w:w="2619"/>
            <w:tcMar>
              <w:top w:w="20" w:type="dxa"/>
              <w:left w:w="60" w:type="dxa"/>
              <w:bottom w:w="20" w:type="dxa"/>
              <w:right w:w="60" w:type="dxa"/>
            </w:tcMar>
            <w:vAlign w:val="top"/>
          </w:tcPr>
          <w:p>
            <w:pPr>
              <w:spacing w:after="10" w:before="0" w:line="240" w:lineRule="auto"/>
            </w:pPr>
            <w:r>
              <w:rPr>
                <w:sz w:val="17"/>
              </w:rPr>
              <w:t>cheques in hand, cheques issued, credit cards, others</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Cash generated from operations</w:t>
            </w:r>
          </w:p>
        </w:tc>
        <w:tc>
          <w:tcPr>
            <w:tcW w:type="dxa" w:w="3638"/>
            <w:tcMar>
              <w:top w:w="20" w:type="dxa"/>
              <w:left w:w="60" w:type="dxa"/>
              <w:bottom w:w="20" w:type="dxa"/>
              <w:right w:w="60" w:type="dxa"/>
            </w:tcMar>
            <w:vAlign w:val="top"/>
          </w:tcPr>
          <w:p>
            <w:pPr>
              <w:spacing w:after="10" w:before="0" w:line="240" w:lineRule="auto"/>
            </w:pPr>
            <w:r>
              <w:rPr>
                <w:sz w:val="17"/>
              </w:rPr>
              <w:t>before working capital + working capital changes</w:t>
            </w:r>
          </w:p>
        </w:tc>
        <w:tc>
          <w:tcPr>
            <w:tcW w:type="dxa" w:w="2619"/>
            <w:tcMar>
              <w:top w:w="20" w:type="dxa"/>
              <w:left w:w="60" w:type="dxa"/>
              <w:bottom w:w="20" w:type="dxa"/>
              <w:right w:w="60" w:type="dxa"/>
            </w:tcMar>
            <w:vAlign w:val="top"/>
          </w:tcPr>
          <w:p>
            <w:pPr>
              <w:spacing w:after="10" w:before="0" w:line="240" w:lineRule="auto"/>
            </w:pP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Interest paid</w:t>
            </w:r>
          </w:p>
        </w:tc>
        <w:tc>
          <w:tcPr>
            <w:tcW w:type="dxa" w:w="3638"/>
            <w:tcMar>
              <w:top w:w="20" w:type="dxa"/>
              <w:left w:w="60" w:type="dxa"/>
              <w:bottom w:w="20" w:type="dxa"/>
              <w:right w:w="60" w:type="dxa"/>
            </w:tcMar>
            <w:vAlign w:val="top"/>
          </w:tcPr>
          <w:p>
            <w:pPr>
              <w:spacing w:after="10" w:before="0" w:line="240" w:lineRule="auto"/>
            </w:pPr>
            <w:r>
              <w:rPr>
                <w:sz w:val="17"/>
              </w:rPr>
              <w:t>minus finance costs, plus the increase in interest payable</w:t>
            </w:r>
          </w:p>
        </w:tc>
        <w:tc>
          <w:tcPr>
            <w:tcW w:type="dxa" w:w="2619"/>
            <w:tcMar>
              <w:top w:w="20" w:type="dxa"/>
              <w:left w:w="60" w:type="dxa"/>
              <w:bottom w:w="20" w:type="dxa"/>
              <w:right w:w="60" w:type="dxa"/>
            </w:tcMar>
            <w:vAlign w:val="top"/>
          </w:tcPr>
          <w:p>
            <w:pPr>
              <w:spacing w:after="10" w:before="0" w:line="240" w:lineRule="auto"/>
            </w:pPr>
            <w:r>
              <w:rPr>
                <w:sz w:val="17"/>
              </w:rPr>
              <w:t>liabilities matching interest</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Income tax paid</w:t>
            </w:r>
          </w:p>
        </w:tc>
        <w:tc>
          <w:tcPr>
            <w:tcW w:type="dxa" w:w="3638"/>
            <w:tcMar>
              <w:top w:w="20" w:type="dxa"/>
              <w:left w:w="60" w:type="dxa"/>
              <w:bottom w:w="20" w:type="dxa"/>
              <w:right w:w="60" w:type="dxa"/>
            </w:tcMar>
            <w:vAlign w:val="top"/>
          </w:tcPr>
          <w:p>
            <w:pPr>
              <w:spacing w:after="10" w:before="0" w:line="240" w:lineRule="auto"/>
            </w:pPr>
            <w:r>
              <w:rPr>
                <w:sz w:val="17"/>
              </w:rPr>
              <w:t>minus the tax expense, plus the increase in tax payable</w:t>
            </w:r>
          </w:p>
        </w:tc>
        <w:tc>
          <w:tcPr>
            <w:tcW w:type="dxa" w:w="2619"/>
            <w:tcMar>
              <w:top w:w="20" w:type="dxa"/>
              <w:left w:w="60" w:type="dxa"/>
              <w:bottom w:w="20" w:type="dxa"/>
              <w:right w:w="60" w:type="dxa"/>
            </w:tcMar>
            <w:vAlign w:val="top"/>
          </w:tcPr>
          <w:p>
            <w:pPr>
              <w:spacing w:after="10" w:before="0" w:line="240" w:lineRule="auto"/>
            </w:pPr>
            <w:r>
              <w:rPr>
                <w:sz w:val="17"/>
              </w:rPr>
              <w:t>liabilities matching income tax, corporate tax</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Net cash from operating activities</w:t>
            </w:r>
          </w:p>
        </w:tc>
        <w:tc>
          <w:tcPr>
            <w:tcW w:type="dxa" w:w="3638"/>
            <w:tcMar>
              <w:top w:w="20" w:type="dxa"/>
              <w:left w:w="60" w:type="dxa"/>
              <w:bottom w:w="20" w:type="dxa"/>
              <w:right w:w="60" w:type="dxa"/>
            </w:tcMar>
            <w:vAlign w:val="top"/>
          </w:tcPr>
          <w:p>
            <w:pPr>
              <w:spacing w:after="10" w:before="0" w:line="240" w:lineRule="auto"/>
            </w:pPr>
            <w:r>
              <w:rPr>
                <w:sz w:val="17"/>
              </w:rPr>
              <w:t>cash generated + interest paid + tax paid</w:t>
            </w:r>
          </w:p>
        </w:tc>
        <w:tc>
          <w:tcPr>
            <w:tcW w:type="dxa" w:w="2619"/>
            <w:tcMar>
              <w:top w:w="20" w:type="dxa"/>
              <w:left w:w="60" w:type="dxa"/>
              <w:bottom w:w="20" w:type="dxa"/>
              <w:right w:w="60" w:type="dxa"/>
            </w:tcMar>
            <w:vAlign w:val="top"/>
          </w:tcPr>
          <w:p>
            <w:pPr>
              <w:spacing w:after="10" w:before="0" w:line="240" w:lineRule="auto"/>
            </w:pP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Investing: net (purchase) or disposal of non-current assets</w:t>
            </w:r>
          </w:p>
        </w:tc>
        <w:tc>
          <w:tcPr>
            <w:tcW w:type="dxa" w:w="3638"/>
            <w:tcMar>
              <w:top w:w="20" w:type="dxa"/>
              <w:left w:w="60" w:type="dxa"/>
              <w:bottom w:w="20" w:type="dxa"/>
              <w:right w:w="60" w:type="dxa"/>
            </w:tcMar>
            <w:vAlign w:val="top"/>
          </w:tcPr>
          <w:p>
            <w:pPr>
              <w:spacing w:after="10" w:before="0" w:line="240" w:lineRule="auto"/>
            </w:pPr>
            <w:r>
              <w:rPr>
                <w:sz w:val="17"/>
              </w:rPr>
              <w:t>minus the net movement of non-current assets, minus depreciation, minus the disposal loss</w:t>
            </w:r>
          </w:p>
        </w:tc>
        <w:tc>
          <w:tcPr>
            <w:tcW w:type="dxa" w:w="2619"/>
            <w:tcMar>
              <w:top w:w="20" w:type="dxa"/>
              <w:left w:w="60" w:type="dxa"/>
              <w:bottom w:w="20" w:type="dxa"/>
              <w:right w:w="60" w:type="dxa"/>
            </w:tcMar>
            <w:vAlign w:val="top"/>
          </w:tcPr>
          <w:p>
            <w:pPr>
              <w:spacing w:after="10" w:before="0" w:line="240" w:lineRule="auto"/>
            </w:pPr>
            <w:r>
              <w:rPr>
                <w:sz w:val="17"/>
              </w:rPr>
              <w:t>assets in non-current groups (depreciation is not a payment)</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Financing: borrowings</w:t>
            </w:r>
          </w:p>
        </w:tc>
        <w:tc>
          <w:tcPr>
            <w:tcW w:type="dxa" w:w="3638"/>
            <w:tcMar>
              <w:top w:w="20" w:type="dxa"/>
              <w:left w:w="60" w:type="dxa"/>
              <w:bottom w:w="20" w:type="dxa"/>
              <w:right w:w="60" w:type="dxa"/>
            </w:tcMar>
            <w:vAlign w:val="top"/>
          </w:tcPr>
          <w:p>
            <w:pPr>
              <w:spacing w:after="10" w:before="0" w:line="240" w:lineRule="auto"/>
            </w:pPr>
            <w:r>
              <w:rPr>
                <w:sz w:val="17"/>
              </w:rPr>
              <w:t>the increase in borrowings (minus their net movement)</w:t>
            </w:r>
          </w:p>
        </w:tc>
        <w:tc>
          <w:tcPr>
            <w:tcW w:type="dxa" w:w="2619"/>
            <w:tcMar>
              <w:top w:w="20" w:type="dxa"/>
              <w:left w:w="60" w:type="dxa"/>
              <w:bottom w:w="20" w:type="dxa"/>
              <w:right w:w="60" w:type="dxa"/>
            </w:tcMar>
            <w:vAlign w:val="top"/>
          </w:tcPr>
          <w:p>
            <w:pPr>
              <w:spacing w:after="10" w:before="0" w:line="240" w:lineRule="auto"/>
            </w:pPr>
            <w:r>
              <w:rPr>
                <w:sz w:val="17"/>
              </w:rPr>
              <w:t>non-current liabilities, or names matching loan, borrowing, debenture, finance lease, mortgage</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Financing: capital introduced (drawings)</w:t>
            </w:r>
          </w:p>
        </w:tc>
        <w:tc>
          <w:tcPr>
            <w:tcW w:type="dxa" w:w="3638"/>
            <w:tcMar>
              <w:top w:w="20" w:type="dxa"/>
              <w:left w:w="60" w:type="dxa"/>
              <w:bottom w:w="20" w:type="dxa"/>
              <w:right w:w="60" w:type="dxa"/>
            </w:tcMar>
            <w:vAlign w:val="top"/>
          </w:tcPr>
          <w:p>
            <w:pPr>
              <w:spacing w:after="10" w:before="0" w:line="240" w:lineRule="auto"/>
            </w:pPr>
            <w:r>
              <w:rPr>
                <w:sz w:val="17"/>
              </w:rPr>
              <w:t>the increase in equity accounts (minus their net movement)</w:t>
            </w:r>
          </w:p>
        </w:tc>
        <w:tc>
          <w:tcPr>
            <w:tcW w:type="dxa" w:w="2619"/>
            <w:tcMar>
              <w:top w:w="20" w:type="dxa"/>
              <w:left w:w="60" w:type="dxa"/>
              <w:bottom w:w="20" w:type="dxa"/>
              <w:right w:w="60" w:type="dxa"/>
            </w:tcMar>
            <w:vAlign w:val="top"/>
          </w:tcPr>
          <w:p>
            <w:pPr>
              <w:spacing w:after="10" w:before="0" w:line="240" w:lineRule="auto"/>
            </w:pPr>
            <w:r>
              <w:rPr>
                <w:sz w:val="17"/>
              </w:rPr>
              <w:t>all equity accounts</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Other movements</w:t>
            </w:r>
          </w:p>
        </w:tc>
        <w:tc>
          <w:tcPr>
            <w:tcW w:type="dxa" w:w="3638"/>
            <w:tcMar>
              <w:top w:w="20" w:type="dxa"/>
              <w:left w:w="60" w:type="dxa"/>
              <w:bottom w:w="20" w:type="dxa"/>
              <w:right w:w="60" w:type="dxa"/>
            </w:tcMar>
            <w:vAlign w:val="top"/>
          </w:tcPr>
          <w:p>
            <w:pPr>
              <w:spacing w:after="10" w:before="0" w:line="240" w:lineRule="auto"/>
            </w:pPr>
            <w:r>
              <w:rPr>
                <w:sz w:val="17"/>
              </w:rPr>
              <w:t>minus the net movement of anything left</w:t>
            </w:r>
          </w:p>
        </w:tc>
        <w:tc>
          <w:tcPr>
            <w:tcW w:type="dxa" w:w="2619"/>
            <w:tcMar>
              <w:top w:w="20" w:type="dxa"/>
              <w:left w:w="60" w:type="dxa"/>
              <w:bottom w:w="20" w:type="dxa"/>
              <w:right w:w="60" w:type="dxa"/>
            </w:tcMar>
            <w:vAlign w:val="top"/>
          </w:tcPr>
          <w:p>
            <w:pPr>
              <w:spacing w:after="10" w:before="0" w:line="240" w:lineRule="auto"/>
            </w:pPr>
            <w:r>
              <w:rPr>
                <w:sz w:val="17"/>
              </w:rPr>
              <w:t>cash in an account that has been switched off</w:t>
            </w: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 Net increase in cash</w:t>
            </w:r>
          </w:p>
        </w:tc>
        <w:tc>
          <w:tcPr>
            <w:tcW w:type="dxa" w:w="3638"/>
            <w:tcMar>
              <w:top w:w="20" w:type="dxa"/>
              <w:left w:w="60" w:type="dxa"/>
              <w:bottom w:w="20" w:type="dxa"/>
              <w:right w:w="60" w:type="dxa"/>
            </w:tcMar>
            <w:vAlign w:val="top"/>
          </w:tcPr>
          <w:p>
            <w:pPr>
              <w:spacing w:after="10" w:before="0" w:line="240" w:lineRule="auto"/>
            </w:pPr>
            <w:r>
              <w:rPr>
                <w:sz w:val="17"/>
              </w:rPr>
              <w:t>operating + investing + financing + other</w:t>
            </w:r>
          </w:p>
        </w:tc>
        <w:tc>
          <w:tcPr>
            <w:tcW w:type="dxa" w:w="2619"/>
            <w:tcMar>
              <w:top w:w="20" w:type="dxa"/>
              <w:left w:w="60" w:type="dxa"/>
              <w:bottom w:w="20" w:type="dxa"/>
              <w:right w:w="60" w:type="dxa"/>
            </w:tcMar>
            <w:vAlign w:val="top"/>
          </w:tcPr>
          <w:p>
            <w:pPr>
              <w:spacing w:after="10" w:before="0" w:line="240" w:lineRule="auto"/>
            </w:pPr>
          </w:p>
        </w:tc>
      </w:tr>
      <w:tr>
        <w:trPr>
          <w:cantSplit w:val="true"/>
        </w:trPr>
        <w:tc>
          <w:tcPr>
            <w:tcW w:type="dxa" w:w="3347"/>
            <w:tcMar>
              <w:top w:w="20" w:type="dxa"/>
              <w:left w:w="60" w:type="dxa"/>
              <w:bottom w:w="20" w:type="dxa"/>
              <w:right w:w="60" w:type="dxa"/>
            </w:tcMar>
            <w:vAlign w:val="top"/>
          </w:tcPr>
          <w:p>
            <w:pPr>
              <w:spacing w:after="10" w:before="0" w:line="240" w:lineRule="auto"/>
            </w:pPr>
            <w:r>
              <w:rPr>
                <w:sz w:val="17"/>
              </w:rPr>
              <w:t>Opening cash, closing cash</w:t>
            </w:r>
          </w:p>
        </w:tc>
        <w:tc>
          <w:tcPr>
            <w:tcW w:type="dxa" w:w="3638"/>
            <w:tcMar>
              <w:top w:w="20" w:type="dxa"/>
              <w:left w:w="60" w:type="dxa"/>
              <w:bottom w:w="20" w:type="dxa"/>
              <w:right w:w="60" w:type="dxa"/>
            </w:tcMar>
            <w:vAlign w:val="top"/>
          </w:tcPr>
          <w:p>
            <w:pPr>
              <w:spacing w:after="10" w:before="0" w:line="240" w:lineRule="auto"/>
            </w:pPr>
            <w:r>
              <w:rPr>
                <w:sz w:val="17"/>
              </w:rPr>
              <w:t xml:space="preserve">opening = cash and bank before </w:t>
            </w:r>
            <w:r>
              <w:rPr>
                <w:rFonts w:ascii="Consolas" w:hAnsi="Consolas" w:eastAsia="Consolas"/>
                <w:sz w:val="16"/>
              </w:rPr>
              <w:t>from</w:t>
            </w:r>
            <w:r>
              <w:rPr>
                <w:sz w:val="17"/>
              </w:rPr>
              <w:t>; closing = opening + net increase</w:t>
            </w:r>
          </w:p>
        </w:tc>
        <w:tc>
          <w:tcPr>
            <w:tcW w:type="dxa" w:w="2619"/>
            <w:tcMar>
              <w:top w:w="20" w:type="dxa"/>
              <w:left w:w="60" w:type="dxa"/>
              <w:bottom w:w="20" w:type="dxa"/>
              <w:right w:w="60" w:type="dxa"/>
            </w:tcMar>
            <w:vAlign w:val="top"/>
          </w:tcPr>
          <w:p>
            <w:pPr>
              <w:spacing w:after="10" w:before="0" w:line="240" w:lineRule="auto"/>
            </w:pPr>
            <w:r>
              <w:rPr>
                <w:sz w:val="17"/>
              </w:rPr>
              <w:t>active cash and bank accounts</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The statement reconciles by construction: the closing cash it computes must equal the cash and bank ledger balance (</w:t>
            </w:r>
            <w:r>
              <w:rPr>
                <w:rFonts w:ascii="Consolas" w:hAnsi="Consolas" w:eastAsia="Consolas"/>
                <w:sz w:val="19"/>
              </w:rPr>
              <w:t>closingPerLedger</w:t>
            </w:r>
            <w:r>
              <w:rPr>
                <w:sz w:val="20"/>
              </w:rPr>
              <w:t xml:space="preserve">), and the report shows the </w:t>
            </w:r>
            <w:r>
              <w:rPr>
                <w:rFonts w:ascii="Consolas" w:hAnsi="Consolas" w:eastAsia="Consolas"/>
                <w:sz w:val="19"/>
              </w:rPr>
              <w:t>difference</w:t>
            </w:r>
            <w:r>
              <w:rPr>
                <w:sz w:val="20"/>
              </w:rPr>
              <w:t>. A one-sided entry that no voucher could post makes the difference non-zero instead of being hidden (test: ifrsReports.test.js, 75.00 case).</w:t>
            </w:r>
          </w:p>
        </w:tc>
      </w:tr>
    </w:tbl>
    <w:p>
      <w:pPr>
        <w:spacing w:after="0" w:before="0"/>
        <w:rPr>
          <w:sz w:val="8"/>
        </w:rPr>
      </w:pPr>
    </w:p>
    <w:p>
      <w:pPr>
        <w:pStyle w:val="Heading3"/>
      </w:pPr>
      <w:r>
        <w:t>4.22.6 Notes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Notes to the financial statements</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Policies and the note tables that explain the main balances.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IFRS statements &gt; Notes.</w:t>
            </w:r>
          </w:p>
          <w:p>
            <w:pPr>
              <w:spacing w:after="10" w:before="0" w:line="240" w:lineRule="auto"/>
            </w:pPr>
            <w:r>
              <w:rPr>
                <w:sz w:val="17"/>
              </w:rPr>
              <w:t xml:space="preserve">API: </w:t>
            </w:r>
            <w:r>
              <w:rPr>
                <w:rFonts w:ascii="Consolas" w:hAnsi="Consolas" w:eastAsia="Consolas"/>
                <w:sz w:val="16"/>
              </w:rPr>
              <w:t>GET /api/v1/ifrs/notes?asAt=&amp;compare=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The ledger, the ageing report, the company profile (legal name, TRN).</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asAt</w:t>
            </w:r>
            <w:r>
              <w:rPr>
                <w:sz w:val="17"/>
              </w:rPr>
              <w:t xml:space="preserve">, </w:t>
            </w:r>
            <w:r>
              <w:rPr>
                <w:rFonts w:ascii="Consolas" w:hAnsi="Consolas" w:eastAsia="Consolas"/>
                <w:sz w:val="16"/>
              </w:rPr>
              <w:t>compare</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Policies: reporting entity, basis of preparation (IFRS, historical cost, AED), inventories (weighted average cost), revenue (IFRS 15, net of VAT, discounts and returns), VAT, current and non-current classification.</w:t>
            </w:r>
          </w:p>
          <w:p>
            <w:pPr>
              <w:tabs>
                <w:tab w:pos="202" w:val="left"/>
              </w:tabs>
              <w:spacing w:after="10" w:before="0" w:line="240" w:lineRule="auto"/>
              <w:ind w:left="202" w:hanging="202"/>
            </w:pPr>
            <w:r>
              <w:rPr>
                <w:sz w:val="17"/>
              </w:rPr>
              <w:t>•</w:t>
              <w:tab/>
              <w:t xml:space="preserve">Trade and other receivables: customer accounts (names starting 'Customer - ') and other receivables (advances to vendors), with an ageing taken from the open invoices; </w:t>
            </w:r>
            <w:r>
              <w:rPr>
                <w:rFonts w:ascii="Consolas" w:hAnsi="Consolas" w:eastAsia="Consolas"/>
                <w:sz w:val="16"/>
              </w:rPr>
              <w:t>notSetAgainstInvoices</w:t>
            </w:r>
            <w:r>
              <w:rPr>
                <w:sz w:val="17"/>
              </w:rPr>
              <w:t xml:space="preserve"> = ledger total - ageing total.</w:t>
            </w:r>
          </w:p>
          <w:p>
            <w:pPr>
              <w:tabs>
                <w:tab w:pos="202" w:val="left"/>
              </w:tabs>
              <w:spacing w:after="10" w:before="0" w:line="240" w:lineRule="auto"/>
              <w:ind w:left="202" w:hanging="202"/>
            </w:pPr>
            <w:r>
              <w:rPr>
                <w:sz w:val="17"/>
              </w:rPr>
              <w:t>•</w:t>
              <w:tab/>
              <w:t xml:space="preserve">Inventories: accounts in the group behind </w:t>
            </w:r>
            <w:r>
              <w:rPr>
                <w:rFonts w:ascii="Consolas" w:hAnsi="Consolas" w:eastAsia="Consolas"/>
                <w:sz w:val="16"/>
              </w:rPr>
              <w:t>inventory-asset-group</w:t>
            </w:r>
            <w:r>
              <w:rPr>
                <w:sz w:val="17"/>
              </w:rPr>
              <w:t>. Cash and cash equivalents: each cash and bank account. Trade and other payables: vendor accounts ('Vendor - ') and others, with ageing. VAT: output VAT payable, input VAT recoverable and the net.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A disclaimer states that these are basic notes, not a complete set of IFRS disclosures, and should be reviewed with the accountant.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sz w:val="17"/>
              </w:rPr>
              <w:t>Each note total equals the line of the statement of financial position (test: ifrsReports.test.js).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policies[], tables{tradeReceivables, inventory, cash, tradePayables, vat}, disclaimer.</w:t>
            </w:r>
          </w:p>
        </w:tc>
      </w:tr>
    </w:tbl>
    <w:p>
      <w:pPr>
        <w:spacing w:after="0" w:before="0"/>
        <w:rPr>
          <w:sz w:val="8"/>
        </w:rPr>
      </w:pPr>
    </w:p>
    <w:p>
      <w:pPr>
        <w:pStyle w:val="Heading2"/>
      </w:pPr>
      <w:r>
        <w:t>4.23 Home dashboard</w:t>
      </w:r>
    </w:p>
    <w:p>
      <w:r>
        <w:rPr>
          <w:b/>
        </w:rPr>
        <w:t>Status: built, with real figures.</w:t>
      </w:r>
      <w:r>
        <w:t xml:space="preserve"> The dashboard does not hold or sample data. Every figure is read from the report that owns it (profit and loss, party balances, ageing, stock valuation, expiry, reorder, sales analysis, the VAT return, the day book) or from one grouped query in </w:t>
      </w:r>
      <w:r>
        <w:rPr>
          <w:rFonts w:ascii="Consolas" w:hAnsi="Consolas" w:eastAsia="Consolas"/>
        </w:rPr>
        <w:t>dashboardQueries.js</w:t>
      </w:r>
      <w:r>
        <w:t xml:space="preserve"> that uses the same definitions; the tests check the series against those reports month by month. Amounts are AED and days are Dubai days. The page (</w:t>
      </w:r>
      <w:r>
        <w:rPr>
          <w:rFonts w:ascii="Consolas" w:hAnsi="Consolas" w:eastAsia="Consolas"/>
        </w:rPr>
        <w:t>/dashboard</w:t>
      </w:r>
      <w:r>
        <w:t>) loads the first screen first and the Sales, Inventory and Reports tabs when they are opened.</w:t>
      </w:r>
    </w:p>
    <w:p>
      <w:pPr>
        <w:pStyle w:val="Caption"/>
      </w:pPr>
      <w:r>
        <w:t>Table 51. Dashboard period rules (DashboardService.resolvePeriod)</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891"/>
        <w:gridCol w:w="7712"/>
      </w:tblGrid>
      <w:tr>
        <w:trPr>
          <w:tblHeader w:val="true"/>
          <w:cantSplit w:val="true"/>
        </w:trPr>
        <w:tc>
          <w:tcPr>
            <w:tcW w:type="dxa" w:w="1892"/>
            <w:shd w:val="clear" w:color="auto" w:fill="1F3A5F"/>
            <w:tcMar>
              <w:top w:w="20" w:type="dxa"/>
              <w:left w:w="60" w:type="dxa"/>
              <w:bottom w:w="20" w:type="dxa"/>
              <w:right w:w="60" w:type="dxa"/>
            </w:tcMar>
            <w:vAlign w:val="center"/>
          </w:tcPr>
          <w:p>
            <w:pPr>
              <w:spacing w:after="10" w:before="0" w:line="240" w:lineRule="auto"/>
            </w:pPr>
            <w:r>
              <w:rPr>
                <w:b/>
                <w:color w:val="FFFFFF"/>
                <w:sz w:val="17"/>
              </w:rPr>
              <w:t>Parameter</w:t>
            </w:r>
          </w:p>
        </w:tc>
        <w:tc>
          <w:tcPr>
            <w:tcW w:type="dxa" w:w="7713"/>
            <w:shd w:val="clear" w:color="auto" w:fill="1F3A5F"/>
            <w:tcMar>
              <w:top w:w="20" w:type="dxa"/>
              <w:left w:w="60" w:type="dxa"/>
              <w:bottom w:w="20" w:type="dxa"/>
              <w:right w:w="60" w:type="dxa"/>
            </w:tcMar>
            <w:vAlign w:val="center"/>
          </w:tcPr>
          <w:p>
            <w:pPr>
              <w:spacing w:after="10" w:before="0" w:line="240" w:lineRule="auto"/>
            </w:pPr>
            <w:r>
              <w:rPr>
                <w:b/>
                <w:color w:val="FFFFFF"/>
                <w:sz w:val="17"/>
              </w:rPr>
              <w:t>Rule</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period</w:t>
            </w:r>
          </w:p>
        </w:tc>
        <w:tc>
          <w:tcPr>
            <w:tcW w:type="dxa" w:w="7713"/>
            <w:tcMar>
              <w:top w:w="20" w:type="dxa"/>
              <w:left w:w="60" w:type="dxa"/>
              <w:bottom w:w="20" w:type="dxa"/>
              <w:right w:w="60" w:type="dxa"/>
            </w:tcMar>
            <w:vAlign w:val="top"/>
          </w:tcPr>
          <w:p>
            <w:pPr>
              <w:spacing w:after="10" w:before="0" w:line="240" w:lineRule="auto"/>
            </w:pPr>
            <w:r>
              <w:rPr>
                <w:rFonts w:ascii="Consolas" w:hAnsi="Consolas" w:eastAsia="Consolas"/>
                <w:sz w:val="16"/>
              </w:rPr>
              <w:t>week</w:t>
            </w:r>
            <w:r>
              <w:rPr>
                <w:sz w:val="17"/>
              </w:rPr>
              <w:t xml:space="preserve"> (Monday to today), </w:t>
            </w:r>
            <w:r>
              <w:rPr>
                <w:rFonts w:ascii="Consolas" w:hAnsi="Consolas" w:eastAsia="Consolas"/>
                <w:sz w:val="16"/>
              </w:rPr>
              <w:t>month</w:t>
            </w:r>
            <w:r>
              <w:rPr>
                <w:sz w:val="17"/>
              </w:rPr>
              <w:t xml:space="preserve"> (month to date, the default), </w:t>
            </w:r>
            <w:r>
              <w:rPr>
                <w:rFonts w:ascii="Consolas" w:hAnsi="Consolas" w:eastAsia="Consolas"/>
                <w:sz w:val="16"/>
              </w:rPr>
              <w:t>quarter</w:t>
            </w:r>
            <w:r>
              <w:rPr>
                <w:sz w:val="17"/>
              </w:rPr>
              <w:t xml:space="preserve"> (calendar quarter to date).</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month</w:t>
            </w:r>
          </w:p>
        </w:tc>
        <w:tc>
          <w:tcPr>
            <w:tcW w:type="dxa" w:w="7713"/>
            <w:tcMar>
              <w:top w:w="20" w:type="dxa"/>
              <w:left w:w="60" w:type="dxa"/>
              <w:bottom w:w="20" w:type="dxa"/>
              <w:right w:w="60" w:type="dxa"/>
            </w:tcMar>
            <w:vAlign w:val="top"/>
          </w:tcPr>
          <w:p>
            <w:pPr>
              <w:spacing w:after="10" w:before="0" w:line="240" w:lineRule="auto"/>
            </w:pPr>
            <w:r>
              <w:rPr>
                <w:rFonts w:ascii="Consolas" w:hAnsi="Consolas" w:eastAsia="Consolas"/>
                <w:sz w:val="16"/>
              </w:rPr>
              <w:t>YYYY-MM</w:t>
            </w:r>
            <w:r>
              <w:rPr>
                <w:sz w:val="17"/>
              </w:rPr>
              <w:t>: the whole month, or month to date for the current month. A month that has not started is refused (FUTURE_MONTH).</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from, to</w:t>
            </w:r>
          </w:p>
        </w:tc>
        <w:tc>
          <w:tcPr>
            <w:tcW w:type="dxa" w:w="7713"/>
            <w:tcMar>
              <w:top w:w="20" w:type="dxa"/>
              <w:left w:w="60" w:type="dxa"/>
              <w:bottom w:w="20" w:type="dxa"/>
              <w:right w:w="60" w:type="dxa"/>
            </w:tcMar>
            <w:vAlign w:val="top"/>
          </w:tcPr>
          <w:p>
            <w:pPr>
              <w:spacing w:after="10" w:before="0" w:line="240" w:lineRule="auto"/>
            </w:pPr>
            <w:r>
              <w:rPr>
                <w:sz w:val="17"/>
              </w:rPr>
              <w:t xml:space="preserve">Both </w:t>
            </w:r>
            <w:r>
              <w:rPr>
                <w:rFonts w:ascii="Consolas" w:hAnsi="Consolas" w:eastAsia="Consolas"/>
                <w:sz w:val="16"/>
              </w:rPr>
              <w:t>YYYY-MM-DD</w:t>
            </w:r>
            <w:r>
              <w:rPr>
                <w:sz w:val="17"/>
              </w:rPr>
              <w:t>; a period that starts in the future is refused; an end date in the future is cut to today.</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Previous period</w:t>
            </w:r>
          </w:p>
        </w:tc>
        <w:tc>
          <w:tcPr>
            <w:tcW w:type="dxa" w:w="7713"/>
            <w:tcMar>
              <w:top w:w="20" w:type="dxa"/>
              <w:left w:w="60" w:type="dxa"/>
              <w:bottom w:w="20" w:type="dxa"/>
              <w:right w:w="60" w:type="dxa"/>
            </w:tcMar>
            <w:vAlign w:val="top"/>
          </w:tcPr>
          <w:p>
            <w:pPr>
              <w:spacing w:after="10" w:before="0" w:line="240" w:lineRule="auto"/>
            </w:pPr>
            <w:r>
              <w:rPr>
                <w:sz w:val="17"/>
              </w:rPr>
              <w:t>The stretch before: the previous week for the same number of days; for the current month, the previous month up to the same day of the month (cut to its length), and for a past month the whole previous month; the previous quarter for the same number of elapsed days; for custom dates, the same number of days just before.</w:t>
            </w:r>
          </w:p>
        </w:tc>
      </w:tr>
      <w:tr>
        <w:trPr>
          <w:cantSplit w:val="true"/>
        </w:trPr>
        <w:tc>
          <w:tcPr>
            <w:tcW w:type="dxa" w:w="1892"/>
            <w:tcMar>
              <w:top w:w="20" w:type="dxa"/>
              <w:left w:w="60" w:type="dxa"/>
              <w:bottom w:w="20" w:type="dxa"/>
              <w:right w:w="60" w:type="dxa"/>
            </w:tcMar>
            <w:vAlign w:val="top"/>
          </w:tcPr>
          <w:p>
            <w:pPr>
              <w:spacing w:after="10" w:before="0" w:line="240" w:lineRule="auto"/>
            </w:pPr>
            <w:r>
              <w:rPr>
                <w:b/>
                <w:sz w:val="17"/>
              </w:rPr>
              <w:t>Series</w:t>
            </w:r>
          </w:p>
        </w:tc>
        <w:tc>
          <w:tcPr>
            <w:tcW w:type="dxa" w:w="7713"/>
            <w:tcMar>
              <w:top w:w="20" w:type="dxa"/>
              <w:left w:w="60" w:type="dxa"/>
              <w:bottom w:w="20" w:type="dxa"/>
              <w:right w:w="60" w:type="dxa"/>
            </w:tcMar>
            <w:vAlign w:val="top"/>
          </w:tcPr>
          <w:p>
            <w:pPr>
              <w:spacing w:after="10" w:before="0" w:line="240" w:lineRule="auto"/>
            </w:pPr>
            <w:r>
              <w:rPr>
                <w:sz w:val="17"/>
              </w:rPr>
              <w:t>The 8-month charts end with the month of the period's last day. Stock on hand now (reorder, expiring batches) is always today's.</w:t>
            </w:r>
          </w:p>
        </w:tc>
      </w:tr>
    </w:tbl>
    <w:p>
      <w:pPr>
        <w:spacing w:after="0" w:before="0"/>
        <w:rPr>
          <w:sz w:val="6"/>
        </w:rPr>
      </w:pPr>
    </w:p>
    <w:p>
      <w:pPr>
        <w:pStyle w:val="Caption"/>
      </w:pPr>
      <w:r>
        <w:t>Table 52. Dashboard figures and where each comes from (dashboardService.js, dashboardQueries.js)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473"/>
        <w:gridCol w:w="4947"/>
        <w:gridCol w:w="2182"/>
      </w:tblGrid>
      <w:tr>
        <w:trPr>
          <w:tblHeader w:val="true"/>
          <w:cantSplit w:val="true"/>
        </w:trPr>
        <w:tc>
          <w:tcPr>
            <w:tcW w:type="dxa" w:w="2474"/>
            <w:shd w:val="clear" w:color="auto" w:fill="1F3A5F"/>
            <w:tcMar>
              <w:top w:w="20" w:type="dxa"/>
              <w:left w:w="60" w:type="dxa"/>
              <w:bottom w:w="20" w:type="dxa"/>
              <w:right w:w="60" w:type="dxa"/>
            </w:tcMar>
            <w:vAlign w:val="center"/>
          </w:tcPr>
          <w:p>
            <w:pPr>
              <w:spacing w:after="10" w:before="0" w:line="240" w:lineRule="auto"/>
            </w:pPr>
            <w:r>
              <w:rPr>
                <w:b/>
                <w:color w:val="FFFFFF"/>
                <w:sz w:val="17"/>
              </w:rPr>
              <w:t>Figure or series</w:t>
            </w:r>
          </w:p>
        </w:tc>
        <w:tc>
          <w:tcPr>
            <w:tcW w:type="dxa" w:w="4948"/>
            <w:shd w:val="clear" w:color="auto" w:fill="1F3A5F"/>
            <w:tcMar>
              <w:top w:w="20" w:type="dxa"/>
              <w:left w:w="60" w:type="dxa"/>
              <w:bottom w:w="20" w:type="dxa"/>
              <w:right w:w="60" w:type="dxa"/>
            </w:tcMar>
            <w:vAlign w:val="center"/>
          </w:tcPr>
          <w:p>
            <w:pPr>
              <w:spacing w:after="10" w:before="0" w:line="240" w:lineRule="auto"/>
            </w:pPr>
            <w:r>
              <w:rPr>
                <w:b/>
                <w:color w:val="FFFFFF"/>
                <w:sz w:val="17"/>
              </w:rPr>
              <w:t>Definition</w:t>
            </w:r>
          </w:p>
        </w:tc>
        <w:tc>
          <w:tcPr>
            <w:tcW w:type="dxa" w:w="2183"/>
            <w:shd w:val="clear" w:color="auto" w:fill="1F3A5F"/>
            <w:tcMar>
              <w:top w:w="20" w:type="dxa"/>
              <w:left w:w="60" w:type="dxa"/>
              <w:bottom w:w="20" w:type="dxa"/>
              <w:right w:w="60" w:type="dxa"/>
            </w:tcMar>
            <w:vAlign w:val="center"/>
          </w:tcPr>
          <w:p>
            <w:pPr>
              <w:spacing w:after="10" w:before="0" w:line="240" w:lineRule="auto"/>
            </w:pPr>
            <w:r>
              <w:rPr>
                <w:b/>
                <w:color w:val="FFFFFF"/>
                <w:sz w:val="17"/>
              </w:rPr>
              <w:t>Source</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Sales value (revenue); gross profit, margin; net profit</w:t>
            </w:r>
          </w:p>
        </w:tc>
        <w:tc>
          <w:tcPr>
            <w:tcW w:type="dxa" w:w="4948"/>
            <w:tcMar>
              <w:top w:w="20" w:type="dxa"/>
              <w:left w:w="60" w:type="dxa"/>
              <w:bottom w:w="20" w:type="dxa"/>
              <w:right w:w="60" w:type="dxa"/>
            </w:tcMar>
            <w:vAlign w:val="top"/>
          </w:tcPr>
          <w:p>
            <w:pPr>
              <w:spacing w:after="10" w:before="0" w:line="240" w:lineRule="auto"/>
            </w:pPr>
            <w:r>
              <w:rPr>
                <w:sz w:val="17"/>
              </w:rPr>
              <w:t>As the profit and loss for the period. Change % = (now - before) / before x 100, empty if before &lt;= 0</w:t>
            </w:r>
          </w:p>
        </w:tc>
        <w:tc>
          <w:tcPr>
            <w:tcW w:type="dxa" w:w="2183"/>
            <w:tcMar>
              <w:top w:w="20" w:type="dxa"/>
              <w:left w:w="60" w:type="dxa"/>
              <w:bottom w:w="20" w:type="dxa"/>
              <w:right w:w="60" w:type="dxa"/>
            </w:tcMar>
            <w:vAlign w:val="top"/>
          </w:tcPr>
          <w:p>
            <w:pPr>
              <w:spacing w:after="10" w:before="0" w:line="240" w:lineRule="auto"/>
            </w:pPr>
            <w:r>
              <w:rPr>
                <w:sz w:val="17"/>
              </w:rPr>
              <w:t>Ledger profit and loss (section 4.2)</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Invoices; average invoice</w:t>
            </w:r>
          </w:p>
        </w:tc>
        <w:tc>
          <w:tcPr>
            <w:tcW w:type="dxa" w:w="4948"/>
            <w:tcMar>
              <w:top w:w="20" w:type="dxa"/>
              <w:left w:w="60" w:type="dxa"/>
              <w:bottom w:w="20" w:type="dxa"/>
              <w:right w:w="60" w:type="dxa"/>
            </w:tcMar>
            <w:vAlign w:val="top"/>
          </w:tcPr>
          <w:p>
            <w:pPr>
              <w:spacing w:after="10" w:before="0" w:line="240" w:lineRule="auto"/>
            </w:pPr>
            <w:r>
              <w:rPr>
                <w:sz w:val="17"/>
              </w:rPr>
              <w:t>Count of approved sales invoices with lines in the period (opening invoices excluded); average = sum of line values without VAT / count</w:t>
            </w:r>
          </w:p>
        </w:tc>
        <w:tc>
          <w:tcPr>
            <w:tcW w:type="dxa" w:w="2183"/>
            <w:tcMar>
              <w:top w:w="20" w:type="dxa"/>
              <w:left w:w="60" w:type="dxa"/>
              <w:bottom w:w="20" w:type="dxa"/>
              <w:right w:w="60" w:type="dxa"/>
            </w:tcMar>
            <w:vAlign w:val="top"/>
          </w:tcPr>
          <w:p>
            <w:pPr>
              <w:spacing w:after="10" w:before="0" w:line="240" w:lineRule="auto"/>
            </w:pPr>
            <w:r>
              <w:rPr>
                <w:sz w:val="17"/>
              </w:rPr>
              <w:t>Trade documents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Collection rate</w:t>
            </w:r>
          </w:p>
        </w:tc>
        <w:tc>
          <w:tcPr>
            <w:tcW w:type="dxa" w:w="4948"/>
            <w:tcMar>
              <w:top w:w="20" w:type="dxa"/>
              <w:left w:w="60" w:type="dxa"/>
              <w:bottom w:w="20" w:type="dxa"/>
              <w:right w:w="60" w:type="dxa"/>
            </w:tcMar>
            <w:vAlign w:val="top"/>
          </w:tcPr>
          <w:p>
            <w:pPr>
              <w:spacing w:after="10" w:before="0" w:line="240" w:lineRule="auto"/>
            </w:pPr>
            <w:r>
              <w:rPr>
                <w:sz w:val="17"/>
              </w:rPr>
              <w:t>Receipts in the period / total of the period's sales invoices (VAT included) x 100, one decimal</w:t>
            </w:r>
          </w:p>
        </w:tc>
        <w:tc>
          <w:tcPr>
            <w:tcW w:type="dxa" w:w="2183"/>
            <w:tcMar>
              <w:top w:w="20" w:type="dxa"/>
              <w:left w:w="60" w:type="dxa"/>
              <w:bottom w:w="20" w:type="dxa"/>
              <w:right w:w="60" w:type="dxa"/>
            </w:tcMar>
            <w:vAlign w:val="top"/>
          </w:tcPr>
          <w:p>
            <w:pPr>
              <w:spacing w:after="10" w:before="0" w:line="240" w:lineRule="auto"/>
            </w:pPr>
            <w:r>
              <w:rPr>
                <w:sz w:val="17"/>
              </w:rPr>
              <w:t>Receipt vouchers; trade documents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Ops status</w:t>
            </w:r>
          </w:p>
        </w:tc>
        <w:tc>
          <w:tcPr>
            <w:tcW w:type="dxa" w:w="4948"/>
            <w:tcMar>
              <w:top w:w="20" w:type="dxa"/>
              <w:left w:w="60" w:type="dxa"/>
              <w:bottom w:w="20" w:type="dxa"/>
              <w:right w:w="60" w:type="dxa"/>
            </w:tcMar>
            <w:vAlign w:val="top"/>
          </w:tcPr>
          <w:p>
            <w:pPr>
              <w:spacing w:after="10" w:before="0" w:line="240" w:lineRule="auto"/>
            </w:pPr>
            <w:r>
              <w:rPr>
                <w:sz w:val="17"/>
              </w:rPr>
              <w:t>Active orders = approved / all sales orders of the period; pending purchase orders = drafts / all purchase orders; low stock = items at or below reorder level / active items; new customers = created in the period / all</w:t>
            </w:r>
          </w:p>
        </w:tc>
        <w:tc>
          <w:tcPr>
            <w:tcW w:type="dxa" w:w="2183"/>
            <w:tcMar>
              <w:top w:w="20" w:type="dxa"/>
              <w:left w:w="60" w:type="dxa"/>
              <w:bottom w:w="20" w:type="dxa"/>
              <w:right w:w="60" w:type="dxa"/>
            </w:tcMar>
            <w:vAlign w:val="top"/>
          </w:tcPr>
          <w:p>
            <w:pPr>
              <w:spacing w:after="10" w:before="0" w:line="240" w:lineRule="auto"/>
            </w:pPr>
            <w:r>
              <w:rPr>
                <w:sz w:val="17"/>
              </w:rPr>
              <w:t>Trade documents; reorder; customer master</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8-month trend; peak</w:t>
            </w:r>
          </w:p>
        </w:tc>
        <w:tc>
          <w:tcPr>
            <w:tcW w:type="dxa" w:w="4948"/>
            <w:tcMar>
              <w:top w:w="20" w:type="dxa"/>
              <w:left w:w="60" w:type="dxa"/>
              <w:bottom w:w="20" w:type="dxa"/>
              <w:right w:w="60" w:type="dxa"/>
            </w:tcMar>
            <w:vAlign w:val="top"/>
          </w:tcPr>
          <w:p>
            <w:pPr>
              <w:spacing w:after="10" w:before="0" w:line="240" w:lineRule="auto"/>
            </w:pPr>
            <w:r>
              <w:rPr>
                <w:sz w:val="17"/>
              </w:rPr>
              <w:t>Per Dubai month: revenue, gross profit, net profit (profit and loss definitions) and purchases (approved purchase documents without VAT, net of returns); peak = month with the highest revenue</w:t>
            </w:r>
          </w:p>
        </w:tc>
        <w:tc>
          <w:tcPr>
            <w:tcW w:type="dxa" w:w="2183"/>
            <w:tcMar>
              <w:top w:w="20" w:type="dxa"/>
              <w:left w:w="60" w:type="dxa"/>
              <w:bottom w:w="20" w:type="dxa"/>
              <w:right w:w="60" w:type="dxa"/>
            </w:tcMar>
            <w:vAlign w:val="top"/>
          </w:tcPr>
          <w:p>
            <w:pPr>
              <w:spacing w:after="10" w:before="0" w:line="240" w:lineRule="auto"/>
            </w:pPr>
            <w:r>
              <w:rPr>
                <w:sz w:val="17"/>
              </w:rPr>
              <w:t>Ledger; trade documents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Top product; best sellers; SKU map; customer mix</w:t>
            </w:r>
          </w:p>
        </w:tc>
        <w:tc>
          <w:tcPr>
            <w:tcW w:type="dxa" w:w="4948"/>
            <w:tcMar>
              <w:top w:w="20" w:type="dxa"/>
              <w:left w:w="60" w:type="dxa"/>
              <w:bottom w:w="20" w:type="dxa"/>
              <w:right w:w="60" w:type="dxa"/>
            </w:tcMar>
            <w:vAlign w:val="top"/>
          </w:tcPr>
          <w:p>
            <w:pPr>
              <w:spacing w:after="10" w:before="0" w:line="240" w:lineRule="auto"/>
            </w:pPr>
            <w:r>
              <w:rPr>
                <w:sz w:val="17"/>
              </w:rPr>
              <w:t>Items or customers ranked by net revenue in the period, with the previous period and the last 7 months; the top four customers and 'Others'</w:t>
            </w:r>
          </w:p>
        </w:tc>
        <w:tc>
          <w:tcPr>
            <w:tcW w:type="dxa" w:w="2183"/>
            <w:tcMar>
              <w:top w:w="20" w:type="dxa"/>
              <w:left w:w="60" w:type="dxa"/>
              <w:bottom w:w="20" w:type="dxa"/>
              <w:right w:w="60" w:type="dxa"/>
            </w:tcMar>
            <w:vAlign w:val="top"/>
          </w:tcPr>
          <w:p>
            <w:pPr>
              <w:spacing w:after="10" w:before="0" w:line="240" w:lineRule="auto"/>
            </w:pPr>
            <w:r>
              <w:rPr>
                <w:sz w:val="17"/>
              </w:rPr>
              <w:t>Sales analysis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VAT this quarter</w:t>
            </w:r>
          </w:p>
        </w:tc>
        <w:tc>
          <w:tcPr>
            <w:tcW w:type="dxa" w:w="4948"/>
            <w:tcMar>
              <w:top w:w="20" w:type="dxa"/>
              <w:left w:w="60" w:type="dxa"/>
              <w:bottom w:w="20" w:type="dxa"/>
              <w:right w:w="60" w:type="dxa"/>
            </w:tcMar>
            <w:vAlign w:val="top"/>
          </w:tcPr>
          <w:p>
            <w:pPr>
              <w:spacing w:after="10" w:before="0" w:line="240" w:lineRule="auto"/>
            </w:pPr>
            <w:r>
              <w:rPr>
                <w:sz w:val="17"/>
              </w:rPr>
              <w:t>Output VAT, recoverable VAT and net for the calendar quarter to date ('payable', 'refundable' or 'nil'); unclassified lines; output VAT per month for 6 months</w:t>
            </w:r>
          </w:p>
        </w:tc>
        <w:tc>
          <w:tcPr>
            <w:tcW w:type="dxa" w:w="2183"/>
            <w:tcMar>
              <w:top w:w="20" w:type="dxa"/>
              <w:left w:w="60" w:type="dxa"/>
              <w:bottom w:w="20" w:type="dxa"/>
              <w:right w:w="60" w:type="dxa"/>
            </w:tcMar>
            <w:vAlign w:val="top"/>
          </w:tcPr>
          <w:p>
            <w:pPr>
              <w:spacing w:after="10" w:before="0" w:line="240" w:lineRule="auto"/>
            </w:pPr>
            <w:r>
              <w:rPr>
                <w:sz w:val="17"/>
              </w:rPr>
              <w:t xml:space="preserve">VAT return; </w:t>
            </w:r>
            <w:r>
              <w:rPr>
                <w:rFonts w:ascii="Consolas" w:hAnsi="Consolas" w:eastAsia="Consolas"/>
                <w:sz w:val="16"/>
              </w:rPr>
              <w:t>vat-sales</w:t>
            </w:r>
            <w:r>
              <w:rPr>
                <w:sz w:val="17"/>
              </w:rPr>
              <w:t xml:space="preserve"> account</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Needs attention</w:t>
            </w:r>
          </w:p>
        </w:tc>
        <w:tc>
          <w:tcPr>
            <w:tcW w:type="dxa" w:w="4948"/>
            <w:tcMar>
              <w:top w:w="20" w:type="dxa"/>
              <w:left w:w="60" w:type="dxa"/>
              <w:bottom w:w="20" w:type="dxa"/>
              <w:right w:w="60" w:type="dxa"/>
            </w:tcMar>
            <w:vAlign w:val="top"/>
          </w:tcPr>
          <w:p>
            <w:pPr>
              <w:spacing w:after="10" w:before="0" w:line="240" w:lineRule="auto"/>
            </w:pPr>
            <w:r>
              <w:rPr>
                <w:sz w:val="17"/>
              </w:rPr>
              <w:t>Counts: draft sales and purchase orders (any date), VAT lines without a treatment, stock value not agreeing with the Inventory account, customers over their limit, expired batches, batches expiring within 30 days</w:t>
            </w:r>
          </w:p>
        </w:tc>
        <w:tc>
          <w:tcPr>
            <w:tcW w:type="dxa" w:w="2183"/>
            <w:tcMar>
              <w:top w:w="20" w:type="dxa"/>
              <w:left w:w="60" w:type="dxa"/>
              <w:bottom w:w="20" w:type="dxa"/>
              <w:right w:w="60" w:type="dxa"/>
            </w:tcMar>
            <w:vAlign w:val="top"/>
          </w:tcPr>
          <w:p>
            <w:pPr>
              <w:spacing w:after="10" w:before="0" w:line="240" w:lineRule="auto"/>
            </w:pPr>
            <w:r>
              <w:rPr>
                <w:sz w:val="17"/>
              </w:rPr>
              <w:t>Trade documents; VAT return; valuation; party balances; expiry</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Recent activity</w:t>
            </w:r>
          </w:p>
        </w:tc>
        <w:tc>
          <w:tcPr>
            <w:tcW w:type="dxa" w:w="4948"/>
            <w:tcMar>
              <w:top w:w="20" w:type="dxa"/>
              <w:left w:w="60" w:type="dxa"/>
              <w:bottom w:w="20" w:type="dxa"/>
              <w:right w:w="60" w:type="dxa"/>
            </w:tcMar>
            <w:vAlign w:val="top"/>
          </w:tcPr>
          <w:p>
            <w:pPr>
              <w:spacing w:after="10" w:before="0" w:line="240" w:lineRule="auto"/>
            </w:pPr>
            <w:r>
              <w:rPr>
                <w:sz w:val="17"/>
              </w:rPr>
              <w:t>The latest 8 vouchers of the day book; a sales or purchase invoice reads 'Paid' (outstanding &lt;= 0.005), 'Part-paid' (paid above zero) or 'Unpaid'; other vouchers 'Posted'</w:t>
            </w:r>
          </w:p>
        </w:tc>
        <w:tc>
          <w:tcPr>
            <w:tcW w:type="dxa" w:w="2183"/>
            <w:tcMar>
              <w:top w:w="20" w:type="dxa"/>
              <w:left w:w="60" w:type="dxa"/>
              <w:bottom w:w="20" w:type="dxa"/>
              <w:right w:w="60" w:type="dxa"/>
            </w:tcMar>
            <w:vAlign w:val="top"/>
          </w:tcPr>
          <w:p>
            <w:pPr>
              <w:spacing w:after="10" w:before="0" w:line="240" w:lineRule="auto"/>
            </w:pPr>
            <w:r>
              <w:rPr>
                <w:sz w:val="17"/>
              </w:rPr>
              <w:t>Day book; trade documents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Weekly order pulse; documents created by hour</w:t>
            </w:r>
          </w:p>
        </w:tc>
        <w:tc>
          <w:tcPr>
            <w:tcW w:type="dxa" w:w="4948"/>
            <w:tcMar>
              <w:top w:w="20" w:type="dxa"/>
              <w:left w:w="60" w:type="dxa"/>
              <w:bottom w:w="20" w:type="dxa"/>
              <w:right w:w="60" w:type="dxa"/>
            </w:tcMar>
            <w:vAlign w:val="top"/>
          </w:tcPr>
          <w:p>
            <w:pPr>
              <w:spacing w:after="10" w:before="0" w:line="240" w:lineRule="auto"/>
            </w:pPr>
            <w:r>
              <w:rPr>
                <w:sz w:val="17"/>
              </w:rPr>
              <w:t>Invoices and returns approved per day for 7 days; documents and vouchers created per two-hour window and weekday over 28 days, Dubai time</w:t>
            </w:r>
          </w:p>
        </w:tc>
        <w:tc>
          <w:tcPr>
            <w:tcW w:type="dxa" w:w="2183"/>
            <w:tcMar>
              <w:top w:w="20" w:type="dxa"/>
              <w:left w:w="60" w:type="dxa"/>
              <w:bottom w:w="20" w:type="dxa"/>
              <w:right w:w="60" w:type="dxa"/>
            </w:tcMar>
            <w:vAlign w:val="top"/>
          </w:tcPr>
          <w:p>
            <w:pPr>
              <w:spacing w:after="10" w:before="0" w:line="240" w:lineRule="auto"/>
            </w:pPr>
            <w:r>
              <w:rPr>
                <w:sz w:val="17"/>
              </w:rPr>
              <w:t>Trade documents; creation times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Performance; category sales</w:t>
            </w:r>
          </w:p>
        </w:tc>
        <w:tc>
          <w:tcPr>
            <w:tcW w:type="dxa" w:w="4948"/>
            <w:tcMar>
              <w:top w:w="20" w:type="dxa"/>
              <w:left w:w="60" w:type="dxa"/>
              <w:bottom w:w="20" w:type="dxa"/>
              <w:right w:w="60" w:type="dxa"/>
            </w:tcMar>
            <w:vAlign w:val="top"/>
          </w:tcPr>
          <w:p>
            <w:pPr>
              <w:spacing w:after="10" w:before="0" w:line="240" w:lineRule="auto"/>
            </w:pPr>
            <w:r>
              <w:rPr>
                <w:sz w:val="17"/>
              </w:rPr>
              <w:t>Collection rate, gross margin, stock availability % (active items with stock above zero / active items); net sales by category this month against last (top 6) and the last 3 months (top 5)</w:t>
            </w:r>
          </w:p>
        </w:tc>
        <w:tc>
          <w:tcPr>
            <w:tcW w:type="dxa" w:w="2183"/>
            <w:tcMar>
              <w:top w:w="20" w:type="dxa"/>
              <w:left w:w="60" w:type="dxa"/>
              <w:bottom w:w="20" w:type="dxa"/>
              <w:right w:w="60" w:type="dxa"/>
            </w:tcMar>
            <w:vAlign w:val="top"/>
          </w:tcPr>
          <w:p>
            <w:pPr>
              <w:spacing w:after="10" w:before="0" w:line="240" w:lineRule="auto"/>
            </w:pPr>
            <w:r>
              <w:rPr>
                <w:sz w:val="17"/>
              </w:rPr>
              <w:t>As above; item master</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Cash inflow vs outflow</w:t>
            </w:r>
          </w:p>
        </w:tc>
        <w:tc>
          <w:tcPr>
            <w:tcW w:type="dxa" w:w="4948"/>
            <w:tcMar>
              <w:top w:w="20" w:type="dxa"/>
              <w:left w:w="60" w:type="dxa"/>
              <w:bottom w:w="20" w:type="dxa"/>
              <w:right w:w="60" w:type="dxa"/>
            </w:tcMar>
            <w:vAlign w:val="top"/>
          </w:tcPr>
          <w:p>
            <w:pPr>
              <w:spacing w:after="10" w:before="0" w:line="240" w:lineRule="auto"/>
            </w:pPr>
            <w:r>
              <w:rPr>
                <w:sz w:val="17"/>
              </w:rPr>
              <w:t>Per Dubai month: net inflows and net outflows of vouchers on cash and bank accounts (a transfer between them counts as neither)</w:t>
            </w:r>
          </w:p>
        </w:tc>
        <w:tc>
          <w:tcPr>
            <w:tcW w:type="dxa" w:w="2183"/>
            <w:tcMar>
              <w:top w:w="20" w:type="dxa"/>
              <w:left w:w="60" w:type="dxa"/>
              <w:bottom w:w="20" w:type="dxa"/>
              <w:right w:w="60" w:type="dxa"/>
            </w:tcMar>
            <w:vAlign w:val="top"/>
          </w:tcPr>
          <w:p>
            <w:pPr>
              <w:spacing w:after="10" w:before="0" w:line="240" w:lineRule="auto"/>
            </w:pPr>
            <w:r>
              <w:rPr>
                <w:sz w:val="17"/>
              </w:rPr>
              <w:t>Ledger (as the cash flow report)</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Open orders; this week</w:t>
            </w:r>
          </w:p>
        </w:tc>
        <w:tc>
          <w:tcPr>
            <w:tcW w:type="dxa" w:w="4948"/>
            <w:tcMar>
              <w:top w:w="20" w:type="dxa"/>
              <w:left w:w="60" w:type="dxa"/>
              <w:bottom w:w="20" w:type="dxa"/>
              <w:right w:w="60" w:type="dxa"/>
            </w:tcMar>
            <w:vAlign w:val="top"/>
          </w:tcPr>
          <w:p>
            <w:pPr>
              <w:spacing w:after="10" w:before="0" w:line="240" w:lineRule="auto"/>
            </w:pPr>
            <w:r>
              <w:rPr>
                <w:sz w:val="17"/>
              </w:rPr>
              <w:t>Draft sales and purchase orders (count, value); receipts and payments this week against the same stretch last week</w:t>
            </w:r>
          </w:p>
        </w:tc>
        <w:tc>
          <w:tcPr>
            <w:tcW w:type="dxa" w:w="2183"/>
            <w:tcMar>
              <w:top w:w="20" w:type="dxa"/>
              <w:left w:w="60" w:type="dxa"/>
              <w:bottom w:w="20" w:type="dxa"/>
              <w:right w:w="60" w:type="dxa"/>
            </w:tcMar>
            <w:vAlign w:val="top"/>
          </w:tcPr>
          <w:p>
            <w:pPr>
              <w:spacing w:after="10" w:before="0" w:line="240" w:lineRule="auto"/>
            </w:pPr>
            <w:r>
              <w:rPr>
                <w:sz w:val="17"/>
              </w:rPr>
              <w:t>Trade documents; vouchers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Order pipeline; invoice settlement</w:t>
            </w:r>
          </w:p>
        </w:tc>
        <w:tc>
          <w:tcPr>
            <w:tcW w:type="dxa" w:w="4948"/>
            <w:tcMar>
              <w:top w:w="20" w:type="dxa"/>
              <w:left w:w="60" w:type="dxa"/>
              <w:bottom w:w="20" w:type="dxa"/>
              <w:right w:w="60" w:type="dxa"/>
            </w:tcMar>
            <w:vAlign w:val="top"/>
          </w:tcPr>
          <w:p>
            <w:pPr>
              <w:spacing w:after="10" w:before="0" w:line="240" w:lineRule="auto"/>
            </w:pPr>
            <w:r>
              <w:rPr>
                <w:sz w:val="17"/>
              </w:rPr>
              <w:t>Of the period's sales orders: created, approved, with something paid, fully paid. Of its approved invoices, as they stand today: paid, part-paid, unpaid overdue, unpaid not yet due</w:t>
            </w:r>
          </w:p>
        </w:tc>
        <w:tc>
          <w:tcPr>
            <w:tcW w:type="dxa" w:w="2183"/>
            <w:tcMar>
              <w:top w:w="20" w:type="dxa"/>
              <w:left w:w="60" w:type="dxa"/>
              <w:bottom w:w="20" w:type="dxa"/>
              <w:right w:w="60" w:type="dxa"/>
            </w:tcMar>
            <w:vAlign w:val="top"/>
          </w:tcPr>
          <w:p>
            <w:pPr>
              <w:spacing w:after="10" w:before="0" w:line="240" w:lineRule="auto"/>
            </w:pPr>
            <w:r>
              <w:rPr>
                <w:sz w:val="17"/>
              </w:rPr>
              <w:t>Trade documents; ageing</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Ageing; top vendors; collections vs invoicing</w:t>
            </w:r>
          </w:p>
        </w:tc>
        <w:tc>
          <w:tcPr>
            <w:tcW w:type="dxa" w:w="4948"/>
            <w:tcMar>
              <w:top w:w="20" w:type="dxa"/>
              <w:left w:w="60" w:type="dxa"/>
              <w:bottom w:w="20" w:type="dxa"/>
              <w:right w:w="60" w:type="dxa"/>
            </w:tcMar>
            <w:vAlign w:val="top"/>
          </w:tcPr>
          <w:p>
            <w:pPr>
              <w:spacing w:after="10" w:before="0" w:line="240" w:lineRule="auto"/>
            </w:pPr>
            <w:r>
              <w:rPr>
                <w:sz w:val="17"/>
              </w:rPr>
              <w:t>Ageing buckets at the period end (section 4.10); purchases by vendor with the change on the previous period; weekly receipts against weekly invoicing for 6 weeks</w:t>
            </w:r>
          </w:p>
        </w:tc>
        <w:tc>
          <w:tcPr>
            <w:tcW w:type="dxa" w:w="2183"/>
            <w:tcMar>
              <w:top w:w="20" w:type="dxa"/>
              <w:left w:w="60" w:type="dxa"/>
              <w:bottom w:w="20" w:type="dxa"/>
              <w:right w:w="60" w:type="dxa"/>
            </w:tcMar>
            <w:vAlign w:val="top"/>
          </w:tcPr>
          <w:p>
            <w:pPr>
              <w:spacing w:after="10" w:before="0" w:line="240" w:lineRule="auto"/>
            </w:pPr>
            <w:r>
              <w:rPr>
                <w:sz w:val="17"/>
              </w:rPr>
              <w:t>Ageing; sales analysis; vouchers</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Inventory tab</w:t>
            </w:r>
          </w:p>
        </w:tc>
        <w:tc>
          <w:tcPr>
            <w:tcW w:type="dxa" w:w="4948"/>
            <w:tcMar>
              <w:top w:w="20" w:type="dxa"/>
              <w:left w:w="60" w:type="dxa"/>
              <w:bottom w:w="20" w:type="dxa"/>
              <w:right w:w="60" w:type="dxa"/>
            </w:tcMar>
            <w:vAlign w:val="top"/>
          </w:tcPr>
          <w:p>
            <w:pPr>
              <w:spacing w:after="10" w:before="0" w:line="240" w:lineRule="auto"/>
            </w:pPr>
            <w:r>
              <w:rPr>
                <w:sz w:val="17"/>
              </w:rPr>
              <w:t>Stock value by category with share %; top stock alerts and expiring batches; the Inventory account's balance at each month end</w:t>
            </w:r>
          </w:p>
        </w:tc>
        <w:tc>
          <w:tcPr>
            <w:tcW w:type="dxa" w:w="2183"/>
            <w:tcMar>
              <w:top w:w="20" w:type="dxa"/>
              <w:left w:w="60" w:type="dxa"/>
              <w:bottom w:w="20" w:type="dxa"/>
              <w:right w:w="60" w:type="dxa"/>
            </w:tcMar>
            <w:vAlign w:val="top"/>
          </w:tcPr>
          <w:p>
            <w:pPr>
              <w:spacing w:after="10" w:before="0" w:line="240" w:lineRule="auto"/>
            </w:pPr>
            <w:r>
              <w:rPr>
                <w:sz w:val="17"/>
              </w:rPr>
              <w:t>Valuation; reorder; expiry; ledger</w:t>
            </w:r>
          </w:p>
        </w:tc>
      </w:tr>
      <w:tr>
        <w:trPr>
          <w:cantSplit w:val="true"/>
        </w:trPr>
        <w:tc>
          <w:tcPr>
            <w:tcW w:type="dxa" w:w="2474"/>
            <w:tcMar>
              <w:top w:w="20" w:type="dxa"/>
              <w:left w:w="60" w:type="dxa"/>
              <w:bottom w:w="20" w:type="dxa"/>
              <w:right w:w="60" w:type="dxa"/>
            </w:tcMar>
            <w:vAlign w:val="top"/>
          </w:tcPr>
          <w:p>
            <w:pPr>
              <w:spacing w:after="10" w:before="0" w:line="240" w:lineRule="auto"/>
            </w:pPr>
            <w:r>
              <w:rPr>
                <w:sz w:val="17"/>
              </w:rPr>
              <w:t>Reports tab</w:t>
            </w:r>
          </w:p>
        </w:tc>
        <w:tc>
          <w:tcPr>
            <w:tcW w:type="dxa" w:w="4948"/>
            <w:tcMar>
              <w:top w:w="20" w:type="dxa"/>
              <w:left w:w="60" w:type="dxa"/>
              <w:bottom w:w="20" w:type="dxa"/>
              <w:right w:w="60" w:type="dxa"/>
            </w:tcMar>
            <w:vAlign w:val="top"/>
          </w:tcPr>
          <w:p>
            <w:pPr>
              <w:spacing w:after="10" w:before="0" w:line="240" w:lineRule="auto"/>
            </w:pPr>
            <w:r>
              <w:rPr>
                <w:sz w:val="17"/>
              </w:rPr>
              <w:t>Gross and net profit; VAT snapshot; monthly gross profit; day-book totals for receipts, payments, journals, contra, expenses; ageing</w:t>
            </w:r>
          </w:p>
        </w:tc>
        <w:tc>
          <w:tcPr>
            <w:tcW w:type="dxa" w:w="2183"/>
            <w:tcMar>
              <w:top w:w="20" w:type="dxa"/>
              <w:left w:w="60" w:type="dxa"/>
              <w:bottom w:w="20" w:type="dxa"/>
              <w:right w:w="60" w:type="dxa"/>
            </w:tcMar>
            <w:vAlign w:val="top"/>
          </w:tcPr>
          <w:p>
            <w:pPr>
              <w:spacing w:after="10" w:before="0" w:line="240" w:lineRule="auto"/>
            </w:pPr>
            <w:r>
              <w:rPr>
                <w:sz w:val="17"/>
              </w:rPr>
              <w:t>Profit and loss; VAT return; day book; ageing</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F2F3F5"/>
            <w:tcMar>
              <w:top w:w="70" w:type="dxa"/>
              <w:left w:w="140" w:type="dxa"/>
              <w:bottom w:w="70" w:type="dxa"/>
              <w:right w:w="120" w:type="dxa"/>
            </w:tcMar>
            <w:tcBorders>
              <w:left w:val="single" w:sz="24" w:space="0" w:color="8A93A0"/>
              <w:top w:val="single" w:sz="4" w:space="0" w:color="B8BFCA"/>
              <w:bottom w:val="single" w:sz="4" w:space="0" w:color="B8BFCA"/>
              <w:right w:val="single" w:sz="4" w:space="0" w:color="B8BFCA"/>
            </w:tcBorders>
          </w:tcPr>
          <w:p>
            <w:pPr>
              <w:spacing w:after="40" w:line="252" w:lineRule="auto"/>
            </w:pPr>
            <w:r>
              <w:rPr>
                <w:b/>
                <w:color w:val="4B5563"/>
                <w:sz w:val="20"/>
              </w:rPr>
              <w:t xml:space="preserve">Note. </w:t>
            </w:r>
            <w:r>
              <w:rPr>
                <w:sz w:val="20"/>
              </w:rPr>
              <w:t>The collection rate compares cash received in the period with invoices raised in the same period. It is not a measure of how much of the invoices raised has been collected.</w:t>
            </w:r>
          </w:p>
        </w:tc>
      </w:tr>
    </w:tbl>
    <w:p>
      <w:pPr>
        <w:spacing w:after="0" w:before="0"/>
        <w:rPr>
          <w:sz w:val="8"/>
        </w:rPr>
      </w:pPr>
    </w:p>
    <w:p>
      <w:pPr>
        <w:pStyle w:val="Heading2"/>
      </w:pPr>
      <w:r>
        <w:t>4.24 Currency register</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944"/>
        <w:gridCol w:w="7660"/>
      </w:tblGrid>
      <w:tr>
        <w:trPr>
          <w:cantSplit w:val="true"/>
        </w:trPr>
        <w:tc>
          <w:tcPr>
            <w:tcW w:type="dxa" w:w="9605"/>
            <w:gridSpan w:val="2"/>
            <w:shd w:val="clear" w:color="auto" w:fill="1F3A5F"/>
            <w:tcMar>
              <w:top w:w="20" w:type="dxa"/>
              <w:left w:w="60" w:type="dxa"/>
              <w:bottom w:w="20" w:type="dxa"/>
              <w:right w:w="60" w:type="dxa"/>
            </w:tcMar>
          </w:tcPr>
          <w:p>
            <w:pPr>
              <w:keepNext/>
              <w:spacing w:after="10" w:before="0" w:line="240" w:lineRule="auto"/>
            </w:pPr>
            <w:r>
              <w:rPr>
                <w:b/>
                <w:color w:val="FFFFFF"/>
                <w:sz w:val="20"/>
              </w:rPr>
              <w:t>Foreign-currency register</w:t>
            </w:r>
          </w:p>
        </w:tc>
      </w:tr>
      <w:tr>
        <w:tc>
          <w:tcPr>
            <w:tcW w:type="dxa" w:w="1944"/>
            <w:shd w:val="clear" w:color="auto" w:fill="E7EBF1"/>
            <w:tcMar>
              <w:top w:w="20" w:type="dxa"/>
              <w:left w:w="60" w:type="dxa"/>
              <w:bottom w:w="20" w:type="dxa"/>
              <w:right w:w="60" w:type="dxa"/>
            </w:tcMar>
          </w:tcPr>
          <w:p>
            <w:pPr>
              <w:keepNext/>
              <w:spacing w:after="10" w:before="0" w:line="240" w:lineRule="auto"/>
            </w:pPr>
            <w:r>
              <w:rPr>
                <w:b/>
                <w:color w:val="1B2433"/>
                <w:sz w:val="17"/>
              </w:rPr>
              <w:t>Question it answers</w:t>
            </w:r>
          </w:p>
        </w:tc>
        <w:tc>
          <w:tcPr>
            <w:tcW w:type="dxa" w:w="7661"/>
            <w:tcMar>
              <w:top w:w="20" w:type="dxa"/>
              <w:left w:w="60" w:type="dxa"/>
              <w:bottom w:w="20" w:type="dxa"/>
              <w:right w:w="60" w:type="dxa"/>
            </w:tcMar>
          </w:tcPr>
          <w:p>
            <w:pPr>
              <w:keepNext/>
              <w:spacing w:after="10" w:before="0" w:line="240" w:lineRule="auto"/>
            </w:pPr>
            <w:r>
              <w:rPr>
                <w:sz w:val="17"/>
              </w:rPr>
              <w:t>Which receipts and payments were made in a foreign currency, and what do they total in each currency?</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Where</w:t>
            </w:r>
          </w:p>
        </w:tc>
        <w:tc>
          <w:tcPr>
            <w:tcW w:type="dxa" w:w="7661"/>
            <w:tcMar>
              <w:top w:w="20" w:type="dxa"/>
              <w:left w:w="60" w:type="dxa"/>
              <w:bottom w:w="20" w:type="dxa"/>
              <w:right w:w="60" w:type="dxa"/>
            </w:tcMar>
          </w:tcPr>
          <w:p>
            <w:pPr>
              <w:spacing w:after="10" w:before="0" w:line="240" w:lineRule="auto"/>
            </w:pPr>
            <w:r>
              <w:rPr>
                <w:sz w:val="17"/>
              </w:rPr>
              <w:t>Screen: Currency register (</w:t>
            </w:r>
            <w:r>
              <w:rPr>
                <w:rFonts w:ascii="Consolas" w:hAnsi="Consolas" w:eastAsia="Consolas"/>
                <w:sz w:val="16"/>
              </w:rPr>
              <w:t>/currency-register</w:t>
            </w:r>
            <w:r>
              <w:rPr>
                <w:sz w:val="17"/>
              </w:rPr>
              <w:t xml:space="preserve">); the currency list and rates are on </w:t>
            </w:r>
            <w:r>
              <w:rPr>
                <w:rFonts w:ascii="Consolas" w:hAnsi="Consolas" w:eastAsia="Consolas"/>
                <w:sz w:val="16"/>
              </w:rPr>
              <w:t>/currencies</w:t>
            </w:r>
            <w:r>
              <w:rPr>
                <w:sz w:val="17"/>
              </w:rPr>
              <w:t>.</w:t>
            </w:r>
          </w:p>
          <w:p>
            <w:pPr>
              <w:spacing w:after="10" w:before="0" w:line="240" w:lineRule="auto"/>
            </w:pPr>
            <w:r>
              <w:rPr>
                <w:sz w:val="17"/>
              </w:rPr>
              <w:t xml:space="preserve">API: </w:t>
            </w:r>
            <w:r>
              <w:rPr>
                <w:rFonts w:ascii="Consolas" w:hAnsi="Consolas" w:eastAsia="Consolas"/>
                <w:sz w:val="16"/>
              </w:rPr>
              <w:t>GET /api/v1/currencies/register?from=&amp;to=&amp;currency=&amp;type=receipt|payment</w:t>
            </w:r>
            <w:r>
              <w:rPr>
                <w:sz w:val="17"/>
              </w:rPr>
              <w: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Source data</w:t>
            </w:r>
          </w:p>
        </w:tc>
        <w:tc>
          <w:tcPr>
            <w:tcW w:type="dxa" w:w="7661"/>
            <w:tcMar>
              <w:top w:w="20" w:type="dxa"/>
              <w:left w:w="60" w:type="dxa"/>
              <w:bottom w:w="20" w:type="dxa"/>
              <w:right w:w="60" w:type="dxa"/>
            </w:tcMar>
          </w:tcPr>
          <w:p>
            <w:pPr>
              <w:spacing w:after="10" w:before="0" w:line="240" w:lineRule="auto"/>
            </w:pPr>
            <w:r>
              <w:rPr>
                <w:sz w:val="17"/>
              </w:rPr>
              <w:t>Vouchers that carry a foreign amount.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Period and filters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from</w:t>
            </w:r>
            <w:r>
              <w:rPr>
                <w:sz w:val="17"/>
              </w:rPr>
              <w:t xml:space="preserve">, </w:t>
            </w:r>
            <w:r>
              <w:rPr>
                <w:rFonts w:ascii="Consolas" w:hAnsi="Consolas" w:eastAsia="Consolas"/>
                <w:sz w:val="16"/>
              </w:rPr>
              <w:t>to</w:t>
            </w:r>
            <w:r>
              <w:rPr>
                <w:sz w:val="17"/>
              </w:rPr>
              <w:t xml:space="preserve"> as Dubai days (the end day is included); </w:t>
            </w:r>
            <w:r>
              <w:rPr>
                <w:rFonts w:ascii="Consolas" w:hAnsi="Consolas" w:eastAsia="Consolas"/>
                <w:sz w:val="16"/>
              </w:rPr>
              <w:t>currency</w:t>
            </w:r>
            <w:r>
              <w:rPr>
                <w:sz w:val="17"/>
              </w:rPr>
              <w:t xml:space="preserve"> a three-letter code; </w:t>
            </w:r>
            <w:r>
              <w:rPr>
                <w:rFonts w:ascii="Consolas" w:hAnsi="Consolas" w:eastAsia="Consolas"/>
                <w:sz w:val="16"/>
              </w:rPr>
              <w:t>type</w:t>
            </w:r>
            <w:r>
              <w:rPr>
                <w:sz w:val="17"/>
              </w:rPr>
              <w:t xml:space="preserve"> receipt or payment.</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Calculation</w:t>
            </w:r>
          </w:p>
        </w:tc>
        <w:tc>
          <w:tcPr>
            <w:tcW w:type="dxa" w:w="7661"/>
            <w:tcMar>
              <w:top w:w="20" w:type="dxa"/>
              <w:left w:w="60" w:type="dxa"/>
              <w:bottom w:w="20" w:type="dxa"/>
              <w:right w:w="60" w:type="dxa"/>
            </w:tcMar>
          </w:tcPr>
          <w:p>
            <w:pPr>
              <w:tabs>
                <w:tab w:pos="202" w:val="left"/>
              </w:tabs>
              <w:spacing w:after="10" w:before="0" w:line="240" w:lineRule="auto"/>
              <w:ind w:left="202" w:hanging="202"/>
            </w:pPr>
            <w:r>
              <w:rPr>
                <w:sz w:val="17"/>
              </w:rPr>
              <w:t>•</w:t>
              <w:tab/>
              <w:t xml:space="preserve">Rows: every foreign-currency receipt and payment in the range, including cancelled and bounced ones, marked as such (at most 5,000 rows; </w:t>
            </w:r>
            <w:r>
              <w:rPr>
                <w:rFonts w:ascii="Consolas" w:hAnsi="Consolas" w:eastAsia="Consolas"/>
                <w:sz w:val="16"/>
              </w:rPr>
              <w:t>truncated</w:t>
            </w:r>
            <w:r>
              <w:rPr>
                <w:sz w:val="17"/>
              </w:rPr>
              <w:t xml:space="preserve"> says if more).</w:t>
            </w:r>
          </w:p>
          <w:p>
            <w:pPr>
              <w:tabs>
                <w:tab w:pos="202" w:val="left"/>
              </w:tabs>
              <w:spacing w:after="10" w:before="0" w:line="240" w:lineRule="auto"/>
              <w:ind w:left="202" w:hanging="202"/>
            </w:pPr>
            <w:r>
              <w:rPr>
                <w:sz w:val="17"/>
              </w:rPr>
              <w:t>•</w:t>
              <w:tab/>
              <w:t xml:space="preserve">Totals per currency and direction count </w:t>
            </w:r>
            <w:r>
              <w:rPr>
                <w:b/>
                <w:sz w:val="17"/>
              </w:rPr>
              <w:t>posted (approved) vouchers only</w:t>
            </w:r>
            <w:r>
              <w:rPr>
                <w:sz w:val="17"/>
              </w:rPr>
              <w:t xml:space="preserve">: </w:t>
            </w:r>
            <w:r>
              <w:rPr>
                <w:rFonts w:ascii="Consolas" w:hAnsi="Consolas" w:eastAsia="Consolas"/>
                <w:sz w:val="16"/>
              </w:rPr>
              <w:t>count</w:t>
            </w:r>
            <w:r>
              <w:rPr>
                <w:sz w:val="17"/>
              </w:rPr>
              <w:t xml:space="preserve">, </w:t>
            </w:r>
            <w:r>
              <w:rPr>
                <w:rFonts w:ascii="Consolas" w:hAnsi="Consolas" w:eastAsia="Consolas"/>
                <w:sz w:val="16"/>
              </w:rPr>
              <w:t>foreign</w:t>
            </w:r>
            <w:r>
              <w:rPr>
                <w:sz w:val="17"/>
              </w:rPr>
              <w:t xml:space="preserve"> = sum of foreign amounts, </w:t>
            </w:r>
            <w:r>
              <w:rPr>
                <w:rFonts w:ascii="Consolas" w:hAnsi="Consolas" w:eastAsia="Consolas"/>
                <w:sz w:val="16"/>
              </w:rPr>
              <w:t>aed</w:t>
            </w:r>
            <w:r>
              <w:rPr>
                <w:sz w:val="17"/>
              </w:rPr>
              <w:t xml:space="preserve"> = sum of AED totals, </w:t>
            </w:r>
            <w:r>
              <w:rPr>
                <w:rFonts w:ascii="Consolas" w:hAnsi="Consolas" w:eastAsia="Consolas"/>
                <w:sz w:val="16"/>
              </w:rPr>
              <w:t>averageRate</w:t>
            </w:r>
            <w:r>
              <w:rPr>
                <w:sz w:val="17"/>
              </w:rPr>
              <w:t xml:space="preserve"> = aed / foreign, to six decimals.</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Included and excluded</w:t>
            </w:r>
          </w:p>
        </w:tc>
        <w:tc>
          <w:tcPr>
            <w:tcW w:type="dxa" w:w="7661"/>
            <w:tcMar>
              <w:top w:w="20" w:type="dxa"/>
              <w:left w:w="60" w:type="dxa"/>
              <w:bottom w:w="20" w:type="dxa"/>
              <w:right w:w="60" w:type="dxa"/>
            </w:tcMar>
          </w:tcPr>
          <w:p>
            <w:pPr>
              <w:spacing w:after="10" w:before="0" w:line="240" w:lineRule="auto"/>
            </w:pPr>
            <w:r>
              <w:rPr>
                <w:sz w:val="17"/>
              </w:rPr>
              <w:t>AED vouchers are not listed.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Controls and reconciliations</w:t>
            </w:r>
          </w:p>
        </w:tc>
        <w:tc>
          <w:tcPr>
            <w:tcW w:type="dxa" w:w="7661"/>
            <w:tcMar>
              <w:top w:w="20" w:type="dxa"/>
              <w:left w:w="60" w:type="dxa"/>
              <w:bottom w:w="20" w:type="dxa"/>
              <w:right w:w="60" w:type="dxa"/>
            </w:tcMar>
          </w:tcPr>
          <w:p>
            <w:pPr>
              <w:spacing w:after="10" w:before="0" w:line="240" w:lineRule="auto"/>
            </w:pPr>
            <w:r>
              <w:rPr>
                <w:rFonts w:ascii="Consolas" w:hAnsi="Consolas" w:eastAsia="Consolas"/>
                <w:sz w:val="16"/>
              </w:rPr>
              <w:t>aed</w:t>
            </w:r>
            <w:r>
              <w:rPr>
                <w:sz w:val="17"/>
              </w:rPr>
              <w:t xml:space="preserve"> equals the sum of the AED totals of the same vouchers (test: currencies.test.js recomputes the totals by hand).</w:t>
            </w:r>
          </w:p>
        </w:tc>
      </w:tr>
      <w:tr>
        <w:tc>
          <w:tcPr>
            <w:tcW w:type="dxa" w:w="1944"/>
            <w:shd w:val="clear" w:color="auto" w:fill="E7EBF1"/>
            <w:tcMar>
              <w:top w:w="20" w:type="dxa"/>
              <w:left w:w="60" w:type="dxa"/>
              <w:bottom w:w="20" w:type="dxa"/>
              <w:right w:w="60" w:type="dxa"/>
            </w:tcMar>
          </w:tcPr>
          <w:p>
            <w:pPr>
              <w:spacing w:after="10" w:before="0" w:line="240" w:lineRule="auto"/>
            </w:pPr>
            <w:r>
              <w:rPr>
                <w:b/>
                <w:color w:val="1B2433"/>
                <w:sz w:val="17"/>
              </w:rPr>
              <w:t>Output columns and exports</w:t>
            </w:r>
          </w:p>
        </w:tc>
        <w:tc>
          <w:tcPr>
            <w:tcW w:type="dxa" w:w="7661"/>
            <w:tcMar>
              <w:top w:w="20" w:type="dxa"/>
              <w:left w:w="60" w:type="dxa"/>
              <w:bottom w:w="20" w:type="dxa"/>
              <w:right w:w="60" w:type="dxa"/>
            </w:tcMar>
          </w:tcPr>
          <w:p>
            <w:pPr>
              <w:spacing w:after="10" w:before="0" w:line="240" w:lineRule="auto"/>
            </w:pPr>
            <w:r>
              <w:rPr>
                <w:sz w:val="17"/>
              </w:rPr>
              <w:t>API: rows[{voucherNo, voucherType, date, party, currency, foreignAmount, exchangeRate, totalAmount, rateDate, rateSource, rateOverridden, paymentMode, status}], truncated, totals. Screen with filters.</w:t>
            </w:r>
          </w:p>
        </w:tc>
      </w:tr>
    </w:tbl>
    <w:p>
      <w:pPr>
        <w:spacing w:after="0" w:before="0"/>
        <w:rPr>
          <w:sz w:val="8"/>
        </w:rPr>
      </w:pPr>
    </w:p>
    <w:p>
      <w:pPr>
        <w:pStyle w:val="Heading1"/>
      </w:pPr>
      <w:r>
        <w:t>5 Controls and reconciliations</w:t>
      </w:r>
    </w:p>
    <w:p>
      <w:r>
        <w:t>The reports read three different sources (section 1.5). The controls below are the checks that tie them together. Each row says what must agree with what, where the check is shown, and what a difference usually means. A difference is information: the reports show it instead of hiding it.</w:t>
      </w:r>
    </w:p>
    <w:p>
      <w:pPr>
        <w:pStyle w:val="Heading2"/>
      </w:pPr>
      <w:r>
        <w:t>5.1 What must agree with what</w:t>
      </w:r>
    </w:p>
    <w:p>
      <w:pPr>
        <w:pStyle w:val="Caption"/>
      </w:pPr>
      <w:r>
        <w:t>Table 53. Controls and reconciliations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63"/>
        <w:gridCol w:w="3565"/>
        <w:gridCol w:w="2619"/>
        <w:gridCol w:w="3056"/>
      </w:tblGrid>
      <w:tr>
        <w:trPr>
          <w:tblHeader w:val="true"/>
          <w:cantSplit w:val="true"/>
        </w:trPr>
        <w:tc>
          <w:tcPr>
            <w:tcW w:type="dxa" w:w="364"/>
            <w:shd w:val="clear" w:color="auto" w:fill="1F3A5F"/>
            <w:tcMar>
              <w:top w:w="20" w:type="dxa"/>
              <w:left w:w="60" w:type="dxa"/>
              <w:bottom w:w="20" w:type="dxa"/>
              <w:right w:w="60" w:type="dxa"/>
            </w:tcMar>
            <w:vAlign w:val="center"/>
          </w:tcPr>
          <w:p>
            <w:pPr>
              <w:spacing w:after="10" w:before="0" w:line="240" w:lineRule="auto"/>
            </w:pPr>
            <w:r>
              <w:rPr>
                <w:b/>
                <w:color w:val="FFFFFF"/>
                <w:sz w:val="17"/>
              </w:rPr>
              <w:t>#</w:t>
            </w:r>
          </w:p>
        </w:tc>
        <w:tc>
          <w:tcPr>
            <w:tcW w:type="dxa" w:w="3565"/>
            <w:shd w:val="clear" w:color="auto" w:fill="1F3A5F"/>
            <w:tcMar>
              <w:top w:w="20" w:type="dxa"/>
              <w:left w:w="60" w:type="dxa"/>
              <w:bottom w:w="20" w:type="dxa"/>
              <w:right w:w="60" w:type="dxa"/>
            </w:tcMar>
            <w:vAlign w:val="center"/>
          </w:tcPr>
          <w:p>
            <w:pPr>
              <w:spacing w:after="10" w:before="0" w:line="240" w:lineRule="auto"/>
            </w:pPr>
            <w:r>
              <w:rPr>
                <w:b/>
                <w:color w:val="FFFFFF"/>
                <w:sz w:val="17"/>
              </w:rPr>
              <w:t>Check: what must equal what</w:t>
            </w:r>
          </w:p>
        </w:tc>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Where it is shown</w:t>
            </w:r>
          </w:p>
        </w:tc>
        <w:tc>
          <w:tcPr>
            <w:tcW w:type="dxa" w:w="3056"/>
            <w:shd w:val="clear" w:color="auto" w:fill="1F3A5F"/>
            <w:tcMar>
              <w:top w:w="20" w:type="dxa"/>
              <w:left w:w="60" w:type="dxa"/>
              <w:bottom w:w="20" w:type="dxa"/>
              <w:right w:w="60" w:type="dxa"/>
            </w:tcMar>
            <w:vAlign w:val="center"/>
          </w:tcPr>
          <w:p>
            <w:pPr>
              <w:spacing w:after="10" w:before="0" w:line="240" w:lineRule="auto"/>
            </w:pPr>
            <w:r>
              <w:rPr>
                <w:b/>
                <w:color w:val="FFFFFF"/>
                <w:sz w:val="17"/>
              </w:rPr>
              <w:t>If they differ, usually</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w:t>
            </w:r>
          </w:p>
        </w:tc>
        <w:tc>
          <w:tcPr>
            <w:tcW w:type="dxa" w:w="3565"/>
            <w:tcMar>
              <w:top w:w="20" w:type="dxa"/>
              <w:left w:w="60" w:type="dxa"/>
              <w:bottom w:w="20" w:type="dxa"/>
              <w:right w:w="60" w:type="dxa"/>
            </w:tcMar>
            <w:vAlign w:val="top"/>
          </w:tcPr>
          <w:p>
            <w:pPr>
              <w:spacing w:after="10" w:before="0" w:line="240" w:lineRule="auto"/>
            </w:pPr>
            <w:r>
              <w:rPr>
                <w:b/>
                <w:sz w:val="17"/>
              </w:rPr>
              <w:t>Trial balance balances</w:t>
            </w:r>
            <w:r>
              <w:rPr>
                <w:sz w:val="17"/>
              </w:rPr>
              <w:t>: Sum of closing debits = Sum of closing credits</w:t>
            </w:r>
          </w:p>
        </w:tc>
        <w:tc>
          <w:tcPr>
            <w:tcW w:type="dxa" w:w="2619"/>
            <w:tcMar>
              <w:top w:w="20" w:type="dxa"/>
              <w:left w:w="60" w:type="dxa"/>
              <w:bottom w:w="20" w:type="dxa"/>
              <w:right w:w="60" w:type="dxa"/>
            </w:tcMar>
            <w:vAlign w:val="top"/>
          </w:tcPr>
          <w:p>
            <w:pPr>
              <w:spacing w:after="10" w:before="0" w:line="240" w:lineRule="auto"/>
            </w:pPr>
            <w:r>
              <w:rPr>
                <w:sz w:val="17"/>
              </w:rPr>
              <w:t>Trial balance: 'In balance' flag; general ledger totals</w:t>
            </w:r>
          </w:p>
        </w:tc>
        <w:tc>
          <w:tcPr>
            <w:tcW w:type="dxa" w:w="3056"/>
            <w:tcMar>
              <w:top w:w="20" w:type="dxa"/>
              <w:left w:w="60" w:type="dxa"/>
              <w:bottom w:w="20" w:type="dxa"/>
              <w:right w:w="60" w:type="dxa"/>
            </w:tcMar>
            <w:vAlign w:val="top"/>
          </w:tcPr>
          <w:p>
            <w:pPr>
              <w:spacing w:after="10" w:before="0" w:line="240" w:lineRule="auto"/>
            </w:pPr>
            <w:r>
              <w:rPr>
                <w:sz w:val="17"/>
              </w:rPr>
              <w:t>An entry made outside the posting code (a direct insert or import). Every posting is refused if it does not balance, so a difference is not a rounding matter.</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2</w:t>
            </w:r>
          </w:p>
        </w:tc>
        <w:tc>
          <w:tcPr>
            <w:tcW w:type="dxa" w:w="3565"/>
            <w:tcMar>
              <w:top w:w="20" w:type="dxa"/>
              <w:left w:w="60" w:type="dxa"/>
              <w:bottom w:w="20" w:type="dxa"/>
              <w:right w:w="60" w:type="dxa"/>
            </w:tcMar>
            <w:vAlign w:val="top"/>
          </w:tcPr>
          <w:p>
            <w:pPr>
              <w:spacing w:after="10" w:before="0" w:line="240" w:lineRule="auto"/>
            </w:pPr>
            <w:r>
              <w:rPr>
                <w:b/>
                <w:sz w:val="17"/>
              </w:rPr>
              <w:t>Each voucher balances</w:t>
            </w:r>
            <w:r>
              <w:rPr>
                <w:sz w:val="17"/>
              </w:rPr>
              <w:t>: Debits of the voucher = Credits of the voucher</w:t>
            </w:r>
          </w:p>
        </w:tc>
        <w:tc>
          <w:tcPr>
            <w:tcW w:type="dxa" w:w="2619"/>
            <w:tcMar>
              <w:top w:w="20" w:type="dxa"/>
              <w:left w:w="60" w:type="dxa"/>
              <w:bottom w:w="20" w:type="dxa"/>
              <w:right w:w="60" w:type="dxa"/>
            </w:tcMar>
            <w:vAlign w:val="top"/>
          </w:tcPr>
          <w:p>
            <w:pPr>
              <w:spacing w:after="10" w:before="0" w:line="240" w:lineRule="auto"/>
            </w:pPr>
            <w:r>
              <w:rPr>
                <w:sz w:val="17"/>
              </w:rPr>
              <w:t>Day book: 'balanced' on every row; voucher impact</w:t>
            </w:r>
          </w:p>
        </w:tc>
        <w:tc>
          <w:tcPr>
            <w:tcW w:type="dxa" w:w="3056"/>
            <w:tcMar>
              <w:top w:w="20" w:type="dxa"/>
              <w:left w:w="60" w:type="dxa"/>
              <w:bottom w:w="20" w:type="dxa"/>
              <w:right w:w="60" w:type="dxa"/>
            </w:tcMar>
            <w:vAlign w:val="top"/>
          </w:tcPr>
          <w:p>
            <w:pPr>
              <w:spacing w:after="10" w:before="0" w:line="240" w:lineRule="auto"/>
            </w:pPr>
            <w:r>
              <w:rPr>
                <w:sz w:val="17"/>
              </w:rPr>
              <w:t>A voucher with an entry added or removed afterwards by hand.</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3</w:t>
            </w:r>
          </w:p>
        </w:tc>
        <w:tc>
          <w:tcPr>
            <w:tcW w:type="dxa" w:w="3565"/>
            <w:tcMar>
              <w:top w:w="20" w:type="dxa"/>
              <w:left w:w="60" w:type="dxa"/>
              <w:bottom w:w="20" w:type="dxa"/>
              <w:right w:w="60" w:type="dxa"/>
            </w:tcMar>
            <w:vAlign w:val="top"/>
          </w:tcPr>
          <w:p>
            <w:pPr>
              <w:spacing w:after="10" w:before="0" w:line="240" w:lineRule="auto"/>
            </w:pPr>
            <w:r>
              <w:rPr>
                <w:b/>
                <w:sz w:val="17"/>
              </w:rPr>
              <w:t>Balance sheet balances</w:t>
            </w:r>
            <w:r>
              <w:rPr>
                <w:sz w:val="17"/>
              </w:rPr>
              <w:t>: Total assets = Liabilities + equity (including profit to date)</w:t>
            </w:r>
          </w:p>
        </w:tc>
        <w:tc>
          <w:tcPr>
            <w:tcW w:type="dxa" w:w="2619"/>
            <w:tcMar>
              <w:top w:w="20" w:type="dxa"/>
              <w:left w:w="60" w:type="dxa"/>
              <w:bottom w:w="20" w:type="dxa"/>
              <w:right w:w="60" w:type="dxa"/>
            </w:tcMar>
            <w:vAlign w:val="top"/>
          </w:tcPr>
          <w:p>
            <w:pPr>
              <w:spacing w:after="10" w:before="0" w:line="240" w:lineRule="auto"/>
            </w:pPr>
            <w:r>
              <w:rPr>
                <w:sz w:val="17"/>
              </w:rPr>
              <w:t>Balance sheet: isBalanced; IFRS position: isBalanced and difference</w:t>
            </w:r>
          </w:p>
        </w:tc>
        <w:tc>
          <w:tcPr>
            <w:tcW w:type="dxa" w:w="3056"/>
            <w:tcMar>
              <w:top w:w="20" w:type="dxa"/>
              <w:left w:w="60" w:type="dxa"/>
              <w:bottom w:w="20" w:type="dxa"/>
              <w:right w:w="60" w:type="dxa"/>
            </w:tcMar>
            <w:vAlign w:val="top"/>
          </w:tcPr>
          <w:p>
            <w:pPr>
              <w:spacing w:after="10" w:before="0" w:line="240" w:lineRule="auto"/>
            </w:pPr>
            <w:r>
              <w:rPr>
                <w:sz w:val="17"/>
              </w:rPr>
              <w:t>As check 1: the sheet balances whenever the trial balance does.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4</w:t>
            </w:r>
          </w:p>
        </w:tc>
        <w:tc>
          <w:tcPr>
            <w:tcW w:type="dxa" w:w="3565"/>
            <w:tcMar>
              <w:top w:w="20" w:type="dxa"/>
              <w:left w:w="60" w:type="dxa"/>
              <w:bottom w:w="20" w:type="dxa"/>
              <w:right w:w="60" w:type="dxa"/>
            </w:tcMar>
            <w:vAlign w:val="top"/>
          </w:tcPr>
          <w:p>
            <w:pPr>
              <w:spacing w:after="10" w:before="0" w:line="240" w:lineRule="auto"/>
            </w:pPr>
            <w:r>
              <w:rPr>
                <w:b/>
                <w:sz w:val="17"/>
              </w:rPr>
              <w:t>Stock value = Inventory account</w:t>
            </w:r>
            <w:r>
              <w:rPr>
                <w:sz w:val="17"/>
              </w:rPr>
              <w:t xml:space="preserve">: Value of live stock movements, all items = Balance of the account behind </w:t>
            </w:r>
            <w:r>
              <w:rPr>
                <w:rFonts w:ascii="Consolas" w:hAnsi="Consolas" w:eastAsia="Consolas"/>
                <w:sz w:val="16"/>
              </w:rPr>
              <w:t>inventory-asset</w:t>
            </w:r>
          </w:p>
        </w:tc>
        <w:tc>
          <w:tcPr>
            <w:tcW w:type="dxa" w:w="2619"/>
            <w:tcMar>
              <w:top w:w="20" w:type="dxa"/>
              <w:left w:w="60" w:type="dxa"/>
              <w:bottom w:w="20" w:type="dxa"/>
              <w:right w:w="60" w:type="dxa"/>
            </w:tcMar>
            <w:vAlign w:val="top"/>
          </w:tcPr>
          <w:p>
            <w:pPr>
              <w:spacing w:after="10" w:before="0" w:line="240" w:lineRule="auto"/>
            </w:pPr>
            <w:r>
              <w:rPr>
                <w:sz w:val="17"/>
              </w:rPr>
              <w:t>Stock reports &gt; Valuation and Movement: reconciliation, split by source</w:t>
            </w:r>
          </w:p>
        </w:tc>
        <w:tc>
          <w:tcPr>
            <w:tcW w:type="dxa" w:w="3056"/>
            <w:tcMar>
              <w:top w:w="20" w:type="dxa"/>
              <w:left w:w="60" w:type="dxa"/>
              <w:bottom w:w="20" w:type="dxa"/>
              <w:right w:w="60" w:type="dxa"/>
            </w:tcMar>
            <w:vAlign w:val="top"/>
          </w:tcPr>
          <w:p>
            <w:pPr>
              <w:spacing w:after="10" w:before="0" w:line="240" w:lineRule="auto"/>
            </w:pPr>
            <w:r>
              <w:rPr>
                <w:sz w:val="17"/>
              </w:rPr>
              <w:t>The quantity typed when an item is created, or a manual adjustment made while posting was off (not posted); an item created with stock (implicit opening); a journal posted to Inventory; posting switched off for a period.</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5</w:t>
            </w:r>
          </w:p>
        </w:tc>
        <w:tc>
          <w:tcPr>
            <w:tcW w:type="dxa" w:w="3565"/>
            <w:tcMar>
              <w:top w:w="20" w:type="dxa"/>
              <w:left w:w="60" w:type="dxa"/>
              <w:bottom w:w="20" w:type="dxa"/>
              <w:right w:w="60" w:type="dxa"/>
            </w:tcMar>
            <w:vAlign w:val="top"/>
          </w:tcPr>
          <w:p>
            <w:pPr>
              <w:spacing w:after="10" w:before="0" w:line="240" w:lineRule="auto"/>
            </w:pPr>
            <w:r>
              <w:rPr>
                <w:b/>
                <w:sz w:val="17"/>
              </w:rPr>
              <w:t>Item quantity = movements</w:t>
            </w:r>
            <w:r>
              <w:rPr>
                <w:sz w:val="17"/>
              </w:rPr>
              <w:t>: Quantity on the item master = Sum of live movements</w:t>
            </w:r>
          </w:p>
        </w:tc>
        <w:tc>
          <w:tcPr>
            <w:tcW w:type="dxa" w:w="2619"/>
            <w:tcMar>
              <w:top w:w="20" w:type="dxa"/>
              <w:left w:w="60" w:type="dxa"/>
              <w:bottom w:w="20" w:type="dxa"/>
              <w:right w:w="60" w:type="dxa"/>
            </w:tcMar>
            <w:vAlign w:val="top"/>
          </w:tcPr>
          <w:p>
            <w:pPr>
              <w:spacing w:after="10" w:before="0" w:line="240" w:lineRule="auto"/>
            </w:pPr>
            <w:r>
              <w:rPr>
                <w:sz w:val="17"/>
              </w:rPr>
              <w:t>Valuation: 'out of sync' flag (today only)</w:t>
            </w:r>
          </w:p>
        </w:tc>
        <w:tc>
          <w:tcPr>
            <w:tcW w:type="dxa" w:w="3056"/>
            <w:tcMar>
              <w:top w:w="20" w:type="dxa"/>
              <w:left w:w="60" w:type="dxa"/>
              <w:bottom w:w="20" w:type="dxa"/>
              <w:right w:w="60" w:type="dxa"/>
            </w:tcMar>
            <w:vAlign w:val="top"/>
          </w:tcPr>
          <w:p>
            <w:pPr>
              <w:spacing w:after="10" w:before="0" w:line="240" w:lineRule="auto"/>
            </w:pPr>
            <w:r>
              <w:rPr>
                <w:sz w:val="17"/>
              </w:rPr>
              <w:t>Quantity changed without a movement, or history missing.</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6</w:t>
            </w:r>
          </w:p>
        </w:tc>
        <w:tc>
          <w:tcPr>
            <w:tcW w:type="dxa" w:w="3565"/>
            <w:tcMar>
              <w:top w:w="20" w:type="dxa"/>
              <w:left w:w="60" w:type="dxa"/>
              <w:bottom w:w="20" w:type="dxa"/>
              <w:right w:w="60" w:type="dxa"/>
            </w:tcMar>
            <w:vAlign w:val="top"/>
          </w:tcPr>
          <w:p>
            <w:pPr>
              <w:spacing w:after="10" w:before="0" w:line="240" w:lineRule="auto"/>
            </w:pPr>
            <w:r>
              <w:rPr>
                <w:b/>
                <w:sz w:val="17"/>
              </w:rPr>
              <w:t>VAT boxes = VAT accounts</w:t>
            </w:r>
            <w:r>
              <w:rPr>
                <w:sz w:val="17"/>
              </w:rPr>
              <w:t xml:space="preserve">: Output VAT and input VAT per documents (reverse charge excluded) = </w:t>
            </w:r>
            <w:r>
              <w:rPr>
                <w:rFonts w:ascii="Consolas" w:hAnsi="Consolas" w:eastAsia="Consolas"/>
                <w:sz w:val="16"/>
              </w:rPr>
              <w:t>vat-sales</w:t>
            </w:r>
            <w:r>
              <w:rPr>
                <w:sz w:val="17"/>
              </w:rPr>
              <w:t xml:space="preserve"> credit - debit and </w:t>
            </w:r>
            <w:r>
              <w:rPr>
                <w:rFonts w:ascii="Consolas" w:hAnsi="Consolas" w:eastAsia="Consolas"/>
                <w:sz w:val="16"/>
              </w:rPr>
              <w:t>vat-purchase</w:t>
            </w:r>
            <w:r>
              <w:rPr>
                <w:sz w:val="17"/>
              </w:rPr>
              <w:t xml:space="preserve"> debit - credit in the period</w:t>
            </w:r>
          </w:p>
        </w:tc>
        <w:tc>
          <w:tcPr>
            <w:tcW w:type="dxa" w:w="2619"/>
            <w:tcMar>
              <w:top w:w="20" w:type="dxa"/>
              <w:left w:w="60" w:type="dxa"/>
              <w:bottom w:w="20" w:type="dxa"/>
              <w:right w:w="60" w:type="dxa"/>
            </w:tcMar>
            <w:vAlign w:val="top"/>
          </w:tcPr>
          <w:p>
            <w:pPr>
              <w:spacing w:after="10" w:before="0" w:line="240" w:lineRule="auto"/>
            </w:pPr>
            <w:r>
              <w:rPr>
                <w:sz w:val="17"/>
              </w:rPr>
              <w:t>VAT return: reconciliation rows</w:t>
            </w:r>
          </w:p>
        </w:tc>
        <w:tc>
          <w:tcPr>
            <w:tcW w:type="dxa" w:w="3056"/>
            <w:tcMar>
              <w:top w:w="20" w:type="dxa"/>
              <w:left w:w="60" w:type="dxa"/>
              <w:bottom w:w="20" w:type="dxa"/>
              <w:right w:w="60" w:type="dxa"/>
            </w:tcMar>
            <w:vAlign w:val="top"/>
          </w:tcPr>
          <w:p>
            <w:pPr>
              <w:spacing w:after="10" w:before="0" w:line="240" w:lineRule="auto"/>
            </w:pPr>
            <w:r>
              <w:rPr>
                <w:sz w:val="17"/>
              </w:rPr>
              <w:t>Posting off for part of the period; a journal to a VAT account; a document edited after a return was saved; reverse-charge VAT (reported, not posted).</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7</w:t>
            </w:r>
          </w:p>
        </w:tc>
        <w:tc>
          <w:tcPr>
            <w:tcW w:type="dxa" w:w="3565"/>
            <w:tcMar>
              <w:top w:w="20" w:type="dxa"/>
              <w:left w:w="60" w:type="dxa"/>
              <w:bottom w:w="20" w:type="dxa"/>
              <w:right w:w="60" w:type="dxa"/>
            </w:tcMar>
            <w:vAlign w:val="top"/>
          </w:tcPr>
          <w:p>
            <w:pPr>
              <w:spacing w:after="10" w:before="0" w:line="240" w:lineRule="auto"/>
            </w:pPr>
            <w:r>
              <w:rPr>
                <w:b/>
                <w:sz w:val="17"/>
              </w:rPr>
              <w:t>Cash flow closing = cash and bank ledger</w:t>
            </w:r>
            <w:r>
              <w:rPr>
                <w:sz w:val="17"/>
              </w:rPr>
              <w:t>: Opening + inflows - outflows = Sum of (debit - credit) on active cash and bank accounts up to the end</w:t>
            </w:r>
          </w:p>
        </w:tc>
        <w:tc>
          <w:tcPr>
            <w:tcW w:type="dxa" w:w="2619"/>
            <w:tcMar>
              <w:top w:w="20" w:type="dxa"/>
              <w:left w:w="60" w:type="dxa"/>
              <w:bottom w:w="20" w:type="dxa"/>
              <w:right w:w="60" w:type="dxa"/>
            </w:tcMar>
            <w:vAlign w:val="top"/>
          </w:tcPr>
          <w:p>
            <w:pPr>
              <w:spacing w:after="10" w:before="0" w:line="240" w:lineRule="auto"/>
            </w:pPr>
            <w:r>
              <w:rPr>
                <w:sz w:val="17"/>
              </w:rPr>
              <w:t>Cash flow: 'reconciles'; cash and bank book totals</w:t>
            </w:r>
          </w:p>
        </w:tc>
        <w:tc>
          <w:tcPr>
            <w:tcW w:type="dxa" w:w="3056"/>
            <w:tcMar>
              <w:top w:w="20" w:type="dxa"/>
              <w:left w:w="60" w:type="dxa"/>
              <w:bottom w:w="20" w:type="dxa"/>
              <w:right w:w="60" w:type="dxa"/>
            </w:tcMar>
            <w:vAlign w:val="top"/>
          </w:tcPr>
          <w:p>
            <w:pPr>
              <w:spacing w:after="10" w:before="0" w:line="240" w:lineRule="auto"/>
            </w:pPr>
            <w:r>
              <w:rPr>
                <w:sz w:val="17"/>
              </w:rPr>
              <w:t>Arithmetic only in normal use. An inactive cash or bank account is outside both sides.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8</w:t>
            </w:r>
          </w:p>
        </w:tc>
        <w:tc>
          <w:tcPr>
            <w:tcW w:type="dxa" w:w="3565"/>
            <w:tcMar>
              <w:top w:w="20" w:type="dxa"/>
              <w:left w:w="60" w:type="dxa"/>
              <w:bottom w:w="20" w:type="dxa"/>
              <w:right w:w="60" w:type="dxa"/>
            </w:tcMar>
            <w:vAlign w:val="top"/>
          </w:tcPr>
          <w:p>
            <w:pPr>
              <w:spacing w:after="10" w:before="0" w:line="240" w:lineRule="auto"/>
            </w:pPr>
            <w:r>
              <w:rPr>
                <w:b/>
                <w:sz w:val="17"/>
              </w:rPr>
              <w:t>IFRS cash flow closes at the ledger</w:t>
            </w:r>
            <w:r>
              <w:rPr>
                <w:sz w:val="17"/>
              </w:rPr>
              <w:t>: Opening cash + net increase = Cash and bank per ledger</w:t>
            </w:r>
          </w:p>
        </w:tc>
        <w:tc>
          <w:tcPr>
            <w:tcW w:type="dxa" w:w="2619"/>
            <w:tcMar>
              <w:top w:w="20" w:type="dxa"/>
              <w:left w:w="60" w:type="dxa"/>
              <w:bottom w:w="20" w:type="dxa"/>
              <w:right w:w="60" w:type="dxa"/>
            </w:tcMar>
            <w:vAlign w:val="top"/>
          </w:tcPr>
          <w:p>
            <w:pPr>
              <w:spacing w:after="10" w:before="0" w:line="240" w:lineRule="auto"/>
            </w:pPr>
            <w:r>
              <w:rPr>
                <w:sz w:val="17"/>
              </w:rPr>
              <w:t>IFRS cash flows: reconciles and difference, for both columns</w:t>
            </w:r>
          </w:p>
        </w:tc>
        <w:tc>
          <w:tcPr>
            <w:tcW w:type="dxa" w:w="3056"/>
            <w:tcMar>
              <w:top w:w="20" w:type="dxa"/>
              <w:left w:w="60" w:type="dxa"/>
              <w:bottom w:w="20" w:type="dxa"/>
              <w:right w:w="60" w:type="dxa"/>
            </w:tcMar>
            <w:vAlign w:val="top"/>
          </w:tcPr>
          <w:p>
            <w:pPr>
              <w:spacing w:after="10" w:before="0" w:line="240" w:lineRule="auto"/>
            </w:pPr>
            <w:r>
              <w:rPr>
                <w:sz w:val="17"/>
              </w:rPr>
              <w:t>A one-sided entry; cash in an account that has been switched off is shown as 'Other' and still reconciles.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9</w:t>
            </w:r>
          </w:p>
        </w:tc>
        <w:tc>
          <w:tcPr>
            <w:tcW w:type="dxa" w:w="3565"/>
            <w:tcMar>
              <w:top w:w="20" w:type="dxa"/>
              <w:left w:w="60" w:type="dxa"/>
              <w:bottom w:w="20" w:type="dxa"/>
              <w:right w:w="60" w:type="dxa"/>
            </w:tcMar>
            <w:vAlign w:val="top"/>
          </w:tcPr>
          <w:p>
            <w:pPr>
              <w:spacing w:after="10" w:before="0" w:line="240" w:lineRule="auto"/>
            </w:pPr>
            <w:r>
              <w:rPr>
                <w:b/>
                <w:sz w:val="17"/>
              </w:rPr>
              <w:t>Party sub-ledger = control accounts</w:t>
            </w:r>
            <w:r>
              <w:rPr>
                <w:sz w:val="17"/>
              </w:rPr>
              <w:t>: Customers' net and vendors' net (party balances) = Group totals of Accounts Receivable and Accounts Payable</w:t>
            </w:r>
          </w:p>
        </w:tc>
        <w:tc>
          <w:tcPr>
            <w:tcW w:type="dxa" w:w="2619"/>
            <w:tcMar>
              <w:top w:w="20" w:type="dxa"/>
              <w:left w:w="60" w:type="dxa"/>
              <w:bottom w:w="20" w:type="dxa"/>
              <w:right w:w="60" w:type="dxa"/>
            </w:tcMar>
            <w:vAlign w:val="top"/>
          </w:tcPr>
          <w:p>
            <w:pPr>
              <w:spacing w:after="10" w:before="0" w:line="240" w:lineRule="auto"/>
            </w:pPr>
            <w:r>
              <w:rPr>
                <w:sz w:val="17"/>
              </w:rPr>
              <w:t>Party balances; chart of accounts; trial balance (section 5.2)</w:t>
            </w:r>
          </w:p>
        </w:tc>
        <w:tc>
          <w:tcPr>
            <w:tcW w:type="dxa" w:w="3056"/>
            <w:tcMar>
              <w:top w:w="20" w:type="dxa"/>
              <w:left w:w="60" w:type="dxa"/>
              <w:bottom w:w="20" w:type="dxa"/>
              <w:right w:w="60" w:type="dxa"/>
            </w:tcMar>
            <w:vAlign w:val="top"/>
          </w:tcPr>
          <w:p>
            <w:pPr>
              <w:spacing w:after="10" w:before="0" w:line="240" w:lineRule="auto"/>
            </w:pPr>
            <w:r>
              <w:rPr>
                <w:sz w:val="17"/>
              </w:rPr>
              <w:t>Advances are filed with the opposite group; a hand journal to a party account; a party account renamed or merged by hand.</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10</w:t>
            </w:r>
          </w:p>
        </w:tc>
        <w:tc>
          <w:tcPr>
            <w:tcW w:type="dxa" w:w="3565"/>
            <w:tcMar>
              <w:top w:w="20" w:type="dxa"/>
              <w:left w:w="60" w:type="dxa"/>
              <w:bottom w:w="20" w:type="dxa"/>
              <w:right w:w="60" w:type="dxa"/>
            </w:tcMar>
            <w:vAlign w:val="top"/>
          </w:tcPr>
          <w:p>
            <w:pPr>
              <w:spacing w:after="10" w:before="0" w:line="240" w:lineRule="auto"/>
            </w:pPr>
            <w:r>
              <w:rPr>
                <w:b/>
                <w:sz w:val="17"/>
              </w:rPr>
              <w:t>Ageing = party balance</w:t>
            </w:r>
            <w:r>
              <w:rPr>
                <w:sz w:val="17"/>
              </w:rPr>
              <w:t>: Ageing total (open invoices) = Party balance (ledger)</w:t>
            </w:r>
          </w:p>
        </w:tc>
        <w:tc>
          <w:tcPr>
            <w:tcW w:type="dxa" w:w="2619"/>
            <w:tcMar>
              <w:top w:w="20" w:type="dxa"/>
              <w:left w:w="60" w:type="dxa"/>
              <w:bottom w:w="20" w:type="dxa"/>
              <w:right w:w="60" w:type="dxa"/>
            </w:tcMar>
            <w:vAlign w:val="top"/>
          </w:tcPr>
          <w:p>
            <w:pPr>
              <w:spacing w:after="10" w:before="0" w:line="240" w:lineRule="auto"/>
            </w:pPr>
            <w:r>
              <w:rPr>
                <w:sz w:val="17"/>
              </w:rPr>
              <w:t>IFRS notes: 'not set against invoices'</w:t>
            </w:r>
          </w:p>
        </w:tc>
        <w:tc>
          <w:tcPr>
            <w:tcW w:type="dxa" w:w="3056"/>
            <w:tcMar>
              <w:top w:w="20" w:type="dxa"/>
              <w:left w:w="60" w:type="dxa"/>
              <w:bottom w:w="20" w:type="dxa"/>
              <w:right w:w="60" w:type="dxa"/>
            </w:tcMar>
            <w:vAlign w:val="top"/>
          </w:tcPr>
          <w:p>
            <w:pPr>
              <w:spacing w:after="10" w:before="0" w:line="240" w:lineRule="auto"/>
            </w:pPr>
            <w:r>
              <w:rPr>
                <w:sz w:val="17"/>
              </w:rPr>
              <w:t>Receipts and payments kept on account, returns, notes without an invoice reference. The difference is these amounts.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11</w:t>
            </w:r>
          </w:p>
        </w:tc>
        <w:tc>
          <w:tcPr>
            <w:tcW w:type="dxa" w:w="3565"/>
            <w:tcMar>
              <w:top w:w="20" w:type="dxa"/>
              <w:left w:w="60" w:type="dxa"/>
              <w:bottom w:w="20" w:type="dxa"/>
              <w:right w:w="60" w:type="dxa"/>
            </w:tcMar>
            <w:vAlign w:val="top"/>
          </w:tcPr>
          <w:p>
            <w:pPr>
              <w:spacing w:after="10" w:before="0" w:line="240" w:lineRule="auto"/>
            </w:pPr>
            <w:r>
              <w:rPr>
                <w:b/>
                <w:sz w:val="17"/>
              </w:rPr>
              <w:t>Statement closing = party account</w:t>
            </w:r>
            <w:r>
              <w:rPr>
                <w:sz w:val="17"/>
              </w:rPr>
              <w:t>: Statement closing = Party account balance in the trial balance</w:t>
            </w:r>
          </w:p>
        </w:tc>
        <w:tc>
          <w:tcPr>
            <w:tcW w:type="dxa" w:w="2619"/>
            <w:tcMar>
              <w:top w:w="20" w:type="dxa"/>
              <w:left w:w="60" w:type="dxa"/>
              <w:bottom w:w="20" w:type="dxa"/>
              <w:right w:w="60" w:type="dxa"/>
            </w:tcMar>
            <w:vAlign w:val="top"/>
          </w:tcPr>
          <w:p>
            <w:pPr>
              <w:spacing w:after="10" w:before="0" w:line="240" w:lineRule="auto"/>
            </w:pPr>
            <w:r>
              <w:rPr>
                <w:sz w:val="17"/>
              </w:rPr>
              <w:t>Statement of account</w:t>
            </w:r>
          </w:p>
        </w:tc>
        <w:tc>
          <w:tcPr>
            <w:tcW w:type="dxa" w:w="3056"/>
            <w:tcMar>
              <w:top w:w="20" w:type="dxa"/>
              <w:left w:w="60" w:type="dxa"/>
              <w:bottom w:w="20" w:type="dxa"/>
              <w:right w:w="60" w:type="dxa"/>
            </w:tcMar>
            <w:vAlign w:val="top"/>
          </w:tcPr>
          <w:p>
            <w:pPr>
              <w:spacing w:after="10" w:before="0" w:line="240" w:lineRule="auto"/>
            </w:pPr>
            <w:r>
              <w:rPr>
                <w:sz w:val="17"/>
              </w:rPr>
              <w:t>A vendor's advance account is not read by the vendor statement; with posting off the statement is built from documents.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12</w:t>
            </w:r>
          </w:p>
        </w:tc>
        <w:tc>
          <w:tcPr>
            <w:tcW w:type="dxa" w:w="3565"/>
            <w:tcMar>
              <w:top w:w="20" w:type="dxa"/>
              <w:left w:w="60" w:type="dxa"/>
              <w:bottom w:w="20" w:type="dxa"/>
              <w:right w:w="60" w:type="dxa"/>
            </w:tcMar>
            <w:vAlign w:val="top"/>
          </w:tcPr>
          <w:p>
            <w:pPr>
              <w:spacing w:after="10" w:before="0" w:line="240" w:lineRule="auto"/>
            </w:pPr>
            <w:r>
              <w:rPr>
                <w:b/>
                <w:sz w:val="17"/>
              </w:rPr>
              <w:t>Profit and loss = trial balance</w:t>
            </w:r>
            <w:r>
              <w:rPr>
                <w:sz w:val="17"/>
              </w:rPr>
              <w:t>: Net profit of the period = Income - expenses of the trial balance for the same days</w:t>
            </w:r>
          </w:p>
        </w:tc>
        <w:tc>
          <w:tcPr>
            <w:tcW w:type="dxa" w:w="2619"/>
            <w:tcMar>
              <w:top w:w="20" w:type="dxa"/>
              <w:left w:w="60" w:type="dxa"/>
              <w:bottom w:w="20" w:type="dxa"/>
              <w:right w:w="60" w:type="dxa"/>
            </w:tcMar>
            <w:vAlign w:val="top"/>
          </w:tcPr>
          <w:p>
            <w:pPr>
              <w:spacing w:after="10" w:before="0" w:line="240" w:lineRule="auto"/>
            </w:pPr>
            <w:r>
              <w:rPr>
                <w:sz w:val="17"/>
              </w:rPr>
              <w:t>Profit and loss; trial balance</w:t>
            </w:r>
          </w:p>
        </w:tc>
        <w:tc>
          <w:tcPr>
            <w:tcW w:type="dxa" w:w="3056"/>
            <w:tcMar>
              <w:top w:w="20" w:type="dxa"/>
              <w:left w:w="60" w:type="dxa"/>
              <w:bottom w:w="20" w:type="dxa"/>
              <w:right w:w="60" w:type="dxa"/>
            </w:tcMar>
            <w:vAlign w:val="top"/>
          </w:tcPr>
          <w:p>
            <w:pPr>
              <w:spacing w:after="10" w:before="0" w:line="240" w:lineRule="auto"/>
            </w:pPr>
            <w:r>
              <w:rPr>
                <w:sz w:val="17"/>
              </w:rPr>
              <w:t>Different date handling at the edges of the period (section 7).</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13</w:t>
            </w:r>
          </w:p>
        </w:tc>
        <w:tc>
          <w:tcPr>
            <w:tcW w:type="dxa" w:w="3565"/>
            <w:tcMar>
              <w:top w:w="20" w:type="dxa"/>
              <w:left w:w="60" w:type="dxa"/>
              <w:bottom w:w="20" w:type="dxa"/>
              <w:right w:w="60" w:type="dxa"/>
            </w:tcMar>
            <w:vAlign w:val="top"/>
          </w:tcPr>
          <w:p>
            <w:pPr>
              <w:spacing w:after="10" w:before="0" w:line="240" w:lineRule="auto"/>
            </w:pPr>
            <w:r>
              <w:rPr>
                <w:b/>
                <w:sz w:val="17"/>
              </w:rPr>
              <w:t>Balance sheet profit = P&amp;L profit</w:t>
            </w:r>
            <w:r>
              <w:rPr>
                <w:sz w:val="17"/>
              </w:rPr>
              <w:t>: Profit to date = Sum of net profit of all periods from the first entry</w:t>
            </w:r>
          </w:p>
        </w:tc>
        <w:tc>
          <w:tcPr>
            <w:tcW w:type="dxa" w:w="2619"/>
            <w:tcMar>
              <w:top w:w="20" w:type="dxa"/>
              <w:left w:w="60" w:type="dxa"/>
              <w:bottom w:w="20" w:type="dxa"/>
              <w:right w:w="60" w:type="dxa"/>
            </w:tcMar>
            <w:vAlign w:val="top"/>
          </w:tcPr>
          <w:p>
            <w:pPr>
              <w:spacing w:after="10" w:before="0" w:line="240" w:lineRule="auto"/>
            </w:pPr>
            <w:r>
              <w:rPr>
                <w:sz w:val="17"/>
              </w:rPr>
              <w:t>Balance sheet</w:t>
            </w:r>
          </w:p>
        </w:tc>
        <w:tc>
          <w:tcPr>
            <w:tcW w:type="dxa" w:w="3056"/>
            <w:tcMar>
              <w:top w:w="20" w:type="dxa"/>
              <w:left w:w="60" w:type="dxa"/>
              <w:bottom w:w="20" w:type="dxa"/>
              <w:right w:w="60" w:type="dxa"/>
            </w:tcMar>
            <w:vAlign w:val="top"/>
          </w:tcPr>
          <w:p>
            <w:pPr>
              <w:spacing w:after="10" w:before="0" w:line="240" w:lineRule="auto"/>
            </w:pPr>
            <w:r>
              <w:rPr>
                <w:sz w:val="17"/>
              </w:rPr>
              <w:t>None expected: the balance sheet adds the profit of every period from the first entry.</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14</w:t>
            </w:r>
          </w:p>
        </w:tc>
        <w:tc>
          <w:tcPr>
            <w:tcW w:type="dxa" w:w="3565"/>
            <w:tcMar>
              <w:top w:w="20" w:type="dxa"/>
              <w:left w:w="60" w:type="dxa"/>
              <w:bottom w:w="20" w:type="dxa"/>
              <w:right w:w="60" w:type="dxa"/>
            </w:tcMar>
            <w:vAlign w:val="top"/>
          </w:tcPr>
          <w:p>
            <w:pPr>
              <w:spacing w:after="10" w:before="0" w:line="240" w:lineRule="auto"/>
            </w:pPr>
            <w:r>
              <w:rPr>
                <w:b/>
                <w:sz w:val="17"/>
              </w:rPr>
              <w:t>IFRS profit = ledger profit</w:t>
            </w:r>
            <w:r>
              <w:rPr>
                <w:sz w:val="17"/>
              </w:rPr>
              <w:t>: Profit for the period (IFRS) = Net profit (profit and loss)</w:t>
            </w:r>
          </w:p>
        </w:tc>
        <w:tc>
          <w:tcPr>
            <w:tcW w:type="dxa" w:w="2619"/>
            <w:tcMar>
              <w:top w:w="20" w:type="dxa"/>
              <w:left w:w="60" w:type="dxa"/>
              <w:bottom w:w="20" w:type="dxa"/>
              <w:right w:w="60" w:type="dxa"/>
            </w:tcMar>
            <w:vAlign w:val="top"/>
          </w:tcPr>
          <w:p>
            <w:pPr>
              <w:spacing w:after="10" w:before="0" w:line="240" w:lineRule="auto"/>
            </w:pPr>
            <w:r>
              <w:rPr>
                <w:sz w:val="17"/>
              </w:rPr>
              <w:t>IFRS profit or loss</w:t>
            </w:r>
          </w:p>
        </w:tc>
        <w:tc>
          <w:tcPr>
            <w:tcW w:type="dxa" w:w="3056"/>
            <w:tcMar>
              <w:top w:w="20" w:type="dxa"/>
              <w:left w:w="60" w:type="dxa"/>
              <w:bottom w:w="20" w:type="dxa"/>
              <w:right w:w="60" w:type="dxa"/>
            </w:tcMar>
            <w:vAlign w:val="top"/>
          </w:tcPr>
          <w:p>
            <w:pPr>
              <w:spacing w:after="10" w:before="0" w:line="240" w:lineRule="auto"/>
            </w:pPr>
            <w:r>
              <w:rPr>
                <w:sz w:val="17"/>
              </w:rPr>
              <w:t>None expected: the IFRS statement is built from the profit and loss.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15</w:t>
            </w:r>
          </w:p>
        </w:tc>
        <w:tc>
          <w:tcPr>
            <w:tcW w:type="dxa" w:w="3565"/>
            <w:tcMar>
              <w:top w:w="20" w:type="dxa"/>
              <w:left w:w="60" w:type="dxa"/>
              <w:bottom w:w="20" w:type="dxa"/>
              <w:right w:w="60" w:type="dxa"/>
            </w:tcMar>
            <w:vAlign w:val="top"/>
          </w:tcPr>
          <w:p>
            <w:pPr>
              <w:spacing w:after="10" w:before="0" w:line="240" w:lineRule="auto"/>
            </w:pPr>
            <w:r>
              <w:rPr>
                <w:b/>
                <w:sz w:val="17"/>
              </w:rPr>
              <w:t>Equity statement = position</w:t>
            </w:r>
            <w:r>
              <w:rPr>
                <w:sz w:val="17"/>
              </w:rPr>
              <w:t>: Closing total equity of the changes statement = Equity of the statement of financial position</w:t>
            </w:r>
          </w:p>
        </w:tc>
        <w:tc>
          <w:tcPr>
            <w:tcW w:type="dxa" w:w="2619"/>
            <w:tcMar>
              <w:top w:w="20" w:type="dxa"/>
              <w:left w:w="60" w:type="dxa"/>
              <w:bottom w:w="20" w:type="dxa"/>
              <w:right w:w="60" w:type="dxa"/>
            </w:tcMar>
            <w:vAlign w:val="top"/>
          </w:tcPr>
          <w:p>
            <w:pPr>
              <w:spacing w:after="10" w:before="0" w:line="240" w:lineRule="auto"/>
            </w:pPr>
            <w:r>
              <w:rPr>
                <w:sz w:val="17"/>
              </w:rPr>
              <w:t>IFRS changes in equity: reconciles</w:t>
            </w:r>
          </w:p>
        </w:tc>
        <w:tc>
          <w:tcPr>
            <w:tcW w:type="dxa" w:w="3056"/>
            <w:tcMar>
              <w:top w:w="20" w:type="dxa"/>
              <w:left w:w="60" w:type="dxa"/>
              <w:bottom w:w="20" w:type="dxa"/>
              <w:right w:w="60" w:type="dxa"/>
            </w:tcMar>
            <w:vAlign w:val="top"/>
          </w:tcPr>
          <w:p>
            <w:pPr>
              <w:spacing w:after="10" w:before="0" w:line="240" w:lineRule="auto"/>
            </w:pPr>
            <w:r>
              <w:rPr>
                <w:sz w:val="17"/>
              </w:rPr>
              <w:t>A one-sided entry.</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16</w:t>
            </w:r>
          </w:p>
        </w:tc>
        <w:tc>
          <w:tcPr>
            <w:tcW w:type="dxa" w:w="3565"/>
            <w:tcMar>
              <w:top w:w="20" w:type="dxa"/>
              <w:left w:w="60" w:type="dxa"/>
              <w:bottom w:w="20" w:type="dxa"/>
              <w:right w:w="60" w:type="dxa"/>
            </w:tcMar>
            <w:vAlign w:val="top"/>
          </w:tcPr>
          <w:p>
            <w:pPr>
              <w:spacing w:after="10" w:before="0" w:line="240" w:lineRule="auto"/>
            </w:pPr>
            <w:r>
              <w:rPr>
                <w:b/>
                <w:sz w:val="17"/>
              </w:rPr>
              <w:t>Sales analysis cost = cost posted</w:t>
            </w:r>
            <w:r>
              <w:rPr>
                <w:sz w:val="17"/>
              </w:rPr>
              <w:t>: Cost of goods in the sales analysis = Cost-of-goods account movement from sales and sales returns</w:t>
            </w:r>
          </w:p>
        </w:tc>
        <w:tc>
          <w:tcPr>
            <w:tcW w:type="dxa" w:w="2619"/>
            <w:tcMar>
              <w:top w:w="20" w:type="dxa"/>
              <w:left w:w="60" w:type="dxa"/>
              <w:bottom w:w="20" w:type="dxa"/>
              <w:right w:w="60" w:type="dxa"/>
            </w:tcMar>
            <w:vAlign w:val="top"/>
          </w:tcPr>
          <w:p>
            <w:pPr>
              <w:spacing w:after="10" w:before="0" w:line="240" w:lineRule="auto"/>
            </w:pPr>
            <w:r>
              <w:rPr>
                <w:sz w:val="17"/>
              </w:rPr>
              <w:t>Compare the two reports</w:t>
            </w:r>
          </w:p>
        </w:tc>
        <w:tc>
          <w:tcPr>
            <w:tcW w:type="dxa" w:w="3056"/>
            <w:tcMar>
              <w:top w:w="20" w:type="dxa"/>
              <w:left w:w="60" w:type="dxa"/>
              <w:bottom w:w="20" w:type="dxa"/>
              <w:right w:w="60" w:type="dxa"/>
            </w:tcMar>
            <w:vAlign w:val="top"/>
          </w:tcPr>
          <w:p>
            <w:pPr>
              <w:spacing w:after="10" w:before="0" w:line="240" w:lineRule="auto"/>
            </w:pPr>
            <w:r>
              <w:rPr>
                <w:sz w:val="17"/>
              </w:rPr>
              <w:t>Cost of goods written off or adjusted by a journal; a re-cost not yet run.</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17</w:t>
            </w:r>
          </w:p>
        </w:tc>
        <w:tc>
          <w:tcPr>
            <w:tcW w:type="dxa" w:w="3565"/>
            <w:tcMar>
              <w:top w:w="20" w:type="dxa"/>
              <w:left w:w="60" w:type="dxa"/>
              <w:bottom w:w="20" w:type="dxa"/>
              <w:right w:w="60" w:type="dxa"/>
            </w:tcMar>
            <w:vAlign w:val="top"/>
          </w:tcPr>
          <w:p>
            <w:pPr>
              <w:spacing w:after="10" w:before="0" w:line="240" w:lineRule="auto"/>
            </w:pPr>
            <w:r>
              <w:rPr>
                <w:b/>
                <w:sz w:val="17"/>
              </w:rPr>
              <w:t>Opening trial balance</w:t>
            </w:r>
            <w:r>
              <w:rPr>
                <w:sz w:val="17"/>
              </w:rPr>
              <w:t>: Debits of all opening entries = Credits of all opening entries</w:t>
            </w:r>
          </w:p>
        </w:tc>
        <w:tc>
          <w:tcPr>
            <w:tcW w:type="dxa" w:w="2619"/>
            <w:tcMar>
              <w:top w:w="20" w:type="dxa"/>
              <w:left w:w="60" w:type="dxa"/>
              <w:bottom w:w="20" w:type="dxa"/>
              <w:right w:w="60" w:type="dxa"/>
            </w:tcMar>
            <w:vAlign w:val="top"/>
          </w:tcPr>
          <w:p>
            <w:pPr>
              <w:spacing w:after="10" w:before="0" w:line="240" w:lineRule="auto"/>
            </w:pPr>
            <w:r>
              <w:rPr>
                <w:sz w:val="17"/>
              </w:rPr>
              <w:t>Opening balances: summary 'balanced'; Opening Balance Equity shows the difference</w:t>
            </w:r>
          </w:p>
        </w:tc>
        <w:tc>
          <w:tcPr>
            <w:tcW w:type="dxa" w:w="3056"/>
            <w:tcMar>
              <w:top w:w="20" w:type="dxa"/>
              <w:left w:w="60" w:type="dxa"/>
              <w:bottom w:w="20" w:type="dxa"/>
              <w:right w:w="60" w:type="dxa"/>
            </w:tcMar>
            <w:vAlign w:val="top"/>
          </w:tcPr>
          <w:p>
            <w:pPr>
              <w:spacing w:after="10" w:before="0" w:line="240" w:lineRule="auto"/>
            </w:pPr>
            <w:r>
              <w:rPr>
                <w:sz w:val="17"/>
              </w:rPr>
              <w:t>None expected: the difference is posted to Opening Balance Equity by construction.</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18</w:t>
            </w:r>
          </w:p>
        </w:tc>
        <w:tc>
          <w:tcPr>
            <w:tcW w:type="dxa" w:w="3565"/>
            <w:tcMar>
              <w:top w:w="20" w:type="dxa"/>
              <w:left w:w="60" w:type="dxa"/>
              <w:bottom w:w="20" w:type="dxa"/>
              <w:right w:w="60" w:type="dxa"/>
            </w:tcMar>
            <w:vAlign w:val="top"/>
          </w:tcPr>
          <w:p>
            <w:pPr>
              <w:spacing w:after="10" w:before="0" w:line="240" w:lineRule="auto"/>
            </w:pPr>
            <w:r>
              <w:rPr>
                <w:b/>
                <w:sz w:val="17"/>
              </w:rPr>
              <w:t>Currency register = vouchers</w:t>
            </w:r>
            <w:r>
              <w:rPr>
                <w:sz w:val="17"/>
              </w:rPr>
              <w:t>: AED total in the register = AED totals of the same posted vouchers</w:t>
            </w:r>
          </w:p>
        </w:tc>
        <w:tc>
          <w:tcPr>
            <w:tcW w:type="dxa" w:w="2619"/>
            <w:tcMar>
              <w:top w:w="20" w:type="dxa"/>
              <w:left w:w="60" w:type="dxa"/>
              <w:bottom w:w="20" w:type="dxa"/>
              <w:right w:w="60" w:type="dxa"/>
            </w:tcMar>
            <w:vAlign w:val="top"/>
          </w:tcPr>
          <w:p>
            <w:pPr>
              <w:spacing w:after="10" w:before="0" w:line="240" w:lineRule="auto"/>
            </w:pPr>
            <w:r>
              <w:rPr>
                <w:sz w:val="17"/>
              </w:rPr>
              <w:t>Currency register</w:t>
            </w:r>
          </w:p>
        </w:tc>
        <w:tc>
          <w:tcPr>
            <w:tcW w:type="dxa" w:w="3056"/>
            <w:tcMar>
              <w:top w:w="20" w:type="dxa"/>
              <w:left w:w="60" w:type="dxa"/>
              <w:bottom w:w="20" w:type="dxa"/>
              <w:right w:w="60" w:type="dxa"/>
            </w:tcMar>
            <w:vAlign w:val="top"/>
          </w:tcPr>
          <w:p>
            <w:pPr>
              <w:spacing w:after="10" w:before="0" w:line="240" w:lineRule="auto"/>
            </w:pPr>
            <w:r>
              <w:rPr>
                <w:sz w:val="17"/>
              </w:rPr>
              <w:t>Cancelled and bounced vouchers are listed but not totalled.</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19</w:t>
            </w:r>
          </w:p>
        </w:tc>
        <w:tc>
          <w:tcPr>
            <w:tcW w:type="dxa" w:w="3565"/>
            <w:tcMar>
              <w:top w:w="20" w:type="dxa"/>
              <w:left w:w="60" w:type="dxa"/>
              <w:bottom w:w="20" w:type="dxa"/>
              <w:right w:w="60" w:type="dxa"/>
            </w:tcMar>
            <w:vAlign w:val="top"/>
          </w:tcPr>
          <w:p>
            <w:pPr>
              <w:spacing w:after="10" w:before="0" w:line="240" w:lineRule="auto"/>
            </w:pPr>
            <w:r>
              <w:rPr>
                <w:b/>
                <w:sz w:val="17"/>
              </w:rPr>
              <w:t>Dashboard = reports</w:t>
            </w:r>
            <w:r>
              <w:rPr>
                <w:sz w:val="17"/>
              </w:rPr>
              <w:t>: A dashboard figure = The report it links to</w:t>
            </w:r>
          </w:p>
        </w:tc>
        <w:tc>
          <w:tcPr>
            <w:tcW w:type="dxa" w:w="2619"/>
            <w:tcMar>
              <w:top w:w="20" w:type="dxa"/>
              <w:left w:w="60" w:type="dxa"/>
              <w:bottom w:w="20" w:type="dxa"/>
              <w:right w:w="60" w:type="dxa"/>
            </w:tcMar>
            <w:vAlign w:val="top"/>
          </w:tcPr>
          <w:p>
            <w:pPr>
              <w:spacing w:after="10" w:before="0" w:line="240" w:lineRule="auto"/>
            </w:pPr>
            <w:r>
              <w:rPr>
                <w:sz w:val="17"/>
              </w:rPr>
              <w:t>Dashboard cards link to the report</w:t>
            </w:r>
          </w:p>
        </w:tc>
        <w:tc>
          <w:tcPr>
            <w:tcW w:type="dxa" w:w="3056"/>
            <w:tcMar>
              <w:top w:w="20" w:type="dxa"/>
              <w:left w:w="60" w:type="dxa"/>
              <w:bottom w:w="20" w:type="dxa"/>
              <w:right w:w="60" w:type="dxa"/>
            </w:tcMar>
            <w:vAlign w:val="top"/>
          </w:tcPr>
          <w:p>
            <w:pPr>
              <w:spacing w:after="10" w:before="0" w:line="240" w:lineRule="auto"/>
            </w:pPr>
            <w:r>
              <w:rPr>
                <w:sz w:val="17"/>
              </w:rPr>
              <w:t>None expected; the tests compare the monthly series with the reports.</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20</w:t>
            </w:r>
          </w:p>
        </w:tc>
        <w:tc>
          <w:tcPr>
            <w:tcW w:type="dxa" w:w="3565"/>
            <w:tcMar>
              <w:top w:w="20" w:type="dxa"/>
              <w:left w:w="60" w:type="dxa"/>
              <w:bottom w:w="20" w:type="dxa"/>
              <w:right w:w="60" w:type="dxa"/>
            </w:tcMar>
            <w:vAlign w:val="top"/>
          </w:tcPr>
          <w:p>
            <w:pPr>
              <w:spacing w:after="10" w:before="0" w:line="240" w:lineRule="auto"/>
            </w:pPr>
            <w:r>
              <w:rPr>
                <w:b/>
                <w:sz w:val="17"/>
              </w:rPr>
              <w:t>Numbers are unique</w:t>
            </w:r>
            <w:r>
              <w:rPr>
                <w:sz w:val="17"/>
              </w:rPr>
              <w:t>: Voucher and document numbers = Number series counters</w:t>
            </w:r>
          </w:p>
        </w:tc>
        <w:tc>
          <w:tcPr>
            <w:tcW w:type="dxa" w:w="2619"/>
            <w:tcMar>
              <w:top w:w="20" w:type="dxa"/>
              <w:left w:w="60" w:type="dxa"/>
              <w:bottom w:w="20" w:type="dxa"/>
              <w:right w:w="60" w:type="dxa"/>
            </w:tcMar>
            <w:vAlign w:val="top"/>
          </w:tcPr>
          <w:p>
            <w:pPr>
              <w:spacing w:after="10" w:before="0" w:line="240" w:lineRule="auto"/>
            </w:pPr>
            <w:r>
              <w:rPr>
                <w:sz w:val="17"/>
              </w:rPr>
              <w:t>Number series list</w:t>
            </w:r>
          </w:p>
        </w:tc>
        <w:tc>
          <w:tcPr>
            <w:tcW w:type="dxa" w:w="3056"/>
            <w:tcMar>
              <w:top w:w="20" w:type="dxa"/>
              <w:left w:w="60" w:type="dxa"/>
              <w:bottom w:w="20" w:type="dxa"/>
              <w:right w:w="60" w:type="dxa"/>
            </w:tcMar>
            <w:vAlign w:val="top"/>
          </w:tcPr>
          <w:p>
            <w:pPr>
              <w:spacing w:after="10" w:before="0" w:line="240" w:lineRule="auto"/>
            </w:pPr>
            <w:r>
              <w:rPr>
                <w:sz w:val="17"/>
              </w:rPr>
              <w:t>Gaps are possible (a rolled-back save); duplicates are not.</w:t>
            </w:r>
          </w:p>
        </w:tc>
      </w:tr>
    </w:tbl>
    <w:p>
      <w:pPr>
        <w:spacing w:after="0" w:before="0"/>
        <w:rPr>
          <w:sz w:val="6"/>
        </w:rPr>
      </w:pPr>
    </w:p>
    <w:p>
      <w:pPr>
        <w:pStyle w:val="Heading2"/>
      </w:pPr>
      <w:r>
        <w:t>5.2 Party sub-ledger against the control accounts</w:t>
      </w:r>
    </w:p>
    <w:p>
      <w:r>
        <w:t xml:space="preserve">There is no single 'control account' per party kind in the ledger. The Accounts Receivable group holds the customers' accounts </w:t>
      </w:r>
      <w:r>
        <w:rPr>
          <w:b/>
        </w:rPr>
        <w:t>and</w:t>
      </w:r>
      <w:r>
        <w:t xml:space="preserve"> the vendors' advance accounts; the Accounts Payable group holds the vendors' accounts </w:t>
      </w:r>
      <w:r>
        <w:rPr>
          <w:b/>
        </w:rPr>
        <w:t>and</w:t>
      </w:r>
      <w:r>
        <w:t xml:space="preserve"> the customers' advance accounts (section 2.4). The party-balances report nets each party's main and advance accounts. The relationship is therefore:</w:t>
      </w:r>
    </w:p>
    <w:p>
      <w:pPr>
        <w:pStyle w:val="Caption"/>
      </w:pPr>
      <w:r>
        <w:t>Table 54. Party balances against the group totals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347"/>
        <w:gridCol w:w="6257"/>
      </w:tblGrid>
      <w:tr>
        <w:trPr>
          <w:tblHeader w:val="true"/>
          <w:cantSplit w:val="true"/>
        </w:trPr>
        <w:tc>
          <w:tcPr>
            <w:tcW w:type="dxa" w:w="3347"/>
            <w:shd w:val="clear" w:color="auto" w:fill="1F3A5F"/>
            <w:tcMar>
              <w:top w:w="20" w:type="dxa"/>
              <w:left w:w="60" w:type="dxa"/>
              <w:bottom w:w="20" w:type="dxa"/>
              <w:right w:w="60" w:type="dxa"/>
            </w:tcMar>
            <w:vAlign w:val="center"/>
          </w:tcPr>
          <w:p>
            <w:pPr>
              <w:spacing w:after="10" w:before="0" w:line="240" w:lineRule="auto"/>
            </w:pPr>
            <w:r>
              <w:rPr>
                <w:b/>
                <w:color w:val="FFFFFF"/>
                <w:sz w:val="17"/>
              </w:rPr>
              <w:t>Measure</w:t>
            </w:r>
          </w:p>
        </w:tc>
        <w:tc>
          <w:tcPr>
            <w:tcW w:type="dxa" w:w="6258"/>
            <w:shd w:val="clear" w:color="auto" w:fill="1F3A5F"/>
            <w:tcMar>
              <w:top w:w="20" w:type="dxa"/>
              <w:left w:w="60" w:type="dxa"/>
              <w:bottom w:w="20" w:type="dxa"/>
              <w:right w:w="60" w:type="dxa"/>
            </w:tcMar>
            <w:vAlign w:val="center"/>
          </w:tcPr>
          <w:p>
            <w:pPr>
              <w:spacing w:after="10" w:before="0" w:line="240" w:lineRule="auto"/>
            </w:pPr>
            <w:r>
              <w:rPr>
                <w:b/>
                <w:color w:val="FFFFFF"/>
                <w:sz w:val="17"/>
              </w:rPr>
              <w:t>Formula (debit - credit unless said)</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Customers' net (party balances)</w:t>
            </w:r>
          </w:p>
        </w:tc>
        <w:tc>
          <w:tcPr>
            <w:tcW w:type="dxa" w:w="6258"/>
            <w:tcMar>
              <w:top w:w="20" w:type="dxa"/>
              <w:left w:w="60" w:type="dxa"/>
              <w:bottom w:w="20" w:type="dxa"/>
              <w:right w:w="60" w:type="dxa"/>
            </w:tcMar>
            <w:vAlign w:val="top"/>
          </w:tcPr>
          <w:p>
            <w:pPr>
              <w:spacing w:after="10" w:before="0" w:line="240" w:lineRule="auto"/>
            </w:pPr>
            <w:r>
              <w:rPr>
                <w:sz w:val="17"/>
              </w:rPr>
              <w:t xml:space="preserve">sum of </w:t>
            </w:r>
            <w:r>
              <w:rPr>
                <w:rFonts w:ascii="Consolas" w:hAnsi="Consolas" w:eastAsia="Consolas"/>
                <w:sz w:val="16"/>
              </w:rPr>
              <w:t>Customer - &lt;name&gt;</w:t>
            </w:r>
            <w:r>
              <w:rPr>
                <w:sz w:val="17"/>
              </w:rPr>
              <w:t xml:space="preserve"> less sum of </w:t>
            </w:r>
            <w:r>
              <w:rPr>
                <w:rFonts w:ascii="Consolas" w:hAnsi="Consolas" w:eastAsia="Consolas"/>
                <w:sz w:val="16"/>
              </w:rPr>
              <w:t>Customer Advance - &lt;name&gt;</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Vendors' net (party balances)</w:t>
            </w:r>
          </w:p>
        </w:tc>
        <w:tc>
          <w:tcPr>
            <w:tcW w:type="dxa" w:w="6258"/>
            <w:tcMar>
              <w:top w:w="20" w:type="dxa"/>
              <w:left w:w="60" w:type="dxa"/>
              <w:bottom w:w="20" w:type="dxa"/>
              <w:right w:w="60" w:type="dxa"/>
            </w:tcMar>
            <w:vAlign w:val="top"/>
          </w:tcPr>
          <w:p>
            <w:pPr>
              <w:spacing w:after="10" w:before="0" w:line="240" w:lineRule="auto"/>
            </w:pPr>
            <w:r>
              <w:rPr>
                <w:sz w:val="17"/>
              </w:rPr>
              <w:t xml:space="preserve">sum of </w:t>
            </w:r>
            <w:r>
              <w:rPr>
                <w:rFonts w:ascii="Consolas" w:hAnsi="Consolas" w:eastAsia="Consolas"/>
                <w:sz w:val="16"/>
              </w:rPr>
              <w:t>Vendor - &lt;name&gt;</w:t>
            </w:r>
            <w:r>
              <w:rPr>
                <w:sz w:val="17"/>
              </w:rPr>
              <w:t xml:space="preserve"> (credit) less sum of </w:t>
            </w:r>
            <w:r>
              <w:rPr>
                <w:rFonts w:ascii="Consolas" w:hAnsi="Consolas" w:eastAsia="Consolas"/>
                <w:sz w:val="16"/>
              </w:rPr>
              <w:t>Advance to Vendor - &lt;name&gt;</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Accounts Receivable group total</w:t>
            </w:r>
          </w:p>
        </w:tc>
        <w:tc>
          <w:tcPr>
            <w:tcW w:type="dxa" w:w="6258"/>
            <w:tcMar>
              <w:top w:w="20" w:type="dxa"/>
              <w:left w:w="60" w:type="dxa"/>
              <w:bottom w:w="20" w:type="dxa"/>
              <w:right w:w="60" w:type="dxa"/>
            </w:tcMar>
            <w:vAlign w:val="top"/>
          </w:tcPr>
          <w:p>
            <w:pPr>
              <w:spacing w:after="10" w:before="0" w:line="240" w:lineRule="auto"/>
            </w:pPr>
            <w:r>
              <w:rPr>
                <w:sz w:val="17"/>
              </w:rPr>
              <w:t xml:space="preserve">sum of </w:t>
            </w:r>
            <w:r>
              <w:rPr>
                <w:rFonts w:ascii="Consolas" w:hAnsi="Consolas" w:eastAsia="Consolas"/>
                <w:sz w:val="16"/>
              </w:rPr>
              <w:t>Customer - &lt;name&gt;</w:t>
            </w:r>
            <w:r>
              <w:rPr>
                <w:sz w:val="17"/>
              </w:rPr>
              <w:t xml:space="preserve"> + sum of </w:t>
            </w:r>
            <w:r>
              <w:rPr>
                <w:rFonts w:ascii="Consolas" w:hAnsi="Consolas" w:eastAsia="Consolas"/>
                <w:sz w:val="16"/>
              </w:rPr>
              <w:t>Advance to Vendor - &lt;name&gt;</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Accounts Payable group total</w:t>
            </w:r>
          </w:p>
        </w:tc>
        <w:tc>
          <w:tcPr>
            <w:tcW w:type="dxa" w:w="6258"/>
            <w:tcMar>
              <w:top w:w="20" w:type="dxa"/>
              <w:left w:w="60" w:type="dxa"/>
              <w:bottom w:w="20" w:type="dxa"/>
              <w:right w:w="60" w:type="dxa"/>
            </w:tcMar>
            <w:vAlign w:val="top"/>
          </w:tcPr>
          <w:p>
            <w:pPr>
              <w:spacing w:after="10" w:before="0" w:line="240" w:lineRule="auto"/>
            </w:pPr>
            <w:r>
              <w:rPr>
                <w:sz w:val="17"/>
              </w:rPr>
              <w:t xml:space="preserve">sum of </w:t>
            </w:r>
            <w:r>
              <w:rPr>
                <w:rFonts w:ascii="Consolas" w:hAnsi="Consolas" w:eastAsia="Consolas"/>
                <w:sz w:val="16"/>
              </w:rPr>
              <w:t>Vendor - &lt;name&gt;</w:t>
            </w:r>
            <w:r>
              <w:rPr>
                <w:sz w:val="17"/>
              </w:rPr>
              <w:t xml:space="preserve"> + sum of </w:t>
            </w:r>
            <w:r>
              <w:rPr>
                <w:rFonts w:ascii="Consolas" w:hAnsi="Consolas" w:eastAsia="Consolas"/>
                <w:sz w:val="16"/>
              </w:rPr>
              <w:t>Customer Advance - &lt;name&gt;</w:t>
            </w:r>
            <w:r>
              <w:rPr>
                <w:sz w:val="17"/>
              </w:rPr>
              <w:t xml:space="preserve"> (as a credit balance)</w:t>
            </w:r>
          </w:p>
        </w:tc>
      </w:tr>
      <w:tr>
        <w:trPr>
          <w:cantSplit w:val="true"/>
        </w:trPr>
        <w:tc>
          <w:tcPr>
            <w:tcW w:type="dxa" w:w="3347"/>
            <w:tcMar>
              <w:top w:w="20" w:type="dxa"/>
              <w:left w:w="60" w:type="dxa"/>
              <w:bottom w:w="20" w:type="dxa"/>
              <w:right w:w="60" w:type="dxa"/>
            </w:tcMar>
            <w:vAlign w:val="top"/>
          </w:tcPr>
          <w:p>
            <w:pPr>
              <w:spacing w:after="10" w:before="0" w:line="240" w:lineRule="auto"/>
            </w:pPr>
            <w:r>
              <w:rPr>
                <w:b/>
                <w:sz w:val="17"/>
              </w:rPr>
              <w:t>Identity</w:t>
            </w:r>
          </w:p>
        </w:tc>
        <w:tc>
          <w:tcPr>
            <w:tcW w:type="dxa" w:w="6258"/>
            <w:tcMar>
              <w:top w:w="20" w:type="dxa"/>
              <w:left w:w="60" w:type="dxa"/>
              <w:bottom w:w="20" w:type="dxa"/>
              <w:right w:w="60" w:type="dxa"/>
            </w:tcMar>
            <w:vAlign w:val="top"/>
          </w:tcPr>
          <w:p>
            <w:pPr>
              <w:spacing w:after="10" w:before="0" w:line="240" w:lineRule="auto"/>
            </w:pPr>
            <w:r>
              <w:rPr>
                <w:sz w:val="17"/>
              </w:rPr>
              <w:t>Receivable group total - Payable group total = customers' net - vendors' net</w:t>
            </w:r>
          </w:p>
        </w:tc>
      </w:tr>
    </w:tbl>
    <w:p>
      <w:pPr>
        <w:spacing w:after="0" w:before="0"/>
        <w:rPr>
          <w:sz w:val="6"/>
        </w:rPr>
      </w:pPr>
    </w:p>
    <w:p>
      <w:r>
        <w:t>In the worked month (section 6): receivable group 210.00 + 300.00 = 510.00; payable group 1,050.00 + 100.00 = 1,150.00; difference -640.00. Customers' net 110.00 less vendors' net 750.00 is also -640.00.</w:t>
      </w:r>
    </w:p>
    <w:p>
      <w:pPr>
        <w:pStyle w:val="Heading2"/>
      </w:pPr>
      <w:r>
        <w:t>5.3 Tracing a figure to its source</w:t>
      </w:r>
    </w:p>
    <w:p>
      <w:pPr>
        <w:pStyle w:val="Caption"/>
      </w:pPr>
      <w:r>
        <w:t>Table 55. The audit path</w:t>
      </w:r>
    </w:p>
    <w:tbl>
      <w:tblPr>
        <w:tblW w:type="dxa" w:w="9604"/>
        <w:jc w:val="left"/>
        <w:tblLayout w:type="fixed"/>
        <w:tblLook w:firstColumn="1" w:firstRow="1" w:lastColumn="0" w:lastRow="0" w:noHBand="0" w:noVBand="1" w:val="04A0"/>
      </w:tblPr>
      <w:tblGrid>
        <w:gridCol w:w="1621"/>
        <w:gridCol w:w="374"/>
        <w:gridCol w:w="1621"/>
        <w:gridCol w:w="374"/>
        <w:gridCol w:w="1621"/>
        <w:gridCol w:w="374"/>
        <w:gridCol w:w="1621"/>
        <w:gridCol w:w="374"/>
        <w:gridCol w:w="1621"/>
      </w:tblGrid>
      <w:tr>
        <w:trPr>
          <w:cantSplit w:val="true"/>
        </w:trPr>
        <w:tc>
          <w:tcPr>
            <w:tcW w:type="dxa" w:w="1621"/>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Report figure</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621"/>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Account (click it, or the account ledger)</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621"/>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Entry with its voucher number</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621"/>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Voucher impact: the balanced lines</w:t>
            </w:r>
          </w:p>
        </w:tc>
        <w:tc>
          <w:tcPr>
            <w:tcW w:type="dxa" w:w="374"/>
            <w:tcMar>
              <w:top w:w="60" w:type="dxa"/>
              <w:left w:w="60" w:type="dxa"/>
              <w:bottom w:w="60" w:type="dxa"/>
              <w:right w:w="60" w:type="dxa"/>
            </w:tcMar>
            <w:vAlign w:val="center"/>
            <w:tcBorders>
              <w:top w:val="nil"/>
              <w:bottom w:val="nil"/>
              <w:left w:val="nil"/>
              <w:right w:val="nil"/>
            </w:tcBorders>
          </w:tcPr>
          <w:p>
            <w:pPr>
              <w:spacing w:after="10" w:before="0" w:line="240" w:lineRule="auto"/>
              <w:jc w:val="center"/>
            </w:pPr>
            <w:r>
              <w:rPr>
                <w:b/>
                <w:color w:val="1F3A5F"/>
                <w:sz w:val="24"/>
              </w:rPr>
              <w:t>→</w:t>
            </w:r>
          </w:p>
        </w:tc>
        <w:tc>
          <w:tcPr>
            <w:tcW w:type="dxa" w:w="1621"/>
            <w:tcMar>
              <w:top w:w="60" w:type="dxa"/>
              <w:left w:w="60" w:type="dxa"/>
              <w:bottom w:w="60" w:type="dxa"/>
              <w:right w:w="60" w:type="dxa"/>
            </w:tcMar>
            <w:vAlign w:val="center"/>
            <w:shd w:val="clear" w:color="auto" w:fill="F0F2F5"/>
            <w:tcBorders>
              <w:top w:val="single" w:sz="6" w:space="0" w:color="1F3A5F"/>
              <w:bottom w:val="single" w:sz="6" w:space="0" w:color="1F3A5F"/>
              <w:left w:val="single" w:sz="6" w:space="0" w:color="1F3A5F"/>
              <w:right w:val="single" w:sz="6" w:space="0" w:color="1F3A5F"/>
            </w:tcBorders>
          </w:tcPr>
          <w:p>
            <w:pPr>
              <w:spacing w:after="10" w:before="0" w:line="240" w:lineRule="auto"/>
              <w:jc w:val="center"/>
            </w:pPr>
            <w:r>
              <w:rPr>
                <w:sz w:val="17"/>
              </w:rPr>
              <w:t>The document or voucher itself</w:t>
            </w:r>
          </w:p>
        </w:tc>
      </w:tr>
    </w:tbl>
    <w:p>
      <w:pPr>
        <w:spacing w:after="0" w:before="0"/>
        <w:rPr>
          <w:sz w:val="12"/>
        </w:rPr>
      </w:pPr>
    </w:p>
    <w:p>
      <w:pPr>
        <w:tabs>
          <w:tab w:pos="432" w:val="left"/>
        </w:tabs>
        <w:spacing w:after="40"/>
        <w:ind w:left="432" w:hanging="432"/>
      </w:pPr>
      <w:r>
        <w:t>1.</w:t>
        <w:tab/>
      </w:r>
      <w:r>
        <w:rPr>
          <w:b/>
        </w:rPr>
        <w:t>A ledger report figure.</w:t>
      </w:r>
      <w:r>
        <w:t xml:space="preserve"> Open the account ledger for the account and period (section 4.12). The rows are the live entries; their sum is the figure.</w:t>
      </w:r>
    </w:p>
    <w:p>
      <w:pPr>
        <w:tabs>
          <w:tab w:pos="432" w:val="left"/>
        </w:tabs>
        <w:spacing w:after="40"/>
        <w:ind w:left="432" w:hanging="432"/>
      </w:pPr>
      <w:r>
        <w:t>2.</w:t>
        <w:tab/>
      </w:r>
      <w:r>
        <w:rPr>
          <w:b/>
        </w:rPr>
        <w:t>An entry.</w:t>
      </w:r>
      <w:r>
        <w:t xml:space="preserve"> Each row carries the voucher number (for example SO-2026-0001) and type. The day book lists the voucher; the voucher impact (</w:t>
      </w:r>
      <w:r>
        <w:rPr>
          <w:rFonts w:ascii="Consolas" w:hAnsi="Consolas" w:eastAsia="Consolas"/>
        </w:rPr>
        <w:t>/accounting/reports/voucher/:id</w:t>
      </w:r>
      <w:r>
        <w:t>) lists all its lines and whether they balance.</w:t>
      </w:r>
    </w:p>
    <w:p>
      <w:pPr>
        <w:tabs>
          <w:tab w:pos="432" w:val="left"/>
        </w:tabs>
        <w:spacing w:after="40"/>
        <w:ind w:left="432" w:hanging="432"/>
      </w:pPr>
      <w:r>
        <w:t>3.</w:t>
        <w:tab/>
      </w:r>
      <w:r>
        <w:rPr>
          <w:b/>
        </w:rPr>
        <w:t>A document.</w:t>
      </w:r>
      <w:r>
        <w:t xml:space="preserve"> Open the invoice or voucher by number. A trade document shows its lines, tax treatment, header charges, </w:t>
      </w:r>
      <w:r>
        <w:rPr>
          <w:rFonts w:ascii="Consolas" w:hAnsi="Consolas" w:eastAsia="Consolas"/>
        </w:rPr>
        <w:t>pricing</w:t>
      </w:r>
      <w:r>
        <w:t xml:space="preserve"> block and paid and outstanding amounts; the stock movements it caused are in the item ledger under the same number.</w:t>
      </w:r>
    </w:p>
    <w:p>
      <w:pPr>
        <w:tabs>
          <w:tab w:pos="432" w:val="left"/>
        </w:tabs>
        <w:spacing w:after="40"/>
        <w:ind w:left="432" w:hanging="432"/>
      </w:pPr>
      <w:r>
        <w:t>4.</w:t>
        <w:tab/>
      </w:r>
      <w:r>
        <w:rPr>
          <w:b/>
        </w:rPr>
        <w:t>A VAT box.</w:t>
      </w:r>
      <w:r>
        <w:t xml:space="preserve"> Open the VAT documents detail for the period, filtered by treatment or direction; the rows add up to the box.</w:t>
      </w:r>
    </w:p>
    <w:p>
      <w:pPr>
        <w:tabs>
          <w:tab w:pos="432" w:val="left"/>
        </w:tabs>
        <w:spacing w:after="40"/>
        <w:ind w:left="432" w:hanging="432"/>
      </w:pPr>
      <w:r>
        <w:t>5.</w:t>
        <w:tab/>
      </w:r>
      <w:r>
        <w:rPr>
          <w:b/>
        </w:rPr>
        <w:t>A stock value.</w:t>
      </w:r>
      <w:r>
        <w:t xml:space="preserve"> Open the item ledger for the item; the closing row is the valuation figure. The reconciliation shows the ledger side by source.</w:t>
      </w:r>
    </w:p>
    <w:p>
      <w:pPr>
        <w:tabs>
          <w:tab w:pos="432" w:val="left"/>
        </w:tabs>
        <w:spacing w:after="40"/>
        <w:ind w:left="432" w:hanging="432"/>
      </w:pPr>
      <w:r>
        <w:t>6.</w:t>
        <w:tab/>
      </w:r>
      <w:r>
        <w:rPr>
          <w:b/>
        </w:rPr>
        <w:t>A mapping question.</w:t>
      </w:r>
      <w:r>
        <w:t xml:space="preserve"> The account was chosen by the posting map at the time of posting; the entry stores the account's name and code as they were, even if the map has since changed (section 2.6).</w:t>
      </w:r>
    </w:p>
    <w:p>
      <w:pPr>
        <w:pStyle w:val="Heading1"/>
      </w:pPr>
      <w:r>
        <w:t>6 A worked month</w:t>
      </w:r>
    </w:p>
    <w:p>
      <w:r>
        <w:t xml:space="preserve">This chapter follows seven documents through one month, September 2026, and then reads every report from the resulting ledger. The seven documents are exactly the documents posted by the test </w:t>
      </w:r>
      <w:r>
        <w:rPr>
          <w:rFonts w:ascii="Consolas" w:hAnsi="Consolas" w:eastAsia="Consolas"/>
        </w:rPr>
        <w:t>ledgerReports.test.js</w:t>
      </w:r>
      <w:r>
        <w:t>, so the ledger figures can be checked by running that test. The dates inside the month are illustrative (the test posts everything on one day); no result depends on them, except the ageing line, which assumes 30-day payment terms and is computed from the rules in section 4.10.</w:t>
      </w:r>
    </w:p>
    <w:p>
      <w:pPr>
        <w:pStyle w:val="ListBullet"/>
      </w:pPr>
      <w:r>
        <w:rPr>
          <w:b/>
        </w:rPr>
        <w:t>Setting.</w:t>
      </w:r>
      <w:r>
        <w:t xml:space="preserve"> A fresh company with the default chart (section 2.3), posting on, no fiscal year restrictions. Customer Al Noor (credit limit AED 500.00) and vendor Gulf Mills are created in that order, so their main accounts are AR0001 and AP0001. The first receipt then creates </w:t>
      </w:r>
      <w:r>
        <w:rPr>
          <w:rFonts w:ascii="Consolas" w:hAnsi="Consolas" w:eastAsia="Consolas"/>
        </w:rPr>
        <w:t>Customer Advance - Al Noor</w:t>
      </w:r>
      <w:r>
        <w:t xml:space="preserve"> (AP0002); the first payment creates </w:t>
      </w:r>
      <w:r>
        <w:rPr>
          <w:rFonts w:ascii="Consolas" w:hAnsi="Consolas" w:eastAsia="Consolas"/>
        </w:rPr>
        <w:t>Advance to Vendor - Gulf Mills</w:t>
      </w:r>
      <w:r>
        <w:t xml:space="preserve"> (AR0002); the bank account ENBD Current is added in the Bank group (BANK0002).</w:t>
      </w:r>
    </w:p>
    <w:p>
      <w:pPr>
        <w:pStyle w:val="ListBullet"/>
      </w:pPr>
      <w:r>
        <w:rPr>
          <w:b/>
        </w:rPr>
        <w:t>Item.</w:t>
      </w:r>
      <w:r>
        <w:t xml:space="preserve"> Rice, bought and sold in bags; the first purchase sets the average cost at AED 10.00.</w:t>
      </w:r>
    </w:p>
    <w:p>
      <w:pPr>
        <w:pStyle w:val="Heading2"/>
      </w:pPr>
      <w:r>
        <w:t>6.1 The seven documents</w:t>
      </w:r>
    </w:p>
    <w:p>
      <w:pPr>
        <w:pStyle w:val="Caption"/>
      </w:pPr>
      <w:r>
        <w:t>Table 56. The seven documents and their ledger entries (the posting rules of section 3 applied to each)</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315"/>
        <w:gridCol w:w="3062"/>
        <w:gridCol w:w="1113"/>
        <w:gridCol w:w="1113"/>
      </w:tblGrid>
      <w:tr>
        <w:trPr>
          <w:tblHeader w:val="true"/>
          <w:cantSplit w:val="true"/>
        </w:trPr>
        <w:tc>
          <w:tcPr>
            <w:tcW w:type="dxa" w:w="4315"/>
            <w:shd w:val="clear" w:color="auto" w:fill="1F3A5F"/>
            <w:tcMar>
              <w:top w:w="20" w:type="dxa"/>
              <w:left w:w="60" w:type="dxa"/>
              <w:bottom w:w="20" w:type="dxa"/>
              <w:right w:w="60" w:type="dxa"/>
            </w:tcMar>
            <w:vAlign w:val="center"/>
          </w:tcPr>
          <w:p>
            <w:pPr>
              <w:spacing w:after="10" w:before="0" w:line="240" w:lineRule="auto"/>
            </w:pPr>
            <w:r>
              <w:rPr>
                <w:b/>
                <w:color w:val="FFFFFF"/>
                <w:sz w:val="17"/>
              </w:rPr>
              <w:t>Document</w:t>
            </w:r>
          </w:p>
        </w:tc>
        <w:tc>
          <w:tcPr>
            <w:tcW w:type="dxa" w:w="3062"/>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1114"/>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 (AED)</w:t>
            </w:r>
          </w:p>
        </w:tc>
        <w:tc>
          <w:tcPr>
            <w:tcW w:type="dxa" w:w="1114"/>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 (AED)</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1 Sep  JV-2026-0001  Journal: Capital put into the business</w:t>
            </w:r>
          </w:p>
        </w:tc>
        <w:tc>
          <w:tcPr>
            <w:tcW w:type="dxa" w:w="3062"/>
            <w:tcMar>
              <w:top w:w="20" w:type="dxa"/>
              <w:left w:w="60" w:type="dxa"/>
              <w:bottom w:w="20" w:type="dxa"/>
              <w:right w:w="60" w:type="dxa"/>
            </w:tcMar>
            <w:vAlign w:val="top"/>
          </w:tcPr>
          <w:p>
            <w:pPr>
              <w:spacing w:after="10" w:before="0" w:line="240" w:lineRule="auto"/>
            </w:pPr>
            <w:r>
              <w:rPr>
                <w:sz w:val="17"/>
              </w:rPr>
              <w:t>Cash in Hand</w:t>
            </w:r>
          </w:p>
        </w:tc>
        <w:tc>
          <w:tcPr>
            <w:tcW w:type="dxa" w:w="1114"/>
            <w:tcMar>
              <w:top w:w="20" w:type="dxa"/>
              <w:left w:w="60" w:type="dxa"/>
              <w:bottom w:w="20" w:type="dxa"/>
              <w:right w:w="60" w:type="dxa"/>
            </w:tcMar>
            <w:vAlign w:val="top"/>
          </w:tcPr>
          <w:p>
            <w:pPr>
              <w:spacing w:after="10" w:before="0" w:line="240" w:lineRule="auto"/>
              <w:jc w:val="right"/>
            </w:pPr>
            <w:r>
              <w:rPr>
                <w:sz w:val="17"/>
              </w:rPr>
              <w:t>5,000.00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Opening Balance Equity</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5,000.00</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3 Sep  PO-2026-0001  Purchase invoice: 100 bags at 10.00 from Gulf Mills, VAT 5 percent</w:t>
            </w:r>
          </w:p>
        </w:tc>
        <w:tc>
          <w:tcPr>
            <w:tcW w:type="dxa" w:w="3062"/>
            <w:tcMar>
              <w:top w:w="20" w:type="dxa"/>
              <w:left w:w="60" w:type="dxa"/>
              <w:bottom w:w="20" w:type="dxa"/>
              <w:right w:w="60" w:type="dxa"/>
            </w:tcMar>
            <w:vAlign w:val="top"/>
          </w:tcPr>
          <w:p>
            <w:pPr>
              <w:spacing w:after="10" w:before="0" w:line="240" w:lineRule="auto"/>
            </w:pPr>
            <w:r>
              <w:rPr>
                <w:sz w:val="17"/>
              </w:rPr>
              <w:t>Inventory Stock</w:t>
            </w:r>
          </w:p>
        </w:tc>
        <w:tc>
          <w:tcPr>
            <w:tcW w:type="dxa" w:w="1114"/>
            <w:tcMar>
              <w:top w:w="20" w:type="dxa"/>
              <w:left w:w="60" w:type="dxa"/>
              <w:bottom w:w="20" w:type="dxa"/>
              <w:right w:w="60" w:type="dxa"/>
            </w:tcMar>
            <w:vAlign w:val="top"/>
          </w:tcPr>
          <w:p>
            <w:pPr>
              <w:spacing w:after="10" w:before="0" w:line="240" w:lineRule="auto"/>
              <w:jc w:val="right"/>
            </w:pPr>
            <w:r>
              <w:rPr>
                <w:sz w:val="17"/>
              </w:rPr>
              <w:t>1,000.00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Input VAT</w:t>
            </w:r>
          </w:p>
        </w:tc>
        <w:tc>
          <w:tcPr>
            <w:tcW w:type="dxa" w:w="1114"/>
            <w:tcMar>
              <w:top w:w="20" w:type="dxa"/>
              <w:left w:w="60" w:type="dxa"/>
              <w:bottom w:w="20" w:type="dxa"/>
              <w:right w:w="60" w:type="dxa"/>
            </w:tcMar>
            <w:vAlign w:val="top"/>
          </w:tcPr>
          <w:p>
            <w:pPr>
              <w:spacing w:after="10" w:before="0" w:line="240" w:lineRule="auto"/>
              <w:jc w:val="right"/>
            </w:pPr>
            <w:r>
              <w:rPr>
                <w:sz w:val="17"/>
              </w:rPr>
              <w:t>50.00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Vendor - Gulf Mills</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1,050.00</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8 Sep  SO-2026-0001  Sales invoice: 10 bags at 20.00 to Al Noor, VAT 5 percent, cost 100.00</w:t>
            </w:r>
          </w:p>
        </w:tc>
        <w:tc>
          <w:tcPr>
            <w:tcW w:type="dxa" w:w="3062"/>
            <w:tcMar>
              <w:top w:w="20" w:type="dxa"/>
              <w:left w:w="60" w:type="dxa"/>
              <w:bottom w:w="20" w:type="dxa"/>
              <w:right w:w="60" w:type="dxa"/>
            </w:tcMar>
            <w:vAlign w:val="top"/>
          </w:tcPr>
          <w:p>
            <w:pPr>
              <w:spacing w:after="10" w:before="0" w:line="240" w:lineRule="auto"/>
            </w:pPr>
            <w:r>
              <w:rPr>
                <w:sz w:val="17"/>
              </w:rPr>
              <w:t>Customer - Al Noor</w:t>
            </w:r>
          </w:p>
        </w:tc>
        <w:tc>
          <w:tcPr>
            <w:tcW w:type="dxa" w:w="1114"/>
            <w:tcMar>
              <w:top w:w="20" w:type="dxa"/>
              <w:left w:w="60" w:type="dxa"/>
              <w:bottom w:w="20" w:type="dxa"/>
              <w:right w:w="60" w:type="dxa"/>
            </w:tcMar>
            <w:vAlign w:val="top"/>
          </w:tcPr>
          <w:p>
            <w:pPr>
              <w:spacing w:after="10" w:before="0" w:line="240" w:lineRule="auto"/>
              <w:jc w:val="right"/>
            </w:pPr>
            <w:r>
              <w:rPr>
                <w:sz w:val="17"/>
              </w:rPr>
              <w:t>210.00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Sales Revenue</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Output VAT</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10.00</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Cost of Goods Sold</w:t>
            </w:r>
          </w:p>
        </w:tc>
        <w:tc>
          <w:tcPr>
            <w:tcW w:type="dxa" w:w="1114"/>
            <w:tcMar>
              <w:top w:w="20" w:type="dxa"/>
              <w:left w:w="60" w:type="dxa"/>
              <w:bottom w:w="20" w:type="dxa"/>
              <w:right w:w="60" w:type="dxa"/>
            </w:tcMar>
            <w:vAlign w:val="top"/>
          </w:tcPr>
          <w:p>
            <w:pPr>
              <w:spacing w:after="10" w:before="0" w:line="240" w:lineRule="auto"/>
              <w:jc w:val="right"/>
            </w:pPr>
            <w:r>
              <w:rPr>
                <w:sz w:val="17"/>
              </w:rPr>
              <w:t>100.00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Inventory Stock</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10 Sep  RV-2026-0001  Receipt: Al Noor pays 100.00 cash, not set against the invoice</w:t>
            </w:r>
          </w:p>
        </w:tc>
        <w:tc>
          <w:tcPr>
            <w:tcW w:type="dxa" w:w="3062"/>
            <w:tcMar>
              <w:top w:w="20" w:type="dxa"/>
              <w:left w:w="60" w:type="dxa"/>
              <w:bottom w:w="20" w:type="dxa"/>
              <w:right w:w="60" w:type="dxa"/>
            </w:tcMar>
            <w:vAlign w:val="top"/>
          </w:tcPr>
          <w:p>
            <w:pPr>
              <w:spacing w:after="10" w:before="0" w:line="240" w:lineRule="auto"/>
            </w:pPr>
            <w:r>
              <w:rPr>
                <w:sz w:val="17"/>
              </w:rPr>
              <w:t>Cash in Hand</w:t>
            </w:r>
          </w:p>
        </w:tc>
        <w:tc>
          <w:tcPr>
            <w:tcW w:type="dxa" w:w="1114"/>
            <w:tcMar>
              <w:top w:w="20" w:type="dxa"/>
              <w:left w:w="60" w:type="dxa"/>
              <w:bottom w:w="20" w:type="dxa"/>
              <w:right w:w="60" w:type="dxa"/>
            </w:tcMar>
            <w:vAlign w:val="top"/>
          </w:tcPr>
          <w:p>
            <w:pPr>
              <w:spacing w:after="10" w:before="0" w:line="240" w:lineRule="auto"/>
              <w:jc w:val="right"/>
            </w:pPr>
            <w:r>
              <w:rPr>
                <w:sz w:val="17"/>
              </w:rPr>
              <w:t>100.00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Customer Advance - Al Noor</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12 Sep  PV-2026-0001  Payment: 300.00 cash to Gulf Mills, not set against the invoice</w:t>
            </w:r>
          </w:p>
        </w:tc>
        <w:tc>
          <w:tcPr>
            <w:tcW w:type="dxa" w:w="3062"/>
            <w:tcMar>
              <w:top w:w="20" w:type="dxa"/>
              <w:left w:w="60" w:type="dxa"/>
              <w:bottom w:w="20" w:type="dxa"/>
              <w:right w:w="60" w:type="dxa"/>
            </w:tcMar>
            <w:vAlign w:val="top"/>
          </w:tcPr>
          <w:p>
            <w:pPr>
              <w:spacing w:after="10" w:before="0" w:line="240" w:lineRule="auto"/>
            </w:pPr>
            <w:r>
              <w:rPr>
                <w:sz w:val="17"/>
              </w:rPr>
              <w:t>Advance to Vendor - Gulf Mills</w:t>
            </w:r>
          </w:p>
        </w:tc>
        <w:tc>
          <w:tcPr>
            <w:tcW w:type="dxa" w:w="1114"/>
            <w:tcMar>
              <w:top w:w="20" w:type="dxa"/>
              <w:left w:w="60" w:type="dxa"/>
              <w:bottom w:w="20" w:type="dxa"/>
              <w:right w:w="60" w:type="dxa"/>
            </w:tcMar>
            <w:vAlign w:val="top"/>
          </w:tcPr>
          <w:p>
            <w:pPr>
              <w:spacing w:after="10" w:before="0" w:line="240" w:lineRule="auto"/>
              <w:jc w:val="right"/>
            </w:pPr>
            <w:r>
              <w:rPr>
                <w:sz w:val="17"/>
              </w:rPr>
              <w:t>300.00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Cash in Hand</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300.00</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15 Sep  EV-2026-0001  Expense: Rent 200.00 plus 5 percent VAT, paid in cash</w:t>
            </w:r>
          </w:p>
        </w:tc>
        <w:tc>
          <w:tcPr>
            <w:tcW w:type="dxa" w:w="3062"/>
            <w:tcMar>
              <w:top w:w="20" w:type="dxa"/>
              <w:left w:w="60" w:type="dxa"/>
              <w:bottom w:w="20" w:type="dxa"/>
              <w:right w:w="60" w:type="dxa"/>
            </w:tcMar>
            <w:vAlign w:val="top"/>
          </w:tcPr>
          <w:p>
            <w:pPr>
              <w:spacing w:after="10" w:before="0" w:line="240" w:lineRule="auto"/>
            </w:pPr>
            <w:r>
              <w:rPr>
                <w:sz w:val="17"/>
              </w:rPr>
              <w:t>Rent Expense</w:t>
            </w:r>
          </w:p>
        </w:tc>
        <w:tc>
          <w:tcPr>
            <w:tcW w:type="dxa" w:w="1114"/>
            <w:tcMar>
              <w:top w:w="20" w:type="dxa"/>
              <w:left w:w="60" w:type="dxa"/>
              <w:bottom w:w="20" w:type="dxa"/>
              <w:right w:w="60" w:type="dxa"/>
            </w:tcMar>
            <w:vAlign w:val="top"/>
          </w:tcPr>
          <w:p>
            <w:pPr>
              <w:spacing w:after="10" w:before="0" w:line="240" w:lineRule="auto"/>
              <w:jc w:val="right"/>
            </w:pPr>
            <w:r>
              <w:rPr>
                <w:sz w:val="17"/>
              </w:rPr>
              <w:t>200.00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Input VAT</w:t>
            </w:r>
          </w:p>
        </w:tc>
        <w:tc>
          <w:tcPr>
            <w:tcW w:type="dxa" w:w="1114"/>
            <w:tcMar>
              <w:top w:w="20" w:type="dxa"/>
              <w:left w:w="60" w:type="dxa"/>
              <w:bottom w:w="20" w:type="dxa"/>
              <w:right w:w="60" w:type="dxa"/>
            </w:tcMar>
            <w:vAlign w:val="top"/>
          </w:tcPr>
          <w:p>
            <w:pPr>
              <w:spacing w:after="10" w:before="0" w:line="240" w:lineRule="auto"/>
              <w:jc w:val="right"/>
            </w:pPr>
            <w:r>
              <w:rPr>
                <w:sz w:val="17"/>
              </w:rPr>
              <w:t>10.00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Cash in Hand</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210.00</w:t>
            </w:r>
          </w:p>
        </w:tc>
      </w:tr>
      <w:tr>
        <w:trPr>
          <w:cantSplit w:val="true"/>
        </w:trPr>
        <w:tc>
          <w:tcPr>
            <w:tcW w:type="dxa" w:w="4315"/>
            <w:tcMar>
              <w:top w:w="20" w:type="dxa"/>
              <w:left w:w="60" w:type="dxa"/>
              <w:bottom w:w="20" w:type="dxa"/>
              <w:right w:w="60" w:type="dxa"/>
            </w:tcMar>
            <w:vAlign w:val="top"/>
          </w:tcPr>
          <w:p>
            <w:pPr>
              <w:spacing w:after="10" w:before="0" w:line="240" w:lineRule="auto"/>
            </w:pPr>
            <w:r>
              <w:rPr>
                <w:sz w:val="17"/>
              </w:rPr>
              <w:t>20 Sep  CV-2026-0001  Contra: 1,000.00 from cash to the bank account ENBD Current</w:t>
            </w:r>
          </w:p>
        </w:tc>
        <w:tc>
          <w:tcPr>
            <w:tcW w:type="dxa" w:w="3062"/>
            <w:tcMar>
              <w:top w:w="20" w:type="dxa"/>
              <w:left w:w="60" w:type="dxa"/>
              <w:bottom w:w="20" w:type="dxa"/>
              <w:right w:w="60" w:type="dxa"/>
            </w:tcMar>
            <w:vAlign w:val="top"/>
          </w:tcPr>
          <w:p>
            <w:pPr>
              <w:spacing w:after="10" w:before="0" w:line="240" w:lineRule="auto"/>
            </w:pPr>
            <w:r>
              <w:rPr>
                <w:sz w:val="17"/>
              </w:rPr>
              <w:t>ENBD Current</w:t>
            </w:r>
          </w:p>
        </w:tc>
        <w:tc>
          <w:tcPr>
            <w:tcW w:type="dxa" w:w="1114"/>
            <w:tcMar>
              <w:top w:w="20" w:type="dxa"/>
              <w:left w:w="60" w:type="dxa"/>
              <w:bottom w:w="20" w:type="dxa"/>
              <w:right w:w="60" w:type="dxa"/>
            </w:tcMar>
            <w:vAlign w:val="top"/>
          </w:tcPr>
          <w:p>
            <w:pPr>
              <w:spacing w:after="10" w:before="0" w:line="240" w:lineRule="auto"/>
              <w:jc w:val="right"/>
            </w:pPr>
            <w:r>
              <w:rPr>
                <w:sz w:val="17"/>
              </w:rPr>
              <w:t>1,000.00</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4315"/>
            <w:tcMar>
              <w:top w:w="20" w:type="dxa"/>
              <w:left w:w="60" w:type="dxa"/>
              <w:bottom w:w="20" w:type="dxa"/>
              <w:right w:w="60" w:type="dxa"/>
            </w:tcMar>
            <w:vAlign w:val="top"/>
          </w:tcPr>
          <w:p>
            <w:pPr>
              <w:spacing w:after="10" w:before="0" w:line="240" w:lineRule="auto"/>
            </w:pPr>
          </w:p>
        </w:tc>
        <w:tc>
          <w:tcPr>
            <w:tcW w:type="dxa" w:w="3062"/>
            <w:tcMar>
              <w:top w:w="20" w:type="dxa"/>
              <w:left w:w="60" w:type="dxa"/>
              <w:bottom w:w="20" w:type="dxa"/>
              <w:right w:w="60" w:type="dxa"/>
            </w:tcMar>
            <w:vAlign w:val="top"/>
          </w:tcPr>
          <w:p>
            <w:pPr>
              <w:spacing w:after="10" w:before="0" w:line="240" w:lineRule="auto"/>
            </w:pPr>
            <w:r>
              <w:rPr>
                <w:sz w:val="17"/>
              </w:rPr>
              <w:t>Cash in Hand</w:t>
            </w:r>
          </w:p>
        </w:tc>
        <w:tc>
          <w:tcPr>
            <w:tcW w:type="dxa" w:w="1114"/>
            <w:tcMar>
              <w:top w:w="20" w:type="dxa"/>
              <w:left w:w="60" w:type="dxa"/>
              <w:bottom w:w="20" w:type="dxa"/>
              <w:right w:w="60" w:type="dxa"/>
            </w:tcMar>
            <w:vAlign w:val="top"/>
          </w:tcPr>
          <w:p>
            <w:pPr>
              <w:spacing w:after="10" w:before="0" w:line="240" w:lineRule="auto"/>
              <w:jc w:val="right"/>
            </w:pPr>
            <w:r>
              <w:rPr>
                <w:sz w:val="17"/>
              </w:rPr>
              <w:t>-</w:t>
            </w:r>
          </w:p>
        </w:tc>
        <w:tc>
          <w:tcPr>
            <w:tcW w:type="dxa" w:w="1114"/>
            <w:tcMar>
              <w:top w:w="20" w:type="dxa"/>
              <w:left w:w="60" w:type="dxa"/>
              <w:bottom w:w="20" w:type="dxa"/>
              <w:right w:w="60" w:type="dxa"/>
            </w:tcMar>
            <w:vAlign w:val="top"/>
          </w:tcPr>
          <w:p>
            <w:pPr>
              <w:spacing w:after="10" w:before="0" w:line="240" w:lineRule="auto"/>
              <w:jc w:val="right"/>
            </w:pPr>
            <w:r>
              <w:rPr>
                <w:sz w:val="17"/>
              </w:rPr>
              <w:t>1,000.00</w:t>
            </w:r>
          </w:p>
        </w:tc>
      </w:tr>
      <w:tr>
        <w:trPr>
          <w:cantSplit w:val="true"/>
        </w:trPr>
        <w:tc>
          <w:tcPr>
            <w:tcW w:type="dxa" w:w="4315"/>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3062"/>
            <w:tcMar>
              <w:top w:w="20" w:type="dxa"/>
              <w:left w:w="60" w:type="dxa"/>
              <w:bottom w:w="20" w:type="dxa"/>
              <w:right w:w="60" w:type="dxa"/>
            </w:tcMar>
            <w:vAlign w:val="top"/>
            <w:shd w:val="clear" w:color="auto" w:fill="E9EDF3"/>
          </w:tcPr>
          <w:p>
            <w:pPr>
              <w:spacing w:after="10" w:before="0" w:line="240" w:lineRule="auto"/>
            </w:pPr>
          </w:p>
        </w:tc>
        <w:tc>
          <w:tcPr>
            <w:tcW w:type="dxa" w:w="1114"/>
            <w:tcMar>
              <w:top w:w="20" w:type="dxa"/>
              <w:left w:w="60" w:type="dxa"/>
              <w:bottom w:w="20" w:type="dxa"/>
              <w:right w:w="60" w:type="dxa"/>
            </w:tcMar>
            <w:vAlign w:val="top"/>
            <w:shd w:val="clear" w:color="auto" w:fill="E9EDF3"/>
          </w:tcPr>
          <w:p>
            <w:pPr>
              <w:spacing w:after="10" w:before="0" w:line="240" w:lineRule="auto"/>
              <w:jc w:val="right"/>
            </w:pPr>
            <w:r>
              <w:rPr>
                <w:b/>
                <w:sz w:val="17"/>
              </w:rPr>
              <w:t>7,970.00</w:t>
            </w:r>
          </w:p>
        </w:tc>
        <w:tc>
          <w:tcPr>
            <w:tcW w:type="dxa" w:w="1114"/>
            <w:tcMar>
              <w:top w:w="20" w:type="dxa"/>
              <w:left w:w="60" w:type="dxa"/>
              <w:bottom w:w="20" w:type="dxa"/>
              <w:right w:w="60" w:type="dxa"/>
            </w:tcMar>
            <w:vAlign w:val="top"/>
            <w:shd w:val="clear" w:color="auto" w:fill="E9EDF3"/>
          </w:tcPr>
          <w:p>
            <w:pPr>
              <w:spacing w:after="10" w:before="0" w:line="240" w:lineRule="auto"/>
              <w:jc w:val="right"/>
            </w:pPr>
            <w:r>
              <w:rPr>
                <w:b/>
                <w:sz w:val="17"/>
              </w:rPr>
              <w:t>7,970.00</w:t>
            </w:r>
          </w:p>
        </w:tc>
      </w:tr>
    </w:tbl>
    <w:p>
      <w:pPr>
        <w:spacing w:after="0" w:before="0"/>
        <w:rPr>
          <w:sz w:val="6"/>
        </w:rPr>
      </w:pPr>
    </w:p>
    <w:p>
      <w:pPr>
        <w:pStyle w:val="Heading2"/>
      </w:pPr>
      <w:r>
        <w:t>6.2 Trial balance, 1 to 30 September</w:t>
      </w:r>
    </w:p>
    <w:p>
      <w:pPr>
        <w:pStyle w:val="Caption"/>
      </w:pPr>
      <w:r>
        <w:t>Table 57. Trial balance (opening is zero because September is the first month)</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137"/>
        <w:gridCol w:w="3285"/>
        <w:gridCol w:w="884"/>
        <w:gridCol w:w="1011"/>
        <w:gridCol w:w="1011"/>
        <w:gridCol w:w="1137"/>
        <w:gridCol w:w="1137"/>
      </w:tblGrid>
      <w:tr>
        <w:trPr>
          <w:tblHeader w:val="true"/>
          <w:cantSplit w:val="true"/>
        </w:trPr>
        <w:tc>
          <w:tcPr>
            <w:tcW w:type="dxa" w:w="1137"/>
            <w:shd w:val="clear" w:color="auto" w:fill="1F3A5F"/>
            <w:tcMar>
              <w:top w:w="20" w:type="dxa"/>
              <w:left w:w="60" w:type="dxa"/>
              <w:bottom w:w="20" w:type="dxa"/>
              <w:right w:w="60" w:type="dxa"/>
            </w:tcMar>
            <w:vAlign w:val="center"/>
          </w:tcPr>
          <w:p>
            <w:pPr>
              <w:spacing w:after="10" w:before="0" w:line="240" w:lineRule="auto"/>
            </w:pPr>
            <w:r>
              <w:rPr>
                <w:b/>
                <w:color w:val="FFFFFF"/>
                <w:sz w:val="17"/>
              </w:rPr>
              <w:t>Code</w:t>
            </w:r>
          </w:p>
        </w:tc>
        <w:tc>
          <w:tcPr>
            <w:tcW w:type="dxa" w:w="3286"/>
            <w:shd w:val="clear" w:color="auto" w:fill="1F3A5F"/>
            <w:tcMar>
              <w:top w:w="20" w:type="dxa"/>
              <w:left w:w="60" w:type="dxa"/>
              <w:bottom w:w="20" w:type="dxa"/>
              <w:right w:w="60" w:type="dxa"/>
            </w:tcMar>
            <w:vAlign w:val="center"/>
          </w:tcPr>
          <w:p>
            <w:pPr>
              <w:spacing w:after="10" w:before="0" w:line="240" w:lineRule="auto"/>
            </w:pPr>
            <w:r>
              <w:rPr>
                <w:b/>
                <w:color w:val="FFFFFF"/>
                <w:sz w:val="17"/>
              </w:rPr>
              <w:t>Account</w:t>
            </w:r>
          </w:p>
        </w:tc>
        <w:tc>
          <w:tcPr>
            <w:tcW w:type="dxa" w:w="885"/>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Opening</w:t>
            </w:r>
          </w:p>
        </w:tc>
        <w:tc>
          <w:tcPr>
            <w:tcW w:type="dxa" w:w="101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Debit</w:t>
            </w:r>
          </w:p>
        </w:tc>
        <w:tc>
          <w:tcPr>
            <w:tcW w:type="dxa" w:w="101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Credit</w:t>
            </w:r>
          </w:p>
        </w:tc>
        <w:tc>
          <w:tcPr>
            <w:tcW w:type="dxa" w:w="1137"/>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Closing Dr</w:t>
            </w:r>
          </w:p>
        </w:tc>
        <w:tc>
          <w:tcPr>
            <w:tcW w:type="dxa" w:w="1137"/>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Closing Cr</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AP0001</w:t>
            </w:r>
          </w:p>
        </w:tc>
        <w:tc>
          <w:tcPr>
            <w:tcW w:type="dxa" w:w="3286"/>
            <w:tcMar>
              <w:top w:w="20" w:type="dxa"/>
              <w:left w:w="60" w:type="dxa"/>
              <w:bottom w:w="20" w:type="dxa"/>
              <w:right w:w="60" w:type="dxa"/>
            </w:tcMar>
            <w:vAlign w:val="top"/>
          </w:tcPr>
          <w:p>
            <w:pPr>
              <w:spacing w:after="10" w:before="0" w:line="240" w:lineRule="auto"/>
            </w:pPr>
            <w:r>
              <w:rPr>
                <w:sz w:val="17"/>
              </w:rPr>
              <w:t>Vendor - Gulf Mills</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1,050.00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1,050.00</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AP0002</w:t>
            </w:r>
          </w:p>
        </w:tc>
        <w:tc>
          <w:tcPr>
            <w:tcW w:type="dxa" w:w="3286"/>
            <w:tcMar>
              <w:top w:w="20" w:type="dxa"/>
              <w:left w:w="60" w:type="dxa"/>
              <w:bottom w:w="20" w:type="dxa"/>
              <w:right w:w="60" w:type="dxa"/>
            </w:tcMar>
            <w:vAlign w:val="top"/>
          </w:tcPr>
          <w:p>
            <w:pPr>
              <w:spacing w:after="10" w:before="0" w:line="240" w:lineRule="auto"/>
            </w:pPr>
            <w:r>
              <w:rPr>
                <w:sz w:val="17"/>
              </w:rPr>
              <w:t>Customer Advance - Al Noor</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100.00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AR0001</w:t>
            </w:r>
          </w:p>
        </w:tc>
        <w:tc>
          <w:tcPr>
            <w:tcW w:type="dxa" w:w="3286"/>
            <w:tcMar>
              <w:top w:w="20" w:type="dxa"/>
              <w:left w:w="60" w:type="dxa"/>
              <w:bottom w:w="20" w:type="dxa"/>
              <w:right w:w="60" w:type="dxa"/>
            </w:tcMar>
            <w:vAlign w:val="top"/>
          </w:tcPr>
          <w:p>
            <w:pPr>
              <w:spacing w:after="10" w:before="0" w:line="240" w:lineRule="auto"/>
            </w:pPr>
            <w:r>
              <w:rPr>
                <w:sz w:val="17"/>
              </w:rPr>
              <w:t>Customer - Al Noor</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210.00</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210.00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AR0002</w:t>
            </w:r>
          </w:p>
        </w:tc>
        <w:tc>
          <w:tcPr>
            <w:tcW w:type="dxa" w:w="3286"/>
            <w:tcMar>
              <w:top w:w="20" w:type="dxa"/>
              <w:left w:w="60" w:type="dxa"/>
              <w:bottom w:w="20" w:type="dxa"/>
              <w:right w:w="60" w:type="dxa"/>
            </w:tcMar>
            <w:vAlign w:val="top"/>
          </w:tcPr>
          <w:p>
            <w:pPr>
              <w:spacing w:after="10" w:before="0" w:line="240" w:lineRule="auto"/>
            </w:pPr>
            <w:r>
              <w:rPr>
                <w:sz w:val="17"/>
              </w:rPr>
              <w:t>Advance to Vendor - Gulf Mills</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300.00</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300.00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BANK0002</w:t>
            </w:r>
          </w:p>
        </w:tc>
        <w:tc>
          <w:tcPr>
            <w:tcW w:type="dxa" w:w="3286"/>
            <w:tcMar>
              <w:top w:w="20" w:type="dxa"/>
              <w:left w:w="60" w:type="dxa"/>
              <w:bottom w:w="20" w:type="dxa"/>
              <w:right w:w="60" w:type="dxa"/>
            </w:tcMar>
            <w:vAlign w:val="top"/>
          </w:tcPr>
          <w:p>
            <w:pPr>
              <w:spacing w:after="10" w:before="0" w:line="240" w:lineRule="auto"/>
            </w:pPr>
            <w:r>
              <w:rPr>
                <w:sz w:val="17"/>
              </w:rPr>
              <w:t>ENBD Current</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1,000.00</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1,000.00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CASH0001</w:t>
            </w:r>
          </w:p>
        </w:tc>
        <w:tc>
          <w:tcPr>
            <w:tcW w:type="dxa" w:w="3286"/>
            <w:tcMar>
              <w:top w:w="20" w:type="dxa"/>
              <w:left w:w="60" w:type="dxa"/>
              <w:bottom w:w="20" w:type="dxa"/>
              <w:right w:w="60" w:type="dxa"/>
            </w:tcMar>
            <w:vAlign w:val="top"/>
          </w:tcPr>
          <w:p>
            <w:pPr>
              <w:spacing w:after="10" w:before="0" w:line="240" w:lineRule="auto"/>
            </w:pPr>
            <w:r>
              <w:rPr>
                <w:sz w:val="17"/>
              </w:rPr>
              <w:t>Cash in Hand</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5,100.00</w:t>
            </w:r>
          </w:p>
        </w:tc>
        <w:tc>
          <w:tcPr>
            <w:tcW w:type="dxa" w:w="1011"/>
            <w:tcMar>
              <w:top w:w="20" w:type="dxa"/>
              <w:left w:w="60" w:type="dxa"/>
              <w:bottom w:w="20" w:type="dxa"/>
              <w:right w:w="60" w:type="dxa"/>
            </w:tcMar>
            <w:vAlign w:val="top"/>
          </w:tcPr>
          <w:p>
            <w:pPr>
              <w:spacing w:after="10" w:before="0" w:line="240" w:lineRule="auto"/>
              <w:jc w:val="right"/>
            </w:pPr>
            <w:r>
              <w:rPr>
                <w:sz w:val="17"/>
              </w:rPr>
              <w:t>1,510.00</w:t>
            </w:r>
          </w:p>
        </w:tc>
        <w:tc>
          <w:tcPr>
            <w:tcW w:type="dxa" w:w="1137"/>
            <w:tcMar>
              <w:top w:w="20" w:type="dxa"/>
              <w:left w:w="60" w:type="dxa"/>
              <w:bottom w:w="20" w:type="dxa"/>
              <w:right w:w="60" w:type="dxa"/>
            </w:tcMar>
            <w:vAlign w:val="top"/>
          </w:tcPr>
          <w:p>
            <w:pPr>
              <w:spacing w:after="10" w:before="0" w:line="240" w:lineRule="auto"/>
              <w:jc w:val="right"/>
            </w:pPr>
            <w:r>
              <w:rPr>
                <w:sz w:val="17"/>
              </w:rPr>
              <w:t>3,590.00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COGS0001</w:t>
            </w:r>
          </w:p>
        </w:tc>
        <w:tc>
          <w:tcPr>
            <w:tcW w:type="dxa" w:w="3286"/>
            <w:tcMar>
              <w:top w:w="20" w:type="dxa"/>
              <w:left w:w="60" w:type="dxa"/>
              <w:bottom w:w="20" w:type="dxa"/>
              <w:right w:w="60" w:type="dxa"/>
            </w:tcMar>
            <w:vAlign w:val="top"/>
          </w:tcPr>
          <w:p>
            <w:pPr>
              <w:spacing w:after="10" w:before="0" w:line="240" w:lineRule="auto"/>
            </w:pPr>
            <w:r>
              <w:rPr>
                <w:sz w:val="17"/>
              </w:rPr>
              <w:t>Cost of Goods Sold</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100.00</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100.00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EQ0003</w:t>
            </w:r>
          </w:p>
        </w:tc>
        <w:tc>
          <w:tcPr>
            <w:tcW w:type="dxa" w:w="3286"/>
            <w:tcMar>
              <w:top w:w="20" w:type="dxa"/>
              <w:left w:w="60" w:type="dxa"/>
              <w:bottom w:w="20" w:type="dxa"/>
              <w:right w:w="60" w:type="dxa"/>
            </w:tcMar>
            <w:vAlign w:val="top"/>
          </w:tcPr>
          <w:p>
            <w:pPr>
              <w:spacing w:after="10" w:before="0" w:line="240" w:lineRule="auto"/>
            </w:pPr>
            <w:r>
              <w:rPr>
                <w:sz w:val="17"/>
              </w:rPr>
              <w:t>Opening Balance Equity</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5,000.00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5,000.00</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INV0001</w:t>
            </w:r>
          </w:p>
        </w:tc>
        <w:tc>
          <w:tcPr>
            <w:tcW w:type="dxa" w:w="3286"/>
            <w:tcMar>
              <w:top w:w="20" w:type="dxa"/>
              <w:left w:w="60" w:type="dxa"/>
              <w:bottom w:w="20" w:type="dxa"/>
              <w:right w:w="60" w:type="dxa"/>
            </w:tcMar>
            <w:vAlign w:val="top"/>
          </w:tcPr>
          <w:p>
            <w:pPr>
              <w:spacing w:after="10" w:before="0" w:line="240" w:lineRule="auto"/>
            </w:pPr>
            <w:r>
              <w:rPr>
                <w:sz w:val="17"/>
              </w:rPr>
              <w:t>Inventory Stock</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1,000.00</w:t>
            </w:r>
          </w:p>
        </w:tc>
        <w:tc>
          <w:tcPr>
            <w:tcW w:type="dxa" w:w="1011"/>
            <w:tcMar>
              <w:top w:w="20" w:type="dxa"/>
              <w:left w:w="60" w:type="dxa"/>
              <w:bottom w:w="20" w:type="dxa"/>
              <w:right w:w="60" w:type="dxa"/>
            </w:tcMar>
            <w:vAlign w:val="top"/>
          </w:tcPr>
          <w:p>
            <w:pPr>
              <w:spacing w:after="10" w:before="0" w:line="240" w:lineRule="auto"/>
              <w:jc w:val="right"/>
            </w:pPr>
            <w:r>
              <w:rPr>
                <w:sz w:val="17"/>
              </w:rPr>
              <w:t>100.00</w:t>
            </w:r>
          </w:p>
        </w:tc>
        <w:tc>
          <w:tcPr>
            <w:tcW w:type="dxa" w:w="1137"/>
            <w:tcMar>
              <w:top w:w="20" w:type="dxa"/>
              <w:left w:w="60" w:type="dxa"/>
              <w:bottom w:w="20" w:type="dxa"/>
              <w:right w:w="60" w:type="dxa"/>
            </w:tcMar>
            <w:vAlign w:val="top"/>
          </w:tcPr>
          <w:p>
            <w:pPr>
              <w:spacing w:after="10" w:before="0" w:line="240" w:lineRule="auto"/>
              <w:jc w:val="right"/>
            </w:pPr>
            <w:r>
              <w:rPr>
                <w:sz w:val="17"/>
              </w:rPr>
              <w:t>900.00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OPEX0006</w:t>
            </w:r>
          </w:p>
        </w:tc>
        <w:tc>
          <w:tcPr>
            <w:tcW w:type="dxa" w:w="3286"/>
            <w:tcMar>
              <w:top w:w="20" w:type="dxa"/>
              <w:left w:w="60" w:type="dxa"/>
              <w:bottom w:w="20" w:type="dxa"/>
              <w:right w:w="60" w:type="dxa"/>
            </w:tcMar>
            <w:vAlign w:val="top"/>
          </w:tcPr>
          <w:p>
            <w:pPr>
              <w:spacing w:after="10" w:before="0" w:line="240" w:lineRule="auto"/>
            </w:pPr>
            <w:r>
              <w:rPr>
                <w:sz w:val="17"/>
              </w:rPr>
              <w:t>Rent Expense</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200.00</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200.00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SAL0001</w:t>
            </w:r>
          </w:p>
        </w:tc>
        <w:tc>
          <w:tcPr>
            <w:tcW w:type="dxa" w:w="3286"/>
            <w:tcMar>
              <w:top w:w="20" w:type="dxa"/>
              <w:left w:w="60" w:type="dxa"/>
              <w:bottom w:w="20" w:type="dxa"/>
              <w:right w:w="60" w:type="dxa"/>
            </w:tcMar>
            <w:vAlign w:val="top"/>
          </w:tcPr>
          <w:p>
            <w:pPr>
              <w:spacing w:after="10" w:before="0" w:line="240" w:lineRule="auto"/>
            </w:pPr>
            <w:r>
              <w:rPr>
                <w:sz w:val="17"/>
              </w:rPr>
              <w:t>Sales Revenue</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200.00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TAXA0001</w:t>
            </w:r>
          </w:p>
        </w:tc>
        <w:tc>
          <w:tcPr>
            <w:tcW w:type="dxa" w:w="3286"/>
            <w:tcMar>
              <w:top w:w="20" w:type="dxa"/>
              <w:left w:w="60" w:type="dxa"/>
              <w:bottom w:w="20" w:type="dxa"/>
              <w:right w:w="60" w:type="dxa"/>
            </w:tcMar>
            <w:vAlign w:val="top"/>
          </w:tcPr>
          <w:p>
            <w:pPr>
              <w:spacing w:after="10" w:before="0" w:line="240" w:lineRule="auto"/>
            </w:pPr>
            <w:r>
              <w:rPr>
                <w:sz w:val="17"/>
              </w:rPr>
              <w:t>Input VAT</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60.00</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60.00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r>
      <w:tr>
        <w:trPr>
          <w:cantSplit w:val="true"/>
        </w:trPr>
        <w:tc>
          <w:tcPr>
            <w:tcW w:type="dxa" w:w="1137"/>
            <w:tcMar>
              <w:top w:w="20" w:type="dxa"/>
              <w:left w:w="60" w:type="dxa"/>
              <w:bottom w:w="20" w:type="dxa"/>
              <w:right w:w="60" w:type="dxa"/>
            </w:tcMar>
            <w:vAlign w:val="top"/>
          </w:tcPr>
          <w:p>
            <w:pPr>
              <w:spacing w:after="10" w:before="0" w:line="240" w:lineRule="auto"/>
            </w:pPr>
            <w:r>
              <w:rPr>
                <w:sz w:val="17"/>
              </w:rPr>
              <w:t>TAXL0001</w:t>
            </w:r>
          </w:p>
        </w:tc>
        <w:tc>
          <w:tcPr>
            <w:tcW w:type="dxa" w:w="3286"/>
            <w:tcMar>
              <w:top w:w="20" w:type="dxa"/>
              <w:left w:w="60" w:type="dxa"/>
              <w:bottom w:w="20" w:type="dxa"/>
              <w:right w:w="60" w:type="dxa"/>
            </w:tcMar>
            <w:vAlign w:val="top"/>
          </w:tcPr>
          <w:p>
            <w:pPr>
              <w:spacing w:after="10" w:before="0" w:line="240" w:lineRule="auto"/>
            </w:pPr>
            <w:r>
              <w:rPr>
                <w:sz w:val="17"/>
              </w:rPr>
              <w:t>Output VAT</w:t>
            </w:r>
          </w:p>
        </w:tc>
        <w:tc>
          <w:tcPr>
            <w:tcW w:type="dxa" w:w="885"/>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w:t>
            </w:r>
          </w:p>
        </w:tc>
        <w:tc>
          <w:tcPr>
            <w:tcW w:type="dxa" w:w="1011"/>
            <w:tcMar>
              <w:top w:w="20" w:type="dxa"/>
              <w:left w:w="60" w:type="dxa"/>
              <w:bottom w:w="20" w:type="dxa"/>
              <w:right w:w="60" w:type="dxa"/>
            </w:tcMar>
            <w:vAlign w:val="top"/>
          </w:tcPr>
          <w:p>
            <w:pPr>
              <w:spacing w:after="10" w:before="0" w:line="240" w:lineRule="auto"/>
              <w:jc w:val="right"/>
            </w:pPr>
            <w:r>
              <w:rPr>
                <w:sz w:val="17"/>
              </w:rPr>
              <w:t>10.00</w:t>
            </w:r>
          </w:p>
        </w:tc>
        <w:tc>
          <w:tcPr>
            <w:tcW w:type="dxa" w:w="1137"/>
            <w:tcMar>
              <w:top w:w="20" w:type="dxa"/>
              <w:left w:w="60" w:type="dxa"/>
              <w:bottom w:w="20" w:type="dxa"/>
              <w:right w:w="60" w:type="dxa"/>
            </w:tcMar>
            <w:vAlign w:val="top"/>
          </w:tcPr>
          <w:p>
            <w:pPr>
              <w:spacing w:after="10" w:before="0" w:line="240" w:lineRule="auto"/>
              <w:jc w:val="right"/>
            </w:pPr>
            <w:r>
              <w:rPr>
                <w:sz w:val="17"/>
              </w:rPr>
              <w:t>-</w:t>
            </w:r>
          </w:p>
        </w:tc>
        <w:tc>
          <w:tcPr>
            <w:tcW w:type="dxa" w:w="1137"/>
            <w:tcMar>
              <w:top w:w="20" w:type="dxa"/>
              <w:left w:w="60" w:type="dxa"/>
              <w:bottom w:w="20" w:type="dxa"/>
              <w:right w:w="60" w:type="dxa"/>
            </w:tcMar>
            <w:vAlign w:val="top"/>
          </w:tcPr>
          <w:p>
            <w:pPr>
              <w:spacing w:after="10" w:before="0" w:line="240" w:lineRule="auto"/>
              <w:jc w:val="right"/>
            </w:pPr>
            <w:r>
              <w:rPr>
                <w:sz w:val="17"/>
              </w:rPr>
              <w:t>10.00</w:t>
            </w:r>
          </w:p>
        </w:tc>
      </w:tr>
      <w:tr>
        <w:trPr>
          <w:cantSplit w:val="true"/>
        </w:trPr>
        <w:tc>
          <w:tcPr>
            <w:tcW w:type="dxa" w:w="1137"/>
            <w:tcMar>
              <w:top w:w="20" w:type="dxa"/>
              <w:left w:w="60" w:type="dxa"/>
              <w:bottom w:w="20" w:type="dxa"/>
              <w:right w:w="60" w:type="dxa"/>
            </w:tcMar>
            <w:vAlign w:val="top"/>
            <w:shd w:val="clear" w:color="auto" w:fill="E9EDF3"/>
          </w:tcPr>
          <w:p>
            <w:pPr>
              <w:spacing w:after="10" w:before="0" w:line="240" w:lineRule="auto"/>
            </w:pPr>
          </w:p>
        </w:tc>
        <w:tc>
          <w:tcPr>
            <w:tcW w:type="dxa" w:w="3286"/>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885"/>
            <w:tcMar>
              <w:top w:w="20" w:type="dxa"/>
              <w:left w:w="60" w:type="dxa"/>
              <w:bottom w:w="20" w:type="dxa"/>
              <w:right w:w="60" w:type="dxa"/>
            </w:tcMar>
            <w:vAlign w:val="top"/>
            <w:shd w:val="clear" w:color="auto" w:fill="E9EDF3"/>
          </w:tcPr>
          <w:p>
            <w:pPr>
              <w:spacing w:after="10" w:before="0" w:line="240" w:lineRule="auto"/>
              <w:jc w:val="right"/>
            </w:pPr>
          </w:p>
        </w:tc>
        <w:tc>
          <w:tcPr>
            <w:tcW w:type="dxa" w:w="1011"/>
            <w:tcMar>
              <w:top w:w="20" w:type="dxa"/>
              <w:left w:w="60" w:type="dxa"/>
              <w:bottom w:w="20" w:type="dxa"/>
              <w:right w:w="60" w:type="dxa"/>
            </w:tcMar>
            <w:vAlign w:val="top"/>
            <w:shd w:val="clear" w:color="auto" w:fill="E9EDF3"/>
          </w:tcPr>
          <w:p>
            <w:pPr>
              <w:spacing w:after="10" w:before="0" w:line="240" w:lineRule="auto"/>
              <w:jc w:val="right"/>
            </w:pPr>
            <w:r>
              <w:rPr>
                <w:b/>
                <w:sz w:val="17"/>
              </w:rPr>
              <w:t>7,970.00</w:t>
            </w:r>
          </w:p>
        </w:tc>
        <w:tc>
          <w:tcPr>
            <w:tcW w:type="dxa" w:w="1011"/>
            <w:tcMar>
              <w:top w:w="20" w:type="dxa"/>
              <w:left w:w="60" w:type="dxa"/>
              <w:bottom w:w="20" w:type="dxa"/>
              <w:right w:w="60" w:type="dxa"/>
            </w:tcMar>
            <w:vAlign w:val="top"/>
            <w:shd w:val="clear" w:color="auto" w:fill="E9EDF3"/>
          </w:tcPr>
          <w:p>
            <w:pPr>
              <w:spacing w:after="10" w:before="0" w:line="240" w:lineRule="auto"/>
              <w:jc w:val="right"/>
            </w:pPr>
            <w:r>
              <w:rPr>
                <w:b/>
                <w:sz w:val="17"/>
              </w:rPr>
              <w:t>7,970.00</w:t>
            </w:r>
          </w:p>
        </w:tc>
        <w:tc>
          <w:tcPr>
            <w:tcW w:type="dxa" w:w="1137"/>
            <w:tcMar>
              <w:top w:w="20" w:type="dxa"/>
              <w:left w:w="60" w:type="dxa"/>
              <w:bottom w:w="20" w:type="dxa"/>
              <w:right w:w="60" w:type="dxa"/>
            </w:tcMar>
            <w:vAlign w:val="top"/>
            <w:shd w:val="clear" w:color="auto" w:fill="E9EDF3"/>
          </w:tcPr>
          <w:p>
            <w:pPr>
              <w:spacing w:after="10" w:before="0" w:line="240" w:lineRule="auto"/>
              <w:jc w:val="right"/>
            </w:pPr>
            <w:r>
              <w:rPr>
                <w:b/>
                <w:sz w:val="17"/>
              </w:rPr>
              <w:t>6,360.00</w:t>
            </w:r>
          </w:p>
        </w:tc>
        <w:tc>
          <w:tcPr>
            <w:tcW w:type="dxa" w:w="1137"/>
            <w:tcMar>
              <w:top w:w="20" w:type="dxa"/>
              <w:left w:w="60" w:type="dxa"/>
              <w:bottom w:w="20" w:type="dxa"/>
              <w:right w:w="60" w:type="dxa"/>
            </w:tcMar>
            <w:vAlign w:val="top"/>
            <w:shd w:val="clear" w:color="auto" w:fill="E9EDF3"/>
          </w:tcPr>
          <w:p>
            <w:pPr>
              <w:spacing w:after="10" w:before="0" w:line="240" w:lineRule="auto"/>
              <w:jc w:val="right"/>
            </w:pPr>
            <w:r>
              <w:rPr>
                <w:b/>
                <w:sz w:val="17"/>
              </w:rPr>
              <w:t>6,360.00</w:t>
            </w:r>
          </w:p>
        </w:tc>
      </w:tr>
    </w:tbl>
    <w:p>
      <w:pPr>
        <w:spacing w:after="0" w:before="0"/>
        <w:rPr>
          <w:sz w:val="6"/>
        </w:rPr>
      </w:pPr>
    </w:p>
    <w:p>
      <w:r>
        <w:t>Debits equal credits (7,970.00 in the period, 6,360.00 in the closing positions), so the 'In balance' flag is set. Test cross-check: Cash in Hand closes at 3,590.00 (5,000 + 100 - 300 - 210 - 1,000) and ENBD Current at 1,000.00 (ledgerReports.test.js).</w:t>
      </w:r>
    </w:p>
    <w:p>
      <w:pPr>
        <w:pStyle w:val="Heading2"/>
      </w:pPr>
      <w:r>
        <w:t>6.3 Profit and loss with gross profit</w:t>
      </w:r>
    </w:p>
    <w:p>
      <w:pPr>
        <w:pStyle w:val="Caption"/>
      </w:pPr>
      <w:r>
        <w:t>Table 58. Profit and loss, September 2026 (test: revenue 200, direct costs 100, gross profit 100, margin 50, operating expenses 200, net profit -100)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328"/>
        <w:gridCol w:w="5530"/>
        <w:gridCol w:w="1746"/>
      </w:tblGrid>
      <w:tr>
        <w:trPr>
          <w:tblHeader w:val="true"/>
          <w:cantSplit w:val="true"/>
        </w:trPr>
        <w:tc>
          <w:tcPr>
            <w:tcW w:type="dxa" w:w="2328"/>
            <w:shd w:val="clear" w:color="auto" w:fill="1F3A5F"/>
            <w:tcMar>
              <w:top w:w="20" w:type="dxa"/>
              <w:left w:w="60" w:type="dxa"/>
              <w:bottom w:w="20" w:type="dxa"/>
              <w:right w:w="60" w:type="dxa"/>
            </w:tcMar>
            <w:vAlign w:val="center"/>
          </w:tcPr>
          <w:p>
            <w:pPr>
              <w:spacing w:after="10" w:before="0" w:line="240" w:lineRule="auto"/>
            </w:pPr>
            <w:r>
              <w:rPr>
                <w:b/>
                <w:color w:val="FFFFFF"/>
                <w:sz w:val="17"/>
              </w:rPr>
              <w:t>Line</w:t>
            </w:r>
          </w:p>
        </w:tc>
        <w:tc>
          <w:tcPr>
            <w:tcW w:type="dxa" w:w="5530"/>
            <w:shd w:val="clear" w:color="auto" w:fill="1F3A5F"/>
            <w:tcMar>
              <w:top w:w="20" w:type="dxa"/>
              <w:left w:w="60" w:type="dxa"/>
              <w:bottom w:w="20" w:type="dxa"/>
              <w:right w:w="60" w:type="dxa"/>
            </w:tcMar>
            <w:vAlign w:val="center"/>
          </w:tcPr>
          <w:p>
            <w:pPr>
              <w:spacing w:after="10" w:before="0" w:line="240" w:lineRule="auto"/>
            </w:pPr>
            <w:r>
              <w:rPr>
                <w:b/>
                <w:color w:val="FFFFFF"/>
                <w:sz w:val="17"/>
              </w:rPr>
              <w:t>Accounts</w:t>
            </w:r>
          </w:p>
        </w:tc>
        <w:tc>
          <w:tcPr>
            <w:tcW w:type="dxa" w:w="1746"/>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Amount (AED)</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Revenue</w:t>
            </w:r>
          </w:p>
        </w:tc>
        <w:tc>
          <w:tcPr>
            <w:tcW w:type="dxa" w:w="5530"/>
            <w:tcMar>
              <w:top w:w="20" w:type="dxa"/>
              <w:left w:w="60" w:type="dxa"/>
              <w:bottom w:w="20" w:type="dxa"/>
              <w:right w:w="60" w:type="dxa"/>
            </w:tcMar>
            <w:vAlign w:val="top"/>
          </w:tcPr>
          <w:p>
            <w:pPr>
              <w:spacing w:after="10" w:before="0" w:line="240" w:lineRule="auto"/>
            </w:pPr>
            <w:r>
              <w:rPr>
                <w:sz w:val="17"/>
              </w:rPr>
              <w:t>Sales Revenue (credit 200.00)</w:t>
            </w:r>
          </w:p>
        </w:tc>
        <w:tc>
          <w:tcPr>
            <w:tcW w:type="dxa" w:w="1746"/>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Direct costs</w:t>
            </w:r>
          </w:p>
        </w:tc>
        <w:tc>
          <w:tcPr>
            <w:tcW w:type="dxa" w:w="5530"/>
            <w:tcMar>
              <w:top w:w="20" w:type="dxa"/>
              <w:left w:w="60" w:type="dxa"/>
              <w:bottom w:w="20" w:type="dxa"/>
              <w:right w:w="60" w:type="dxa"/>
            </w:tcMar>
            <w:vAlign w:val="top"/>
          </w:tcPr>
          <w:p>
            <w:pPr>
              <w:spacing w:after="10" w:before="0" w:line="240" w:lineRule="auto"/>
            </w:pPr>
            <w:r>
              <w:rPr>
                <w:sz w:val="17"/>
              </w:rPr>
              <w:t>Cost of Goods Sold (debit 100.00: 10 bags at 10.00)</w:t>
            </w:r>
          </w:p>
        </w:tc>
        <w:tc>
          <w:tcPr>
            <w:tcW w:type="dxa" w:w="1746"/>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2328"/>
            <w:tcMar>
              <w:top w:w="20" w:type="dxa"/>
              <w:left w:w="60" w:type="dxa"/>
              <w:bottom w:w="20" w:type="dxa"/>
              <w:right w:w="60" w:type="dxa"/>
            </w:tcMar>
            <w:vAlign w:val="top"/>
          </w:tcPr>
          <w:p>
            <w:pPr>
              <w:spacing w:after="10" w:before="0" w:line="240" w:lineRule="auto"/>
            </w:pPr>
            <w:r>
              <w:rPr>
                <w:b/>
                <w:sz w:val="17"/>
              </w:rPr>
              <w:t>Gross profit</w:t>
            </w:r>
          </w:p>
        </w:tc>
        <w:tc>
          <w:tcPr>
            <w:tcW w:type="dxa" w:w="5530"/>
            <w:tcMar>
              <w:top w:w="20" w:type="dxa"/>
              <w:left w:w="60" w:type="dxa"/>
              <w:bottom w:w="20" w:type="dxa"/>
              <w:right w:w="60" w:type="dxa"/>
            </w:tcMar>
            <w:vAlign w:val="top"/>
          </w:tcPr>
          <w:p>
            <w:pPr>
              <w:spacing w:after="10" w:before="0" w:line="240" w:lineRule="auto"/>
            </w:pPr>
            <w:r>
              <w:rPr>
                <w:sz w:val="17"/>
              </w:rPr>
              <w:t>Revenue - Direct costs; gross margin 100.00 / 200.00 = 50.00 percent</w:t>
            </w:r>
          </w:p>
        </w:tc>
        <w:tc>
          <w:tcPr>
            <w:tcW w:type="dxa" w:w="1746"/>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Other income</w:t>
            </w:r>
          </w:p>
        </w:tc>
        <w:tc>
          <w:tcPr>
            <w:tcW w:type="dxa" w:w="5530"/>
            <w:tcMar>
              <w:top w:w="20" w:type="dxa"/>
              <w:left w:w="60" w:type="dxa"/>
              <w:bottom w:w="20" w:type="dxa"/>
              <w:right w:w="60" w:type="dxa"/>
            </w:tcMar>
            <w:vAlign w:val="top"/>
          </w:tcPr>
          <w:p>
            <w:pPr>
              <w:spacing w:after="10" w:before="0" w:line="240" w:lineRule="auto"/>
            </w:pPr>
            <w:r>
              <w:rPr>
                <w:sz w:val="17"/>
              </w:rPr>
              <w:t>none</w:t>
            </w:r>
          </w:p>
        </w:tc>
        <w:tc>
          <w:tcPr>
            <w:tcW w:type="dxa" w:w="1746"/>
            <w:tcMar>
              <w:top w:w="20" w:type="dxa"/>
              <w:left w:w="60" w:type="dxa"/>
              <w:bottom w:w="20" w:type="dxa"/>
              <w:right w:w="60" w:type="dxa"/>
            </w:tcMar>
            <w:vAlign w:val="top"/>
          </w:tcPr>
          <w:p>
            <w:pPr>
              <w:spacing w:after="10" w:before="0" w:line="240" w:lineRule="auto"/>
              <w:jc w:val="right"/>
            </w:pPr>
            <w:r>
              <w:rPr>
                <w:sz w:val="17"/>
              </w:rPr>
              <w:t>0.00</w:t>
            </w:r>
          </w:p>
        </w:tc>
      </w:tr>
      <w:tr>
        <w:trPr>
          <w:cantSplit w:val="true"/>
        </w:trPr>
        <w:tc>
          <w:tcPr>
            <w:tcW w:type="dxa" w:w="2328"/>
            <w:tcMar>
              <w:top w:w="20" w:type="dxa"/>
              <w:left w:w="60" w:type="dxa"/>
              <w:bottom w:w="20" w:type="dxa"/>
              <w:right w:w="60" w:type="dxa"/>
            </w:tcMar>
            <w:vAlign w:val="top"/>
          </w:tcPr>
          <w:p>
            <w:pPr>
              <w:spacing w:after="10" w:before="0" w:line="240" w:lineRule="auto"/>
            </w:pPr>
            <w:r>
              <w:rPr>
                <w:sz w:val="17"/>
              </w:rPr>
              <w:t>Operating expenses</w:t>
            </w:r>
          </w:p>
        </w:tc>
        <w:tc>
          <w:tcPr>
            <w:tcW w:type="dxa" w:w="5530"/>
            <w:tcMar>
              <w:top w:w="20" w:type="dxa"/>
              <w:left w:w="60" w:type="dxa"/>
              <w:bottom w:w="20" w:type="dxa"/>
              <w:right w:w="60" w:type="dxa"/>
            </w:tcMar>
            <w:vAlign w:val="top"/>
          </w:tcPr>
          <w:p>
            <w:pPr>
              <w:spacing w:after="10" w:before="0" w:line="240" w:lineRule="auto"/>
            </w:pPr>
            <w:r>
              <w:rPr>
                <w:sz w:val="17"/>
              </w:rPr>
              <w:t>Rent Expense (debit 200.00)</w:t>
            </w:r>
          </w:p>
        </w:tc>
        <w:tc>
          <w:tcPr>
            <w:tcW w:type="dxa" w:w="1746"/>
            <w:tcMar>
              <w:top w:w="20" w:type="dxa"/>
              <w:left w:w="60" w:type="dxa"/>
              <w:bottom w:w="20" w:type="dxa"/>
              <w:right w:w="60" w:type="dxa"/>
            </w:tcMar>
            <w:vAlign w:val="top"/>
          </w:tcPr>
          <w:p>
            <w:pPr>
              <w:spacing w:after="10" w:before="0" w:line="240" w:lineRule="auto"/>
              <w:jc w:val="right"/>
            </w:pPr>
            <w:r>
              <w:rPr>
                <w:sz w:val="17"/>
              </w:rPr>
              <w:t>200.00</w:t>
            </w:r>
          </w:p>
        </w:tc>
      </w:tr>
      <w:tr>
        <w:trPr>
          <w:cantSplit w:val="true"/>
        </w:trPr>
        <w:tc>
          <w:tcPr>
            <w:tcW w:type="dxa" w:w="2328"/>
            <w:tcMar>
              <w:top w:w="20" w:type="dxa"/>
              <w:left w:w="60" w:type="dxa"/>
              <w:bottom w:w="20" w:type="dxa"/>
              <w:right w:w="60" w:type="dxa"/>
            </w:tcMar>
            <w:vAlign w:val="top"/>
            <w:shd w:val="clear" w:color="auto" w:fill="E9EDF3"/>
          </w:tcPr>
          <w:p>
            <w:pPr>
              <w:spacing w:after="10" w:before="0" w:line="240" w:lineRule="auto"/>
            </w:pPr>
            <w:r>
              <w:rPr>
                <w:b/>
                <w:sz w:val="17"/>
              </w:rPr>
              <w:t>Net profit</w:t>
            </w:r>
          </w:p>
        </w:tc>
        <w:tc>
          <w:tcPr>
            <w:tcW w:type="dxa" w:w="5530"/>
            <w:tcMar>
              <w:top w:w="20" w:type="dxa"/>
              <w:left w:w="60" w:type="dxa"/>
              <w:bottom w:w="20" w:type="dxa"/>
              <w:right w:w="60" w:type="dxa"/>
            </w:tcMar>
            <w:vAlign w:val="top"/>
            <w:shd w:val="clear" w:color="auto" w:fill="E9EDF3"/>
          </w:tcPr>
          <w:p>
            <w:pPr>
              <w:spacing w:after="10" w:before="0" w:line="240" w:lineRule="auto"/>
            </w:pPr>
            <w:r>
              <w:rPr>
                <w:b/>
                <w:sz w:val="17"/>
              </w:rPr>
              <w:t>Gross profit + Other income - Operating expenses = 100.00 + 0.00 - 200.00</w:t>
            </w:r>
          </w:p>
        </w:tc>
        <w:tc>
          <w:tcPr>
            <w:tcW w:type="dxa" w:w="1746"/>
            <w:tcMar>
              <w:top w:w="20" w:type="dxa"/>
              <w:left w:w="60" w:type="dxa"/>
              <w:bottom w:w="20" w:type="dxa"/>
              <w:right w:w="60" w:type="dxa"/>
            </w:tcMar>
            <w:vAlign w:val="top"/>
            <w:shd w:val="clear" w:color="auto" w:fill="E9EDF3"/>
          </w:tcPr>
          <w:p>
            <w:pPr>
              <w:spacing w:after="10" w:before="0" w:line="240" w:lineRule="auto"/>
              <w:jc w:val="right"/>
            </w:pPr>
            <w:r>
              <w:rPr>
                <w:b/>
                <w:sz w:val="17"/>
              </w:rPr>
              <w:t>-100.00</w:t>
            </w:r>
          </w:p>
        </w:tc>
      </w:tr>
    </w:tbl>
    <w:p>
      <w:pPr>
        <w:spacing w:after="0" w:before="0"/>
        <w:rPr>
          <w:sz w:val="6"/>
        </w:rPr>
      </w:pPr>
    </w:p>
    <w:p>
      <w:r>
        <w:t>The input VAT on the rent (10.00) is not an expense: it went to Input VAT. The loss of 100.00 comes from the rent being larger than the margin on one small sale.</w:t>
      </w:r>
    </w:p>
    <w:p>
      <w:pPr>
        <w:pStyle w:val="Heading2"/>
      </w:pPr>
      <w:r>
        <w:t>6.4 Balance sheet at 30 September</w:t>
      </w:r>
    </w:p>
    <w:p>
      <w:pPr>
        <w:pStyle w:val="Caption"/>
      </w:pPr>
      <w:r>
        <w:t>Table 59. Balance sheet (assets 6,060.00 = liabilities and equity 6,060.00)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619"/>
        <w:gridCol w:w="5238"/>
        <w:gridCol w:w="1746"/>
      </w:tblGrid>
      <w:tr>
        <w:trPr>
          <w:tblHeader w:val="true"/>
          <w:cantSplit w:val="true"/>
        </w:trPr>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Section</w:t>
            </w:r>
          </w:p>
        </w:tc>
        <w:tc>
          <w:tcPr>
            <w:tcW w:type="dxa" w:w="5239"/>
            <w:shd w:val="clear" w:color="auto" w:fill="1F3A5F"/>
            <w:tcMar>
              <w:top w:w="20" w:type="dxa"/>
              <w:left w:w="60" w:type="dxa"/>
              <w:bottom w:w="20" w:type="dxa"/>
              <w:right w:w="60" w:type="dxa"/>
            </w:tcMar>
            <w:vAlign w:val="center"/>
          </w:tcPr>
          <w:p>
            <w:pPr>
              <w:spacing w:after="10" w:before="0" w:line="240" w:lineRule="auto"/>
            </w:pPr>
            <w:r>
              <w:rPr>
                <w:b/>
                <w:color w:val="FFFFFF"/>
                <w:sz w:val="17"/>
              </w:rPr>
              <w:t>Accounts</w:t>
            </w:r>
          </w:p>
        </w:tc>
        <w:tc>
          <w:tcPr>
            <w:tcW w:type="dxa" w:w="1746"/>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Amount (AED)</w:t>
            </w:r>
          </w:p>
        </w:tc>
      </w:tr>
      <w:tr>
        <w:trPr>
          <w:cantSplit w:val="true"/>
        </w:trPr>
        <w:tc>
          <w:tcPr>
            <w:tcW w:type="dxa" w:w="2619"/>
            <w:tcMar>
              <w:top w:w="20" w:type="dxa"/>
              <w:left w:w="60" w:type="dxa"/>
              <w:bottom w:w="20" w:type="dxa"/>
              <w:right w:w="60" w:type="dxa"/>
            </w:tcMar>
            <w:vAlign w:val="top"/>
          </w:tcPr>
          <w:p>
            <w:pPr>
              <w:spacing w:after="10" w:before="0" w:line="240" w:lineRule="auto"/>
            </w:pPr>
            <w:r>
              <w:rPr>
                <w:sz w:val="17"/>
              </w:rPr>
              <w:t>Assets</w:t>
            </w:r>
          </w:p>
        </w:tc>
        <w:tc>
          <w:tcPr>
            <w:tcW w:type="dxa" w:w="5239"/>
            <w:tcMar>
              <w:top w:w="20" w:type="dxa"/>
              <w:left w:w="60" w:type="dxa"/>
              <w:bottom w:w="20" w:type="dxa"/>
              <w:right w:w="60" w:type="dxa"/>
            </w:tcMar>
            <w:vAlign w:val="top"/>
          </w:tcPr>
          <w:p>
            <w:pPr>
              <w:spacing w:after="10" w:before="0" w:line="240" w:lineRule="auto"/>
            </w:pPr>
            <w:r>
              <w:rPr>
                <w:sz w:val="17"/>
              </w:rPr>
              <w:t>Cash in Hand 3,590.00; ENBD Current 1,000.00; Inventory Stock 900.00; Input VAT 60.00; Customer - Al Noor 210.00; Advance to Vendor - Gulf Mills 300.00</w:t>
            </w:r>
          </w:p>
        </w:tc>
        <w:tc>
          <w:tcPr>
            <w:tcW w:type="dxa" w:w="1746"/>
            <w:tcMar>
              <w:top w:w="20" w:type="dxa"/>
              <w:left w:w="60" w:type="dxa"/>
              <w:bottom w:w="20" w:type="dxa"/>
              <w:right w:w="60" w:type="dxa"/>
            </w:tcMar>
            <w:vAlign w:val="top"/>
          </w:tcPr>
          <w:p>
            <w:pPr>
              <w:spacing w:after="10" w:before="0" w:line="240" w:lineRule="auto"/>
              <w:jc w:val="right"/>
            </w:pPr>
            <w:r>
              <w:rPr>
                <w:sz w:val="17"/>
              </w:rPr>
              <w:t>6,060.00</w:t>
            </w:r>
          </w:p>
        </w:tc>
      </w:tr>
      <w:tr>
        <w:trPr>
          <w:cantSplit w:val="true"/>
        </w:trPr>
        <w:tc>
          <w:tcPr>
            <w:tcW w:type="dxa" w:w="2619"/>
            <w:tcMar>
              <w:top w:w="20" w:type="dxa"/>
              <w:left w:w="60" w:type="dxa"/>
              <w:bottom w:w="20" w:type="dxa"/>
              <w:right w:w="60" w:type="dxa"/>
            </w:tcMar>
            <w:vAlign w:val="top"/>
          </w:tcPr>
          <w:p>
            <w:pPr>
              <w:spacing w:after="10" w:before="0" w:line="240" w:lineRule="auto"/>
            </w:pPr>
            <w:r>
              <w:rPr>
                <w:sz w:val="17"/>
              </w:rPr>
              <w:t>Liabilities</w:t>
            </w:r>
          </w:p>
        </w:tc>
        <w:tc>
          <w:tcPr>
            <w:tcW w:type="dxa" w:w="5239"/>
            <w:tcMar>
              <w:top w:w="20" w:type="dxa"/>
              <w:left w:w="60" w:type="dxa"/>
              <w:bottom w:w="20" w:type="dxa"/>
              <w:right w:w="60" w:type="dxa"/>
            </w:tcMar>
            <w:vAlign w:val="top"/>
          </w:tcPr>
          <w:p>
            <w:pPr>
              <w:spacing w:after="10" w:before="0" w:line="240" w:lineRule="auto"/>
            </w:pPr>
            <w:r>
              <w:rPr>
                <w:sz w:val="17"/>
              </w:rPr>
              <w:t>Vendor - Gulf Mills 1,050.00; Customer Advance - Al Noor 100.00; Output VAT 10.00</w:t>
            </w:r>
          </w:p>
        </w:tc>
        <w:tc>
          <w:tcPr>
            <w:tcW w:type="dxa" w:w="1746"/>
            <w:tcMar>
              <w:top w:w="20" w:type="dxa"/>
              <w:left w:w="60" w:type="dxa"/>
              <w:bottom w:w="20" w:type="dxa"/>
              <w:right w:w="60" w:type="dxa"/>
            </w:tcMar>
            <w:vAlign w:val="top"/>
          </w:tcPr>
          <w:p>
            <w:pPr>
              <w:spacing w:after="10" w:before="0" w:line="240" w:lineRule="auto"/>
              <w:jc w:val="right"/>
            </w:pPr>
            <w:r>
              <w:rPr>
                <w:sz w:val="17"/>
              </w:rPr>
              <w:t>1,160.00</w:t>
            </w:r>
          </w:p>
        </w:tc>
      </w:tr>
      <w:tr>
        <w:trPr>
          <w:cantSplit w:val="true"/>
        </w:trPr>
        <w:tc>
          <w:tcPr>
            <w:tcW w:type="dxa" w:w="2619"/>
            <w:tcMar>
              <w:top w:w="20" w:type="dxa"/>
              <w:left w:w="60" w:type="dxa"/>
              <w:bottom w:w="20" w:type="dxa"/>
              <w:right w:w="60" w:type="dxa"/>
            </w:tcMar>
            <w:vAlign w:val="top"/>
          </w:tcPr>
          <w:p>
            <w:pPr>
              <w:spacing w:after="10" w:before="0" w:line="240" w:lineRule="auto"/>
            </w:pPr>
            <w:r>
              <w:rPr>
                <w:sz w:val="17"/>
              </w:rPr>
              <w:t>Equity</w:t>
            </w:r>
          </w:p>
        </w:tc>
        <w:tc>
          <w:tcPr>
            <w:tcW w:type="dxa" w:w="5239"/>
            <w:tcMar>
              <w:top w:w="20" w:type="dxa"/>
              <w:left w:w="60" w:type="dxa"/>
              <w:bottom w:w="20" w:type="dxa"/>
              <w:right w:w="60" w:type="dxa"/>
            </w:tcMar>
            <w:vAlign w:val="top"/>
          </w:tcPr>
          <w:p>
            <w:pPr>
              <w:spacing w:after="10" w:before="0" w:line="240" w:lineRule="auto"/>
            </w:pPr>
            <w:r>
              <w:rPr>
                <w:sz w:val="17"/>
              </w:rPr>
              <w:t>Opening Balance Equity 5,000.00</w:t>
            </w:r>
          </w:p>
        </w:tc>
        <w:tc>
          <w:tcPr>
            <w:tcW w:type="dxa" w:w="1746"/>
            <w:tcMar>
              <w:top w:w="20" w:type="dxa"/>
              <w:left w:w="60" w:type="dxa"/>
              <w:bottom w:w="20" w:type="dxa"/>
              <w:right w:w="60" w:type="dxa"/>
            </w:tcMar>
            <w:vAlign w:val="top"/>
          </w:tcPr>
          <w:p>
            <w:pPr>
              <w:spacing w:after="10" w:before="0" w:line="240" w:lineRule="auto"/>
              <w:jc w:val="right"/>
            </w:pPr>
            <w:r>
              <w:rPr>
                <w:sz w:val="17"/>
              </w:rPr>
              <w:t>5,000.00</w:t>
            </w:r>
          </w:p>
        </w:tc>
      </w:tr>
      <w:tr>
        <w:trPr>
          <w:cantSplit w:val="true"/>
        </w:trPr>
        <w:tc>
          <w:tcPr>
            <w:tcW w:type="dxa" w:w="2619"/>
            <w:tcMar>
              <w:top w:w="20" w:type="dxa"/>
              <w:left w:w="60" w:type="dxa"/>
              <w:bottom w:w="20" w:type="dxa"/>
              <w:right w:w="60" w:type="dxa"/>
            </w:tcMar>
            <w:vAlign w:val="top"/>
          </w:tcPr>
          <w:p>
            <w:pPr>
              <w:spacing w:after="10" w:before="0" w:line="240" w:lineRule="auto"/>
            </w:pPr>
            <w:r>
              <w:rPr>
                <w:sz w:val="17"/>
              </w:rPr>
              <w:t>Profit to date (inside equity)</w:t>
            </w:r>
          </w:p>
        </w:tc>
        <w:tc>
          <w:tcPr>
            <w:tcW w:type="dxa" w:w="5239"/>
            <w:tcMar>
              <w:top w:w="20" w:type="dxa"/>
              <w:left w:w="60" w:type="dxa"/>
              <w:bottom w:w="20" w:type="dxa"/>
              <w:right w:w="60" w:type="dxa"/>
            </w:tcMar>
            <w:vAlign w:val="top"/>
          </w:tcPr>
          <w:p>
            <w:pPr>
              <w:spacing w:after="10" w:before="0" w:line="240" w:lineRule="auto"/>
            </w:pPr>
            <w:r>
              <w:rPr>
                <w:sz w:val="17"/>
              </w:rPr>
              <w:t>Income 200.00 - expenses 300.00</w:t>
            </w:r>
          </w:p>
        </w:tc>
        <w:tc>
          <w:tcPr>
            <w:tcW w:type="dxa" w:w="1746"/>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2619"/>
            <w:tcMar>
              <w:top w:w="20" w:type="dxa"/>
              <w:left w:w="60" w:type="dxa"/>
              <w:bottom w:w="20" w:type="dxa"/>
              <w:right w:w="60" w:type="dxa"/>
            </w:tcMar>
            <w:vAlign w:val="top"/>
            <w:shd w:val="clear" w:color="auto" w:fill="E9EDF3"/>
          </w:tcPr>
          <w:p>
            <w:pPr>
              <w:spacing w:after="10" w:before="0" w:line="240" w:lineRule="auto"/>
            </w:pPr>
            <w:r>
              <w:rPr>
                <w:b/>
                <w:sz w:val="17"/>
              </w:rPr>
              <w:t>Total liabilities and equity</w:t>
            </w:r>
          </w:p>
        </w:tc>
        <w:tc>
          <w:tcPr>
            <w:tcW w:type="dxa" w:w="5239"/>
            <w:tcMar>
              <w:top w:w="20" w:type="dxa"/>
              <w:left w:w="60" w:type="dxa"/>
              <w:bottom w:w="20" w:type="dxa"/>
              <w:right w:w="60" w:type="dxa"/>
            </w:tcMar>
            <w:vAlign w:val="top"/>
            <w:shd w:val="clear" w:color="auto" w:fill="E9EDF3"/>
          </w:tcPr>
          <w:p>
            <w:pPr>
              <w:spacing w:after="10" w:before="0" w:line="240" w:lineRule="auto"/>
            </w:pPr>
            <w:r>
              <w:rPr>
                <w:b/>
                <w:sz w:val="17"/>
              </w:rPr>
              <w:t>1,160.00 + 5,000.00 - 100.00</w:t>
            </w:r>
          </w:p>
        </w:tc>
        <w:tc>
          <w:tcPr>
            <w:tcW w:type="dxa" w:w="1746"/>
            <w:tcMar>
              <w:top w:w="20" w:type="dxa"/>
              <w:left w:w="60" w:type="dxa"/>
              <w:bottom w:w="20" w:type="dxa"/>
              <w:right w:w="60" w:type="dxa"/>
            </w:tcMar>
            <w:vAlign w:val="top"/>
            <w:shd w:val="clear" w:color="auto" w:fill="E9EDF3"/>
          </w:tcPr>
          <w:p>
            <w:pPr>
              <w:spacing w:after="10" w:before="0" w:line="240" w:lineRule="auto"/>
              <w:jc w:val="right"/>
            </w:pPr>
            <w:r>
              <w:rPr>
                <w:b/>
                <w:sz w:val="17"/>
              </w:rPr>
              <w:t>6,060.00</w:t>
            </w:r>
          </w:p>
        </w:tc>
      </w:tr>
    </w:tbl>
    <w:p>
      <w:pPr>
        <w:spacing w:after="0" w:before="0"/>
        <w:rPr>
          <w:sz w:val="6"/>
        </w:rPr>
      </w:pPr>
    </w:p>
    <w:p>
      <w:pPr>
        <w:pStyle w:val="Heading2"/>
      </w:pPr>
      <w:r>
        <w:t>6.5 VAT return, 1 to 30 September</w:t>
      </w:r>
    </w:p>
    <w:p>
      <w:r>
        <w:t>The company's emirate is Dubai, so the standard-rated supply goes to box 1b. The purchase and the rent are standard-rated input.</w:t>
      </w:r>
    </w:p>
    <w:p>
      <w:pPr>
        <w:pStyle w:val="Caption"/>
      </w:pPr>
      <w:r>
        <w:t>Table 60. VAT return boxes (same rules as the VAT test: a sale of 200.00, a purchase of 1,000.00 and an expense of 200.00 give 10.00, 50.00 and 10.00)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873"/>
        <w:gridCol w:w="5238"/>
        <w:gridCol w:w="1891"/>
        <w:gridCol w:w="1600"/>
      </w:tblGrid>
      <w:tr>
        <w:trPr>
          <w:tblHeader w:val="true"/>
          <w:cantSplit w:val="true"/>
        </w:trPr>
        <w:tc>
          <w:tcPr>
            <w:tcW w:type="dxa" w:w="873"/>
            <w:shd w:val="clear" w:color="auto" w:fill="1F3A5F"/>
            <w:tcMar>
              <w:top w:w="20" w:type="dxa"/>
              <w:left w:w="60" w:type="dxa"/>
              <w:bottom w:w="20" w:type="dxa"/>
              <w:right w:w="60" w:type="dxa"/>
            </w:tcMar>
            <w:vAlign w:val="center"/>
          </w:tcPr>
          <w:p>
            <w:pPr>
              <w:spacing w:after="10" w:before="0" w:line="240" w:lineRule="auto"/>
            </w:pPr>
            <w:r>
              <w:rPr>
                <w:b/>
                <w:color w:val="FFFFFF"/>
                <w:sz w:val="17"/>
              </w:rPr>
              <w:t>Box</w:t>
            </w:r>
          </w:p>
        </w:tc>
        <w:tc>
          <w:tcPr>
            <w:tcW w:type="dxa" w:w="5239"/>
            <w:shd w:val="clear" w:color="auto" w:fill="1F3A5F"/>
            <w:tcMar>
              <w:top w:w="20" w:type="dxa"/>
              <w:left w:w="60" w:type="dxa"/>
              <w:bottom w:w="20" w:type="dxa"/>
              <w:right w:w="60" w:type="dxa"/>
            </w:tcMar>
            <w:vAlign w:val="center"/>
          </w:tcPr>
          <w:p>
            <w:pPr>
              <w:spacing w:after="10" w:before="0" w:line="240" w:lineRule="auto"/>
            </w:pPr>
            <w:r>
              <w:rPr>
                <w:b/>
                <w:color w:val="FFFFFF"/>
                <w:sz w:val="17"/>
              </w:rPr>
              <w:t>Label</w:t>
            </w:r>
          </w:p>
        </w:tc>
        <w:tc>
          <w:tcPr>
            <w:tcW w:type="dxa" w:w="1892"/>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Amount (without VAT)</w:t>
            </w:r>
          </w:p>
        </w:tc>
        <w:tc>
          <w:tcPr>
            <w:tcW w:type="dxa" w:w="160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VAT</w:t>
            </w:r>
          </w:p>
        </w:tc>
      </w:tr>
      <w:tr>
        <w:trPr>
          <w:cantSplit w:val="true"/>
        </w:trPr>
        <w:tc>
          <w:tcPr>
            <w:tcW w:type="dxa" w:w="873"/>
            <w:tcMar>
              <w:top w:w="20" w:type="dxa"/>
              <w:left w:w="60" w:type="dxa"/>
              <w:bottom w:w="20" w:type="dxa"/>
              <w:right w:w="60" w:type="dxa"/>
            </w:tcMar>
            <w:vAlign w:val="top"/>
          </w:tcPr>
          <w:p>
            <w:pPr>
              <w:spacing w:after="10" w:before="0" w:line="240" w:lineRule="auto"/>
            </w:pPr>
            <w:r>
              <w:rPr>
                <w:sz w:val="17"/>
              </w:rPr>
              <w:t>1b</w:t>
            </w:r>
          </w:p>
        </w:tc>
        <w:tc>
          <w:tcPr>
            <w:tcW w:type="dxa" w:w="5239"/>
            <w:tcMar>
              <w:top w:w="20" w:type="dxa"/>
              <w:left w:w="60" w:type="dxa"/>
              <w:bottom w:w="20" w:type="dxa"/>
              <w:right w:w="60" w:type="dxa"/>
            </w:tcMar>
            <w:vAlign w:val="top"/>
          </w:tcPr>
          <w:p>
            <w:pPr>
              <w:spacing w:after="10" w:before="0" w:line="240" w:lineRule="auto"/>
            </w:pPr>
            <w:r>
              <w:rPr>
                <w:sz w:val="17"/>
              </w:rPr>
              <w:t>Standard-rated supplies in Dubai</w:t>
            </w:r>
          </w:p>
        </w:tc>
        <w:tc>
          <w:tcPr>
            <w:tcW w:type="dxa" w:w="1892"/>
            <w:tcMar>
              <w:top w:w="20" w:type="dxa"/>
              <w:left w:w="60" w:type="dxa"/>
              <w:bottom w:w="20" w:type="dxa"/>
              <w:right w:w="60" w:type="dxa"/>
            </w:tcMar>
            <w:vAlign w:val="top"/>
          </w:tcPr>
          <w:p>
            <w:pPr>
              <w:spacing w:after="10" w:before="0" w:line="240" w:lineRule="auto"/>
              <w:jc w:val="right"/>
            </w:pPr>
            <w:r>
              <w:rPr>
                <w:sz w:val="17"/>
              </w:rPr>
              <w:t>200.00</w:t>
            </w:r>
          </w:p>
        </w:tc>
        <w:tc>
          <w:tcPr>
            <w:tcW w:type="dxa" w:w="1601"/>
            <w:tcMar>
              <w:top w:w="20" w:type="dxa"/>
              <w:left w:w="60" w:type="dxa"/>
              <w:bottom w:w="20" w:type="dxa"/>
              <w:right w:w="60" w:type="dxa"/>
            </w:tcMar>
            <w:vAlign w:val="top"/>
          </w:tcPr>
          <w:p>
            <w:pPr>
              <w:spacing w:after="10" w:before="0" w:line="240" w:lineRule="auto"/>
              <w:jc w:val="right"/>
            </w:pPr>
            <w:r>
              <w:rPr>
                <w:sz w:val="17"/>
              </w:rPr>
              <w:t>10.00</w:t>
            </w:r>
          </w:p>
        </w:tc>
      </w:tr>
      <w:tr>
        <w:trPr>
          <w:cantSplit w:val="true"/>
        </w:trPr>
        <w:tc>
          <w:tcPr>
            <w:tcW w:type="dxa" w:w="873"/>
            <w:tcMar>
              <w:top w:w="20" w:type="dxa"/>
              <w:left w:w="60" w:type="dxa"/>
              <w:bottom w:w="20" w:type="dxa"/>
              <w:right w:w="60" w:type="dxa"/>
            </w:tcMar>
            <w:vAlign w:val="top"/>
          </w:tcPr>
          <w:p>
            <w:pPr>
              <w:spacing w:after="10" w:before="0" w:line="240" w:lineRule="auto"/>
            </w:pPr>
            <w:r>
              <w:rPr>
                <w:sz w:val="17"/>
              </w:rPr>
              <w:t>8</w:t>
            </w:r>
          </w:p>
        </w:tc>
        <w:tc>
          <w:tcPr>
            <w:tcW w:type="dxa" w:w="5239"/>
            <w:tcMar>
              <w:top w:w="20" w:type="dxa"/>
              <w:left w:w="60" w:type="dxa"/>
              <w:bottom w:w="20" w:type="dxa"/>
              <w:right w:w="60" w:type="dxa"/>
            </w:tcMar>
            <w:vAlign w:val="top"/>
          </w:tcPr>
          <w:p>
            <w:pPr>
              <w:spacing w:after="10" w:before="0" w:line="240" w:lineRule="auto"/>
            </w:pPr>
            <w:r>
              <w:rPr>
                <w:sz w:val="17"/>
              </w:rPr>
              <w:t>Total supplies</w:t>
            </w:r>
          </w:p>
        </w:tc>
        <w:tc>
          <w:tcPr>
            <w:tcW w:type="dxa" w:w="1892"/>
            <w:tcMar>
              <w:top w:w="20" w:type="dxa"/>
              <w:left w:w="60" w:type="dxa"/>
              <w:bottom w:w="20" w:type="dxa"/>
              <w:right w:w="60" w:type="dxa"/>
            </w:tcMar>
            <w:vAlign w:val="top"/>
          </w:tcPr>
          <w:p>
            <w:pPr>
              <w:spacing w:after="10" w:before="0" w:line="240" w:lineRule="auto"/>
              <w:jc w:val="right"/>
            </w:pPr>
            <w:r>
              <w:rPr>
                <w:sz w:val="17"/>
              </w:rPr>
              <w:t>200.00</w:t>
            </w:r>
          </w:p>
        </w:tc>
        <w:tc>
          <w:tcPr>
            <w:tcW w:type="dxa" w:w="1601"/>
            <w:tcMar>
              <w:top w:w="20" w:type="dxa"/>
              <w:left w:w="60" w:type="dxa"/>
              <w:bottom w:w="20" w:type="dxa"/>
              <w:right w:w="60" w:type="dxa"/>
            </w:tcMar>
            <w:vAlign w:val="top"/>
          </w:tcPr>
          <w:p>
            <w:pPr>
              <w:spacing w:after="10" w:before="0" w:line="240" w:lineRule="auto"/>
              <w:jc w:val="right"/>
            </w:pPr>
            <w:r>
              <w:rPr>
                <w:sz w:val="17"/>
              </w:rPr>
              <w:t>10.00</w:t>
            </w:r>
          </w:p>
        </w:tc>
      </w:tr>
      <w:tr>
        <w:trPr>
          <w:cantSplit w:val="true"/>
        </w:trPr>
        <w:tc>
          <w:tcPr>
            <w:tcW w:type="dxa" w:w="873"/>
            <w:tcMar>
              <w:top w:w="20" w:type="dxa"/>
              <w:left w:w="60" w:type="dxa"/>
              <w:bottom w:w="20" w:type="dxa"/>
              <w:right w:w="60" w:type="dxa"/>
            </w:tcMar>
            <w:vAlign w:val="top"/>
          </w:tcPr>
          <w:p>
            <w:pPr>
              <w:spacing w:after="10" w:before="0" w:line="240" w:lineRule="auto"/>
            </w:pPr>
            <w:r>
              <w:rPr>
                <w:sz w:val="17"/>
              </w:rPr>
              <w:t>9</w:t>
            </w:r>
          </w:p>
        </w:tc>
        <w:tc>
          <w:tcPr>
            <w:tcW w:type="dxa" w:w="5239"/>
            <w:tcMar>
              <w:top w:w="20" w:type="dxa"/>
              <w:left w:w="60" w:type="dxa"/>
              <w:bottom w:w="20" w:type="dxa"/>
              <w:right w:w="60" w:type="dxa"/>
            </w:tcMar>
            <w:vAlign w:val="top"/>
          </w:tcPr>
          <w:p>
            <w:pPr>
              <w:spacing w:after="10" w:before="0" w:line="240" w:lineRule="auto"/>
            </w:pPr>
            <w:r>
              <w:rPr>
                <w:sz w:val="17"/>
              </w:rPr>
              <w:t>Standard-rated expenses (purchase 1,000.00 + rent 200.00)</w:t>
            </w:r>
          </w:p>
        </w:tc>
        <w:tc>
          <w:tcPr>
            <w:tcW w:type="dxa" w:w="1892"/>
            <w:tcMar>
              <w:top w:w="20" w:type="dxa"/>
              <w:left w:w="60" w:type="dxa"/>
              <w:bottom w:w="20" w:type="dxa"/>
              <w:right w:w="60" w:type="dxa"/>
            </w:tcMar>
            <w:vAlign w:val="top"/>
          </w:tcPr>
          <w:p>
            <w:pPr>
              <w:spacing w:after="10" w:before="0" w:line="240" w:lineRule="auto"/>
              <w:jc w:val="right"/>
            </w:pPr>
            <w:r>
              <w:rPr>
                <w:sz w:val="17"/>
              </w:rPr>
              <w:t>1,200.00</w:t>
            </w:r>
          </w:p>
        </w:tc>
        <w:tc>
          <w:tcPr>
            <w:tcW w:type="dxa" w:w="1601"/>
            <w:tcMar>
              <w:top w:w="20" w:type="dxa"/>
              <w:left w:w="60" w:type="dxa"/>
              <w:bottom w:w="20" w:type="dxa"/>
              <w:right w:w="60" w:type="dxa"/>
            </w:tcMar>
            <w:vAlign w:val="top"/>
          </w:tcPr>
          <w:p>
            <w:pPr>
              <w:spacing w:after="10" w:before="0" w:line="240" w:lineRule="auto"/>
              <w:jc w:val="right"/>
            </w:pPr>
            <w:r>
              <w:rPr>
                <w:sz w:val="17"/>
              </w:rPr>
              <w:t>60.00</w:t>
            </w:r>
          </w:p>
        </w:tc>
      </w:tr>
      <w:tr>
        <w:trPr>
          <w:cantSplit w:val="true"/>
        </w:trPr>
        <w:tc>
          <w:tcPr>
            <w:tcW w:type="dxa" w:w="873"/>
            <w:tcMar>
              <w:top w:w="20" w:type="dxa"/>
              <w:left w:w="60" w:type="dxa"/>
              <w:bottom w:w="20" w:type="dxa"/>
              <w:right w:w="60" w:type="dxa"/>
            </w:tcMar>
            <w:vAlign w:val="top"/>
          </w:tcPr>
          <w:p>
            <w:pPr>
              <w:spacing w:after="10" w:before="0" w:line="240" w:lineRule="auto"/>
            </w:pPr>
            <w:r>
              <w:rPr>
                <w:sz w:val="17"/>
              </w:rPr>
              <w:t>11</w:t>
            </w:r>
          </w:p>
        </w:tc>
        <w:tc>
          <w:tcPr>
            <w:tcW w:type="dxa" w:w="5239"/>
            <w:tcMar>
              <w:top w:w="20" w:type="dxa"/>
              <w:left w:w="60" w:type="dxa"/>
              <w:bottom w:w="20" w:type="dxa"/>
              <w:right w:w="60" w:type="dxa"/>
            </w:tcMar>
            <w:vAlign w:val="top"/>
          </w:tcPr>
          <w:p>
            <w:pPr>
              <w:spacing w:after="10" w:before="0" w:line="240" w:lineRule="auto"/>
            </w:pPr>
            <w:r>
              <w:rPr>
                <w:sz w:val="17"/>
              </w:rPr>
              <w:t>Total expenses</w:t>
            </w:r>
          </w:p>
        </w:tc>
        <w:tc>
          <w:tcPr>
            <w:tcW w:type="dxa" w:w="1892"/>
            <w:tcMar>
              <w:top w:w="20" w:type="dxa"/>
              <w:left w:w="60" w:type="dxa"/>
              <w:bottom w:w="20" w:type="dxa"/>
              <w:right w:w="60" w:type="dxa"/>
            </w:tcMar>
            <w:vAlign w:val="top"/>
          </w:tcPr>
          <w:p>
            <w:pPr>
              <w:spacing w:after="10" w:before="0" w:line="240" w:lineRule="auto"/>
              <w:jc w:val="right"/>
            </w:pPr>
            <w:r>
              <w:rPr>
                <w:sz w:val="17"/>
              </w:rPr>
              <w:t>1,200.00</w:t>
            </w:r>
          </w:p>
        </w:tc>
        <w:tc>
          <w:tcPr>
            <w:tcW w:type="dxa" w:w="1601"/>
            <w:tcMar>
              <w:top w:w="20" w:type="dxa"/>
              <w:left w:w="60" w:type="dxa"/>
              <w:bottom w:w="20" w:type="dxa"/>
              <w:right w:w="60" w:type="dxa"/>
            </w:tcMar>
            <w:vAlign w:val="top"/>
          </w:tcPr>
          <w:p>
            <w:pPr>
              <w:spacing w:after="10" w:before="0" w:line="240" w:lineRule="auto"/>
              <w:jc w:val="right"/>
            </w:pPr>
            <w:r>
              <w:rPr>
                <w:sz w:val="17"/>
              </w:rPr>
              <w:t>60.00</w:t>
            </w:r>
          </w:p>
        </w:tc>
      </w:tr>
      <w:tr>
        <w:trPr>
          <w:cantSplit w:val="true"/>
        </w:trPr>
        <w:tc>
          <w:tcPr>
            <w:tcW w:type="dxa" w:w="873"/>
            <w:tcMar>
              <w:top w:w="20" w:type="dxa"/>
              <w:left w:w="60" w:type="dxa"/>
              <w:bottom w:w="20" w:type="dxa"/>
              <w:right w:w="60" w:type="dxa"/>
            </w:tcMar>
            <w:vAlign w:val="top"/>
          </w:tcPr>
          <w:p>
            <w:pPr>
              <w:spacing w:after="10" w:before="0" w:line="240" w:lineRule="auto"/>
            </w:pPr>
            <w:r>
              <w:rPr>
                <w:sz w:val="17"/>
              </w:rPr>
              <w:t>12</w:t>
            </w:r>
          </w:p>
        </w:tc>
        <w:tc>
          <w:tcPr>
            <w:tcW w:type="dxa" w:w="5239"/>
            <w:tcMar>
              <w:top w:w="20" w:type="dxa"/>
              <w:left w:w="60" w:type="dxa"/>
              <w:bottom w:w="20" w:type="dxa"/>
              <w:right w:w="60" w:type="dxa"/>
            </w:tcMar>
            <w:vAlign w:val="top"/>
          </w:tcPr>
          <w:p>
            <w:pPr>
              <w:spacing w:after="10" w:before="0" w:line="240" w:lineRule="auto"/>
            </w:pPr>
            <w:r>
              <w:rPr>
                <w:sz w:val="17"/>
              </w:rPr>
              <w:t>Total VAT due</w:t>
            </w:r>
          </w:p>
        </w:tc>
        <w:tc>
          <w:tcPr>
            <w:tcW w:type="dxa" w:w="1892"/>
            <w:tcMar>
              <w:top w:w="20" w:type="dxa"/>
              <w:left w:w="60" w:type="dxa"/>
              <w:bottom w:w="20" w:type="dxa"/>
              <w:right w:w="60" w:type="dxa"/>
            </w:tcMar>
            <w:vAlign w:val="top"/>
          </w:tcPr>
          <w:p>
            <w:pPr>
              <w:spacing w:after="10" w:before="0" w:line="240" w:lineRule="auto"/>
              <w:jc w:val="right"/>
            </w:pPr>
          </w:p>
        </w:tc>
        <w:tc>
          <w:tcPr>
            <w:tcW w:type="dxa" w:w="1601"/>
            <w:tcMar>
              <w:top w:w="20" w:type="dxa"/>
              <w:left w:w="60" w:type="dxa"/>
              <w:bottom w:w="20" w:type="dxa"/>
              <w:right w:w="60" w:type="dxa"/>
            </w:tcMar>
            <w:vAlign w:val="top"/>
          </w:tcPr>
          <w:p>
            <w:pPr>
              <w:spacing w:after="10" w:before="0" w:line="240" w:lineRule="auto"/>
              <w:jc w:val="right"/>
            </w:pPr>
            <w:r>
              <w:rPr>
                <w:sz w:val="17"/>
              </w:rPr>
              <w:t>10.00</w:t>
            </w:r>
          </w:p>
        </w:tc>
      </w:tr>
      <w:tr>
        <w:trPr>
          <w:cantSplit w:val="true"/>
        </w:trPr>
        <w:tc>
          <w:tcPr>
            <w:tcW w:type="dxa" w:w="873"/>
            <w:tcMar>
              <w:top w:w="20" w:type="dxa"/>
              <w:left w:w="60" w:type="dxa"/>
              <w:bottom w:w="20" w:type="dxa"/>
              <w:right w:w="60" w:type="dxa"/>
            </w:tcMar>
            <w:vAlign w:val="top"/>
          </w:tcPr>
          <w:p>
            <w:pPr>
              <w:spacing w:after="10" w:before="0" w:line="240" w:lineRule="auto"/>
            </w:pPr>
            <w:r>
              <w:rPr>
                <w:sz w:val="17"/>
              </w:rPr>
              <w:t>13</w:t>
            </w:r>
          </w:p>
        </w:tc>
        <w:tc>
          <w:tcPr>
            <w:tcW w:type="dxa" w:w="5239"/>
            <w:tcMar>
              <w:top w:w="20" w:type="dxa"/>
              <w:left w:w="60" w:type="dxa"/>
              <w:bottom w:w="20" w:type="dxa"/>
              <w:right w:w="60" w:type="dxa"/>
            </w:tcMar>
            <w:vAlign w:val="top"/>
          </w:tcPr>
          <w:p>
            <w:pPr>
              <w:spacing w:after="10" w:before="0" w:line="240" w:lineRule="auto"/>
            </w:pPr>
            <w:r>
              <w:rPr>
                <w:sz w:val="17"/>
              </w:rPr>
              <w:t>Recoverable input VAT</w:t>
            </w:r>
          </w:p>
        </w:tc>
        <w:tc>
          <w:tcPr>
            <w:tcW w:type="dxa" w:w="1892"/>
            <w:tcMar>
              <w:top w:w="20" w:type="dxa"/>
              <w:left w:w="60" w:type="dxa"/>
              <w:bottom w:w="20" w:type="dxa"/>
              <w:right w:w="60" w:type="dxa"/>
            </w:tcMar>
            <w:vAlign w:val="top"/>
          </w:tcPr>
          <w:p>
            <w:pPr>
              <w:spacing w:after="10" w:before="0" w:line="240" w:lineRule="auto"/>
              <w:jc w:val="right"/>
            </w:pPr>
          </w:p>
        </w:tc>
        <w:tc>
          <w:tcPr>
            <w:tcW w:type="dxa" w:w="1601"/>
            <w:tcMar>
              <w:top w:w="20" w:type="dxa"/>
              <w:left w:w="60" w:type="dxa"/>
              <w:bottom w:w="20" w:type="dxa"/>
              <w:right w:w="60" w:type="dxa"/>
            </w:tcMar>
            <w:vAlign w:val="top"/>
          </w:tcPr>
          <w:p>
            <w:pPr>
              <w:spacing w:after="10" w:before="0" w:line="240" w:lineRule="auto"/>
              <w:jc w:val="right"/>
            </w:pPr>
            <w:r>
              <w:rPr>
                <w:sz w:val="17"/>
              </w:rPr>
              <w:t>60.00</w:t>
            </w:r>
          </w:p>
        </w:tc>
      </w:tr>
      <w:tr>
        <w:trPr>
          <w:cantSplit w:val="true"/>
        </w:trPr>
        <w:tc>
          <w:tcPr>
            <w:tcW w:type="dxa" w:w="873"/>
            <w:tcMar>
              <w:top w:w="20" w:type="dxa"/>
              <w:left w:w="60" w:type="dxa"/>
              <w:bottom w:w="20" w:type="dxa"/>
              <w:right w:w="60" w:type="dxa"/>
            </w:tcMar>
            <w:vAlign w:val="top"/>
            <w:shd w:val="clear" w:color="auto" w:fill="E9EDF3"/>
          </w:tcPr>
          <w:p>
            <w:pPr>
              <w:spacing w:after="10" w:before="0" w:line="240" w:lineRule="auto"/>
            </w:pPr>
            <w:r>
              <w:rPr>
                <w:b/>
                <w:sz w:val="17"/>
              </w:rPr>
              <w:t>14</w:t>
            </w:r>
          </w:p>
        </w:tc>
        <w:tc>
          <w:tcPr>
            <w:tcW w:type="dxa" w:w="5239"/>
            <w:tcMar>
              <w:top w:w="20" w:type="dxa"/>
              <w:left w:w="60" w:type="dxa"/>
              <w:bottom w:w="20" w:type="dxa"/>
              <w:right w:w="60" w:type="dxa"/>
            </w:tcMar>
            <w:vAlign w:val="top"/>
            <w:shd w:val="clear" w:color="auto" w:fill="E9EDF3"/>
          </w:tcPr>
          <w:p>
            <w:pPr>
              <w:spacing w:after="10" w:before="0" w:line="240" w:lineRule="auto"/>
            </w:pPr>
            <w:r>
              <w:rPr>
                <w:b/>
                <w:sz w:val="17"/>
              </w:rPr>
              <w:t>Net VAT refundable</w:t>
            </w:r>
          </w:p>
        </w:tc>
        <w:tc>
          <w:tcPr>
            <w:tcW w:type="dxa" w:w="1892"/>
            <w:tcMar>
              <w:top w:w="20" w:type="dxa"/>
              <w:left w:w="60" w:type="dxa"/>
              <w:bottom w:w="20" w:type="dxa"/>
              <w:right w:w="60" w:type="dxa"/>
            </w:tcMar>
            <w:vAlign w:val="top"/>
            <w:shd w:val="clear" w:color="auto" w:fill="E9EDF3"/>
          </w:tcPr>
          <w:p>
            <w:pPr>
              <w:spacing w:after="10" w:before="0" w:line="240" w:lineRule="auto"/>
              <w:jc w:val="right"/>
            </w:pPr>
          </w:p>
        </w:tc>
        <w:tc>
          <w:tcPr>
            <w:tcW w:type="dxa" w:w="1601"/>
            <w:tcMar>
              <w:top w:w="20" w:type="dxa"/>
              <w:left w:w="60" w:type="dxa"/>
              <w:bottom w:w="20" w:type="dxa"/>
              <w:right w:w="60" w:type="dxa"/>
            </w:tcMar>
            <w:vAlign w:val="top"/>
            <w:shd w:val="clear" w:color="auto" w:fill="E9EDF3"/>
          </w:tcPr>
          <w:p>
            <w:pPr>
              <w:spacing w:after="10" w:before="0" w:line="240" w:lineRule="auto"/>
              <w:jc w:val="right"/>
            </w:pPr>
            <w:r>
              <w:rPr>
                <w:b/>
                <w:sz w:val="17"/>
              </w:rPr>
              <w:t>-50.00</w:t>
            </w:r>
          </w:p>
        </w:tc>
      </w:tr>
    </w:tbl>
    <w:p>
      <w:pPr>
        <w:spacing w:after="0" w:before="0"/>
        <w:rPr>
          <w:sz w:val="6"/>
        </w:rPr>
      </w:pPr>
    </w:p>
    <w:p>
      <w:r>
        <w:t>Reconciliation: output VAT per documents 10.00 against Output VAT in the ledger 10.00; input VAT per documents 60.00 against Input VAT in the ledger 60.00 (50.00 + 10.00). Both agree. Boxes 2, 6 and 7 are not tracked; there are no unclassified lines.</w:t>
      </w:r>
    </w:p>
    <w:p>
      <w:pPr>
        <w:pStyle w:val="Heading2"/>
      </w:pPr>
      <w:r>
        <w:t>6.6 Cash flow</w:t>
      </w:r>
    </w:p>
    <w:p>
      <w:pPr>
        <w:pStyle w:val="Caption"/>
      </w:pPr>
      <w:r>
        <w:t>Table 61. Cash flow by kind of voucher (test: in 5,100.00, out 510.00, closing 4,590.00, the contra nets to nothing)</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947"/>
        <w:gridCol w:w="1600"/>
        <w:gridCol w:w="1600"/>
        <w:gridCol w:w="1455"/>
      </w:tblGrid>
      <w:tr>
        <w:trPr>
          <w:tblHeader w:val="true"/>
          <w:cantSplit w:val="true"/>
        </w:trPr>
        <w:tc>
          <w:tcPr>
            <w:tcW w:type="dxa" w:w="4948"/>
            <w:shd w:val="clear" w:color="auto" w:fill="1F3A5F"/>
            <w:tcMar>
              <w:top w:w="20" w:type="dxa"/>
              <w:left w:w="60" w:type="dxa"/>
              <w:bottom w:w="20" w:type="dxa"/>
              <w:right w:w="60" w:type="dxa"/>
            </w:tcMar>
            <w:vAlign w:val="center"/>
          </w:tcPr>
          <w:p>
            <w:pPr>
              <w:spacing w:after="10" w:before="0" w:line="240" w:lineRule="auto"/>
            </w:pPr>
            <w:r>
              <w:rPr>
                <w:b/>
                <w:color w:val="FFFFFF"/>
                <w:sz w:val="17"/>
              </w:rPr>
              <w:t>Line</w:t>
            </w:r>
          </w:p>
        </w:tc>
        <w:tc>
          <w:tcPr>
            <w:tcW w:type="dxa" w:w="160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Inflow</w:t>
            </w:r>
          </w:p>
        </w:tc>
        <w:tc>
          <w:tcPr>
            <w:tcW w:type="dxa" w:w="160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Outflow</w:t>
            </w:r>
          </w:p>
        </w:tc>
        <w:tc>
          <w:tcPr>
            <w:tcW w:type="dxa" w:w="1455"/>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Net</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Received from customers (receipt RV-2026-0001)</w:t>
            </w:r>
          </w:p>
        </w:tc>
        <w:tc>
          <w:tcPr>
            <w:tcW w:type="dxa" w:w="1601"/>
            <w:tcMar>
              <w:top w:w="20" w:type="dxa"/>
              <w:left w:w="60" w:type="dxa"/>
              <w:bottom w:w="20" w:type="dxa"/>
              <w:right w:w="60" w:type="dxa"/>
            </w:tcMar>
            <w:vAlign w:val="top"/>
          </w:tcPr>
          <w:p>
            <w:pPr>
              <w:spacing w:after="10" w:before="0" w:line="240" w:lineRule="auto"/>
              <w:jc w:val="right"/>
            </w:pPr>
            <w:r>
              <w:rPr>
                <w:sz w:val="17"/>
              </w:rPr>
              <w:t>100.00</w:t>
            </w:r>
          </w:p>
        </w:tc>
        <w:tc>
          <w:tcPr>
            <w:tcW w:type="dxa" w:w="1601"/>
            <w:tcMar>
              <w:top w:w="20" w:type="dxa"/>
              <w:left w:w="60" w:type="dxa"/>
              <w:bottom w:w="20" w:type="dxa"/>
              <w:right w:w="60" w:type="dxa"/>
            </w:tcMar>
            <w:vAlign w:val="top"/>
          </w:tcPr>
          <w:p>
            <w:pPr>
              <w:spacing w:after="10" w:before="0" w:line="240" w:lineRule="auto"/>
              <w:jc w:val="right"/>
            </w:pPr>
          </w:p>
        </w:tc>
        <w:tc>
          <w:tcPr>
            <w:tcW w:type="dxa" w:w="1455"/>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Journal entries (JV-2026-0001, capital)</w:t>
            </w:r>
          </w:p>
        </w:tc>
        <w:tc>
          <w:tcPr>
            <w:tcW w:type="dxa" w:w="1601"/>
            <w:tcMar>
              <w:top w:w="20" w:type="dxa"/>
              <w:left w:w="60" w:type="dxa"/>
              <w:bottom w:w="20" w:type="dxa"/>
              <w:right w:w="60" w:type="dxa"/>
            </w:tcMar>
            <w:vAlign w:val="top"/>
          </w:tcPr>
          <w:p>
            <w:pPr>
              <w:spacing w:after="10" w:before="0" w:line="240" w:lineRule="auto"/>
              <w:jc w:val="right"/>
            </w:pPr>
            <w:r>
              <w:rPr>
                <w:sz w:val="17"/>
              </w:rPr>
              <w:t>5,000.00</w:t>
            </w:r>
          </w:p>
        </w:tc>
        <w:tc>
          <w:tcPr>
            <w:tcW w:type="dxa" w:w="1601"/>
            <w:tcMar>
              <w:top w:w="20" w:type="dxa"/>
              <w:left w:w="60" w:type="dxa"/>
              <w:bottom w:w="20" w:type="dxa"/>
              <w:right w:w="60" w:type="dxa"/>
            </w:tcMar>
            <w:vAlign w:val="top"/>
          </w:tcPr>
          <w:p>
            <w:pPr>
              <w:spacing w:after="10" w:before="0" w:line="240" w:lineRule="auto"/>
              <w:jc w:val="right"/>
            </w:pPr>
          </w:p>
        </w:tc>
        <w:tc>
          <w:tcPr>
            <w:tcW w:type="dxa" w:w="1455"/>
            <w:tcMar>
              <w:top w:w="20" w:type="dxa"/>
              <w:left w:w="60" w:type="dxa"/>
              <w:bottom w:w="20" w:type="dxa"/>
              <w:right w:w="60" w:type="dxa"/>
            </w:tcMar>
            <w:vAlign w:val="top"/>
          </w:tcPr>
          <w:p>
            <w:pPr>
              <w:spacing w:after="10" w:before="0" w:line="240" w:lineRule="auto"/>
              <w:jc w:val="right"/>
            </w:pPr>
            <w:r>
              <w:rPr>
                <w:sz w:val="17"/>
              </w:rPr>
              <w:t>5,000.00</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Paid to vendors (PV-2026-0001)</w:t>
            </w:r>
          </w:p>
        </w:tc>
        <w:tc>
          <w:tcPr>
            <w:tcW w:type="dxa" w:w="1601"/>
            <w:tcMar>
              <w:top w:w="20" w:type="dxa"/>
              <w:left w:w="60" w:type="dxa"/>
              <w:bottom w:w="20" w:type="dxa"/>
              <w:right w:w="60" w:type="dxa"/>
            </w:tcMar>
            <w:vAlign w:val="top"/>
          </w:tcPr>
          <w:p>
            <w:pPr>
              <w:spacing w:after="10" w:before="0" w:line="240" w:lineRule="auto"/>
              <w:jc w:val="right"/>
            </w:pPr>
          </w:p>
        </w:tc>
        <w:tc>
          <w:tcPr>
            <w:tcW w:type="dxa" w:w="1601"/>
            <w:tcMar>
              <w:top w:w="20" w:type="dxa"/>
              <w:left w:w="60" w:type="dxa"/>
              <w:bottom w:w="20" w:type="dxa"/>
              <w:right w:w="60" w:type="dxa"/>
            </w:tcMar>
            <w:vAlign w:val="top"/>
          </w:tcPr>
          <w:p>
            <w:pPr>
              <w:spacing w:after="10" w:before="0" w:line="240" w:lineRule="auto"/>
              <w:jc w:val="right"/>
            </w:pPr>
            <w:r>
              <w:rPr>
                <w:sz w:val="17"/>
              </w:rPr>
              <w:t>300.00</w:t>
            </w:r>
          </w:p>
        </w:tc>
        <w:tc>
          <w:tcPr>
            <w:tcW w:type="dxa" w:w="1455"/>
            <w:tcMar>
              <w:top w:w="20" w:type="dxa"/>
              <w:left w:w="60" w:type="dxa"/>
              <w:bottom w:w="20" w:type="dxa"/>
              <w:right w:w="60" w:type="dxa"/>
            </w:tcMar>
            <w:vAlign w:val="top"/>
          </w:tcPr>
          <w:p>
            <w:pPr>
              <w:spacing w:after="10" w:before="0" w:line="240" w:lineRule="auto"/>
              <w:jc w:val="right"/>
            </w:pPr>
            <w:r>
              <w:rPr>
                <w:sz w:val="17"/>
              </w:rPr>
              <w:t>-300.00</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Expenses paid (EV-2026-0001)</w:t>
            </w:r>
          </w:p>
        </w:tc>
        <w:tc>
          <w:tcPr>
            <w:tcW w:type="dxa" w:w="1601"/>
            <w:tcMar>
              <w:top w:w="20" w:type="dxa"/>
              <w:left w:w="60" w:type="dxa"/>
              <w:bottom w:w="20" w:type="dxa"/>
              <w:right w:w="60" w:type="dxa"/>
            </w:tcMar>
            <w:vAlign w:val="top"/>
          </w:tcPr>
          <w:p>
            <w:pPr>
              <w:spacing w:after="10" w:before="0" w:line="240" w:lineRule="auto"/>
              <w:jc w:val="right"/>
            </w:pPr>
          </w:p>
        </w:tc>
        <w:tc>
          <w:tcPr>
            <w:tcW w:type="dxa" w:w="1601"/>
            <w:tcMar>
              <w:top w:w="20" w:type="dxa"/>
              <w:left w:w="60" w:type="dxa"/>
              <w:bottom w:w="20" w:type="dxa"/>
              <w:right w:w="60" w:type="dxa"/>
            </w:tcMar>
            <w:vAlign w:val="top"/>
          </w:tcPr>
          <w:p>
            <w:pPr>
              <w:spacing w:after="10" w:before="0" w:line="240" w:lineRule="auto"/>
              <w:jc w:val="right"/>
            </w:pPr>
            <w:r>
              <w:rPr>
                <w:sz w:val="17"/>
              </w:rPr>
              <w:t>210.00</w:t>
            </w:r>
          </w:p>
        </w:tc>
        <w:tc>
          <w:tcPr>
            <w:tcW w:type="dxa" w:w="1455"/>
            <w:tcMar>
              <w:top w:w="20" w:type="dxa"/>
              <w:left w:w="60" w:type="dxa"/>
              <w:bottom w:w="20" w:type="dxa"/>
              <w:right w:w="60" w:type="dxa"/>
            </w:tcMar>
            <w:vAlign w:val="top"/>
          </w:tcPr>
          <w:p>
            <w:pPr>
              <w:spacing w:after="10" w:before="0" w:line="240" w:lineRule="auto"/>
              <w:jc w:val="right"/>
            </w:pPr>
            <w:r>
              <w:rPr>
                <w:sz w:val="17"/>
              </w:rPr>
              <w:t>-210.00</w:t>
            </w:r>
          </w:p>
        </w:tc>
      </w:tr>
      <w:tr>
        <w:trPr>
          <w:cantSplit w:val="true"/>
        </w:trPr>
        <w:tc>
          <w:tcPr>
            <w:tcW w:type="dxa" w:w="4948"/>
            <w:tcMar>
              <w:top w:w="20" w:type="dxa"/>
              <w:left w:w="60" w:type="dxa"/>
              <w:bottom w:w="20" w:type="dxa"/>
              <w:right w:w="60" w:type="dxa"/>
            </w:tcMar>
            <w:vAlign w:val="top"/>
          </w:tcPr>
          <w:p>
            <w:pPr>
              <w:spacing w:after="10" w:before="0" w:line="240" w:lineRule="auto"/>
            </w:pPr>
            <w:r>
              <w:rPr>
                <w:sz w:val="17"/>
              </w:rPr>
              <w:t>Moved between cash and bank (CV-2026-0001)</w:t>
            </w:r>
          </w:p>
        </w:tc>
        <w:tc>
          <w:tcPr>
            <w:tcW w:type="dxa" w:w="1601"/>
            <w:tcMar>
              <w:top w:w="20" w:type="dxa"/>
              <w:left w:w="60" w:type="dxa"/>
              <w:bottom w:w="20" w:type="dxa"/>
              <w:right w:w="60" w:type="dxa"/>
            </w:tcMar>
            <w:vAlign w:val="top"/>
          </w:tcPr>
          <w:p>
            <w:pPr>
              <w:spacing w:after="10" w:before="0" w:line="240" w:lineRule="auto"/>
              <w:jc w:val="right"/>
            </w:pPr>
            <w:r>
              <w:rPr>
                <w:sz w:val="17"/>
              </w:rPr>
              <w:t>-</w:t>
            </w:r>
          </w:p>
        </w:tc>
        <w:tc>
          <w:tcPr>
            <w:tcW w:type="dxa" w:w="1601"/>
            <w:tcMar>
              <w:top w:w="20" w:type="dxa"/>
              <w:left w:w="60" w:type="dxa"/>
              <w:bottom w:w="20" w:type="dxa"/>
              <w:right w:w="60" w:type="dxa"/>
            </w:tcMar>
            <w:vAlign w:val="top"/>
          </w:tcPr>
          <w:p>
            <w:pPr>
              <w:spacing w:after="10" w:before="0" w:line="240" w:lineRule="auto"/>
              <w:jc w:val="right"/>
            </w:pPr>
            <w:r>
              <w:rPr>
                <w:sz w:val="17"/>
              </w:rPr>
              <w:t>-</w:t>
            </w:r>
          </w:p>
        </w:tc>
        <w:tc>
          <w:tcPr>
            <w:tcW w:type="dxa" w:w="1455"/>
            <w:tcMar>
              <w:top w:w="20" w:type="dxa"/>
              <w:left w:w="60" w:type="dxa"/>
              <w:bottom w:w="20" w:type="dxa"/>
              <w:right w:w="60" w:type="dxa"/>
            </w:tcMar>
            <w:vAlign w:val="top"/>
          </w:tcPr>
          <w:p>
            <w:pPr>
              <w:spacing w:after="10" w:before="0" w:line="240" w:lineRule="auto"/>
              <w:jc w:val="right"/>
            </w:pPr>
            <w:r>
              <w:rPr>
                <w:sz w:val="17"/>
              </w:rPr>
              <w:t>0.00</w:t>
            </w:r>
          </w:p>
        </w:tc>
      </w:tr>
      <w:tr>
        <w:trPr>
          <w:cantSplit w:val="true"/>
        </w:trPr>
        <w:tc>
          <w:tcPr>
            <w:tcW w:type="dxa" w:w="4948"/>
            <w:tcMar>
              <w:top w:w="20" w:type="dxa"/>
              <w:left w:w="60" w:type="dxa"/>
              <w:bottom w:w="20" w:type="dxa"/>
              <w:right w:w="60" w:type="dxa"/>
            </w:tcMar>
            <w:vAlign w:val="top"/>
            <w:shd w:val="clear" w:color="auto" w:fill="E9EDF3"/>
          </w:tcPr>
          <w:p>
            <w:pPr>
              <w:spacing w:after="10" w:before="0" w:line="240" w:lineRule="auto"/>
            </w:pPr>
            <w:r>
              <w:rPr>
                <w:b/>
                <w:sz w:val="17"/>
              </w:rPr>
              <w:t>Total</w:t>
            </w:r>
          </w:p>
        </w:tc>
        <w:tc>
          <w:tcPr>
            <w:tcW w:type="dxa" w:w="1601"/>
            <w:tcMar>
              <w:top w:w="20" w:type="dxa"/>
              <w:left w:w="60" w:type="dxa"/>
              <w:bottom w:w="20" w:type="dxa"/>
              <w:right w:w="60" w:type="dxa"/>
            </w:tcMar>
            <w:vAlign w:val="top"/>
            <w:shd w:val="clear" w:color="auto" w:fill="E9EDF3"/>
          </w:tcPr>
          <w:p>
            <w:pPr>
              <w:spacing w:after="10" w:before="0" w:line="240" w:lineRule="auto"/>
              <w:jc w:val="right"/>
            </w:pPr>
            <w:r>
              <w:rPr>
                <w:b/>
                <w:sz w:val="17"/>
              </w:rPr>
              <w:t>5,100.00</w:t>
            </w:r>
          </w:p>
        </w:tc>
        <w:tc>
          <w:tcPr>
            <w:tcW w:type="dxa" w:w="1601"/>
            <w:tcMar>
              <w:top w:w="20" w:type="dxa"/>
              <w:left w:w="60" w:type="dxa"/>
              <w:bottom w:w="20" w:type="dxa"/>
              <w:right w:w="60" w:type="dxa"/>
            </w:tcMar>
            <w:vAlign w:val="top"/>
            <w:shd w:val="clear" w:color="auto" w:fill="E9EDF3"/>
          </w:tcPr>
          <w:p>
            <w:pPr>
              <w:spacing w:after="10" w:before="0" w:line="240" w:lineRule="auto"/>
              <w:jc w:val="right"/>
            </w:pPr>
            <w:r>
              <w:rPr>
                <w:b/>
                <w:sz w:val="17"/>
              </w:rPr>
              <w:t>510.00</w:t>
            </w:r>
          </w:p>
        </w:tc>
        <w:tc>
          <w:tcPr>
            <w:tcW w:type="dxa" w:w="1455"/>
            <w:tcMar>
              <w:top w:w="20" w:type="dxa"/>
              <w:left w:w="60" w:type="dxa"/>
              <w:bottom w:w="20" w:type="dxa"/>
              <w:right w:w="60" w:type="dxa"/>
            </w:tcMar>
            <w:vAlign w:val="top"/>
            <w:shd w:val="clear" w:color="auto" w:fill="E9EDF3"/>
          </w:tcPr>
          <w:p>
            <w:pPr>
              <w:spacing w:after="10" w:before="0" w:line="240" w:lineRule="auto"/>
              <w:jc w:val="right"/>
            </w:pPr>
            <w:r>
              <w:rPr>
                <w:b/>
                <w:sz w:val="17"/>
              </w:rPr>
              <w:t>4,590.00</w:t>
            </w:r>
          </w:p>
        </w:tc>
      </w:tr>
    </w:tbl>
    <w:p>
      <w:pPr>
        <w:spacing w:after="0" w:before="0"/>
        <w:rPr>
          <w:sz w:val="6"/>
        </w:rPr>
      </w:pPr>
    </w:p>
    <w:p>
      <w:r>
        <w:t>Opening 0.00 + inflows 5,100.00 - outflows 510.00 = closing 4,590.00, which equals Cash in Hand 3,590.00 + ENBD Current 1,000.00, so the report reconciles.</w:t>
      </w:r>
    </w:p>
    <w:p>
      <w:pPr>
        <w:pStyle w:val="Heading3"/>
      </w:pPr>
      <w:r>
        <w:t>6.6.1 The same cash flow in the IFRS (indirect) form</w:t>
      </w:r>
    </w:p>
    <w:p>
      <w:pPr>
        <w:pStyle w:val="Caption"/>
      </w:pPr>
      <w:r>
        <w:t>Table 62. IFRS statement of cash flows, September 2026 (classification as section 4.22: input VAT counts with receivables, output VAT with payables)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638"/>
        <w:gridCol w:w="4365"/>
        <w:gridCol w:w="1600"/>
      </w:tblGrid>
      <w:tr>
        <w:trPr>
          <w:tblHeader w:val="true"/>
          <w:cantSplit w:val="true"/>
        </w:trPr>
        <w:tc>
          <w:tcPr>
            <w:tcW w:type="dxa" w:w="3638"/>
            <w:shd w:val="clear" w:color="auto" w:fill="1F3A5F"/>
            <w:tcMar>
              <w:top w:w="20" w:type="dxa"/>
              <w:left w:w="60" w:type="dxa"/>
              <w:bottom w:w="20" w:type="dxa"/>
              <w:right w:w="60" w:type="dxa"/>
            </w:tcMar>
            <w:vAlign w:val="center"/>
          </w:tcPr>
          <w:p>
            <w:pPr>
              <w:spacing w:after="10" w:before="0" w:line="240" w:lineRule="auto"/>
            </w:pPr>
            <w:r>
              <w:rPr>
                <w:b/>
                <w:color w:val="FFFFFF"/>
                <w:sz w:val="17"/>
              </w:rPr>
              <w:t>Line</w:t>
            </w:r>
          </w:p>
        </w:tc>
        <w:tc>
          <w:tcPr>
            <w:tcW w:type="dxa" w:w="4366"/>
            <w:shd w:val="clear" w:color="auto" w:fill="1F3A5F"/>
            <w:tcMar>
              <w:top w:w="20" w:type="dxa"/>
              <w:left w:w="60" w:type="dxa"/>
              <w:bottom w:w="20" w:type="dxa"/>
              <w:right w:w="60" w:type="dxa"/>
            </w:tcMar>
            <w:vAlign w:val="center"/>
          </w:tcPr>
          <w:p>
            <w:pPr>
              <w:spacing w:after="10" w:before="0" w:line="240" w:lineRule="auto"/>
            </w:pPr>
            <w:r>
              <w:rPr>
                <w:b/>
                <w:color w:val="FFFFFF"/>
                <w:sz w:val="17"/>
              </w:rPr>
              <w:t>Working</w:t>
            </w:r>
          </w:p>
        </w:tc>
        <w:tc>
          <w:tcPr>
            <w:tcW w:type="dxa" w:w="160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Amount (AED)</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Profit before tax</w:t>
            </w:r>
          </w:p>
        </w:tc>
        <w:tc>
          <w:tcPr>
            <w:tcW w:type="dxa" w:w="4366"/>
            <w:tcMar>
              <w:top w:w="20" w:type="dxa"/>
              <w:left w:w="60" w:type="dxa"/>
              <w:bottom w:w="20" w:type="dxa"/>
              <w:right w:w="60" w:type="dxa"/>
            </w:tcMar>
            <w:vAlign w:val="top"/>
          </w:tcPr>
          <w:p>
            <w:pPr>
              <w:spacing w:after="10" w:before="0" w:line="240" w:lineRule="auto"/>
            </w:pPr>
            <w:r>
              <w:rPr>
                <w:sz w:val="17"/>
              </w:rPr>
              <w:t>from the profit or loss statement</w:t>
            </w:r>
          </w:p>
        </w:tc>
        <w:tc>
          <w:tcPr>
            <w:tcW w:type="dxa" w:w="1601"/>
            <w:tcMar>
              <w:top w:w="20" w:type="dxa"/>
              <w:left w:w="60" w:type="dxa"/>
              <w:bottom w:w="20" w:type="dxa"/>
              <w:right w:w="60" w:type="dxa"/>
            </w:tcMar>
            <w:vAlign w:val="top"/>
          </w:tcPr>
          <w:p>
            <w:pPr>
              <w:spacing w:after="10" w:before="0" w:line="240" w:lineRule="auto"/>
              <w:jc w:val="right"/>
            </w:pPr>
            <w:r>
              <w:rPr>
                <w:sz w:val="17"/>
              </w:rPr>
              <w:t>-100.00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Adjustments (depreciation, finance costs, disposal)</w:t>
            </w:r>
          </w:p>
        </w:tc>
        <w:tc>
          <w:tcPr>
            <w:tcW w:type="dxa" w:w="4366"/>
            <w:tcMar>
              <w:top w:w="20" w:type="dxa"/>
              <w:left w:w="60" w:type="dxa"/>
              <w:bottom w:w="20" w:type="dxa"/>
              <w:right w:w="60" w:type="dxa"/>
            </w:tcMar>
            <w:vAlign w:val="top"/>
          </w:tcPr>
          <w:p>
            <w:pPr>
              <w:spacing w:after="10" w:before="0" w:line="240" w:lineRule="auto"/>
            </w:pPr>
            <w:r>
              <w:rPr>
                <w:sz w:val="17"/>
              </w:rPr>
              <w:t>none</w:t>
            </w:r>
          </w:p>
        </w:tc>
        <w:tc>
          <w:tcPr>
            <w:tcW w:type="dxa" w:w="1601"/>
            <w:tcMar>
              <w:top w:w="20" w:type="dxa"/>
              <w:left w:w="60" w:type="dxa"/>
              <w:bottom w:w="20" w:type="dxa"/>
              <w:right w:w="60" w:type="dxa"/>
            </w:tcMar>
            <w:vAlign w:val="top"/>
          </w:tcPr>
          <w:p>
            <w:pPr>
              <w:spacing w:after="10" w:before="0" w:line="240" w:lineRule="auto"/>
              <w:jc w:val="right"/>
            </w:pPr>
            <w:r>
              <w:rPr>
                <w:sz w:val="17"/>
              </w:rPr>
              <w:t>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(Increase) in inventories</w:t>
            </w:r>
          </w:p>
        </w:tc>
        <w:tc>
          <w:tcPr>
            <w:tcW w:type="dxa" w:w="4366"/>
            <w:tcMar>
              <w:top w:w="20" w:type="dxa"/>
              <w:left w:w="60" w:type="dxa"/>
              <w:bottom w:w="20" w:type="dxa"/>
              <w:right w:w="60" w:type="dxa"/>
            </w:tcMar>
            <w:vAlign w:val="top"/>
          </w:tcPr>
          <w:p>
            <w:pPr>
              <w:spacing w:after="10" w:before="0" w:line="240" w:lineRule="auto"/>
            </w:pPr>
            <w:r>
              <w:rPr>
                <w:sz w:val="17"/>
              </w:rPr>
              <w:t>minus 900.00 (Inventory Stock)</w:t>
            </w:r>
          </w:p>
        </w:tc>
        <w:tc>
          <w:tcPr>
            <w:tcW w:type="dxa" w:w="1601"/>
            <w:tcMar>
              <w:top w:w="20" w:type="dxa"/>
              <w:left w:w="60" w:type="dxa"/>
              <w:bottom w:w="20" w:type="dxa"/>
              <w:right w:w="60" w:type="dxa"/>
            </w:tcMar>
            <w:vAlign w:val="top"/>
          </w:tcPr>
          <w:p>
            <w:pPr>
              <w:spacing w:after="10" w:before="0" w:line="240" w:lineRule="auto"/>
              <w:jc w:val="right"/>
            </w:pPr>
            <w:r>
              <w:rPr>
                <w:sz w:val="17"/>
              </w:rPr>
              <w:t>-900.00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(Increase) in trade and other receivables</w:t>
            </w:r>
          </w:p>
        </w:tc>
        <w:tc>
          <w:tcPr>
            <w:tcW w:type="dxa" w:w="4366"/>
            <w:tcMar>
              <w:top w:w="20" w:type="dxa"/>
              <w:left w:w="60" w:type="dxa"/>
              <w:bottom w:w="20" w:type="dxa"/>
              <w:right w:w="60" w:type="dxa"/>
            </w:tcMar>
            <w:vAlign w:val="top"/>
          </w:tcPr>
          <w:p>
            <w:pPr>
              <w:spacing w:after="10" w:before="0" w:line="240" w:lineRule="auto"/>
            </w:pPr>
            <w:r>
              <w:rPr>
                <w:sz w:val="17"/>
              </w:rPr>
              <w:t>minus (Customer 210.00 + Advance to Vendor 300.00 + Input VAT 60.00)</w:t>
            </w:r>
          </w:p>
        </w:tc>
        <w:tc>
          <w:tcPr>
            <w:tcW w:type="dxa" w:w="1601"/>
            <w:tcMar>
              <w:top w:w="20" w:type="dxa"/>
              <w:left w:w="60" w:type="dxa"/>
              <w:bottom w:w="20" w:type="dxa"/>
              <w:right w:w="60" w:type="dxa"/>
            </w:tcMar>
            <w:vAlign w:val="top"/>
          </w:tcPr>
          <w:p>
            <w:pPr>
              <w:spacing w:after="10" w:before="0" w:line="240" w:lineRule="auto"/>
              <w:jc w:val="right"/>
            </w:pPr>
            <w:r>
              <w:rPr>
                <w:sz w:val="17"/>
              </w:rPr>
              <w:t>-570.00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Increase in trade and other payables</w:t>
            </w:r>
          </w:p>
        </w:tc>
        <w:tc>
          <w:tcPr>
            <w:tcW w:type="dxa" w:w="4366"/>
            <w:tcMar>
              <w:top w:w="20" w:type="dxa"/>
              <w:left w:w="60" w:type="dxa"/>
              <w:bottom w:w="20" w:type="dxa"/>
              <w:right w:w="60" w:type="dxa"/>
            </w:tcMar>
            <w:vAlign w:val="top"/>
          </w:tcPr>
          <w:p>
            <w:pPr>
              <w:spacing w:after="10" w:before="0" w:line="240" w:lineRule="auto"/>
            </w:pPr>
            <w:r>
              <w:rPr>
                <w:sz w:val="17"/>
              </w:rPr>
              <w:t>Vendor 1,050.00 + Customer Advance 100.00 + Output VAT 10.00</w:t>
            </w:r>
          </w:p>
        </w:tc>
        <w:tc>
          <w:tcPr>
            <w:tcW w:type="dxa" w:w="1601"/>
            <w:tcMar>
              <w:top w:w="20" w:type="dxa"/>
              <w:left w:w="60" w:type="dxa"/>
              <w:bottom w:w="20" w:type="dxa"/>
              <w:right w:w="60" w:type="dxa"/>
            </w:tcMar>
            <w:vAlign w:val="top"/>
          </w:tcPr>
          <w:p>
            <w:pPr>
              <w:spacing w:after="10" w:before="0" w:line="240" w:lineRule="auto"/>
              <w:jc w:val="right"/>
            </w:pPr>
            <w:r>
              <w:rPr>
                <w:sz w:val="17"/>
              </w:rPr>
              <w:t>1,160.00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Cash generated from operations</w:t>
            </w:r>
          </w:p>
        </w:tc>
        <w:tc>
          <w:tcPr>
            <w:tcW w:type="dxa" w:w="4366"/>
            <w:tcMar>
              <w:top w:w="20" w:type="dxa"/>
              <w:left w:w="60" w:type="dxa"/>
              <w:bottom w:w="20" w:type="dxa"/>
              <w:right w:w="60" w:type="dxa"/>
            </w:tcMar>
            <w:vAlign w:val="top"/>
          </w:tcPr>
          <w:p>
            <w:pPr>
              <w:spacing w:after="10" w:before="0" w:line="240" w:lineRule="auto"/>
            </w:pPr>
            <w:r>
              <w:rPr>
                <w:sz w:val="17"/>
              </w:rPr>
              <w:t>-100.00 + 0.00 - 900.00 - 570.00 + 1,160.00</w:t>
            </w:r>
          </w:p>
        </w:tc>
        <w:tc>
          <w:tcPr>
            <w:tcW w:type="dxa" w:w="1601"/>
            <w:tcMar>
              <w:top w:w="20" w:type="dxa"/>
              <w:left w:w="60" w:type="dxa"/>
              <w:bottom w:w="20" w:type="dxa"/>
              <w:right w:w="60" w:type="dxa"/>
            </w:tcMar>
            <w:vAlign w:val="top"/>
          </w:tcPr>
          <w:p>
            <w:pPr>
              <w:spacing w:after="10" w:before="0" w:line="240" w:lineRule="auto"/>
              <w:jc w:val="right"/>
            </w:pPr>
            <w:r>
              <w:rPr>
                <w:sz w:val="17"/>
              </w:rPr>
              <w:t>-410.00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Interest paid, income tax paid</w:t>
            </w:r>
          </w:p>
        </w:tc>
        <w:tc>
          <w:tcPr>
            <w:tcW w:type="dxa" w:w="4366"/>
            <w:tcMar>
              <w:top w:w="20" w:type="dxa"/>
              <w:left w:w="60" w:type="dxa"/>
              <w:bottom w:w="20" w:type="dxa"/>
              <w:right w:w="60" w:type="dxa"/>
            </w:tcMar>
            <w:vAlign w:val="top"/>
          </w:tcPr>
          <w:p>
            <w:pPr>
              <w:spacing w:after="10" w:before="0" w:line="240" w:lineRule="auto"/>
            </w:pPr>
            <w:r>
              <w:rPr>
                <w:sz w:val="17"/>
              </w:rPr>
              <w:t>none</w:t>
            </w:r>
          </w:p>
        </w:tc>
        <w:tc>
          <w:tcPr>
            <w:tcW w:type="dxa" w:w="1601"/>
            <w:tcMar>
              <w:top w:w="20" w:type="dxa"/>
              <w:left w:w="60" w:type="dxa"/>
              <w:bottom w:w="20" w:type="dxa"/>
              <w:right w:w="60" w:type="dxa"/>
            </w:tcMar>
            <w:vAlign w:val="top"/>
          </w:tcPr>
          <w:p>
            <w:pPr>
              <w:spacing w:after="10" w:before="0" w:line="240" w:lineRule="auto"/>
              <w:jc w:val="right"/>
            </w:pPr>
            <w:r>
              <w:rPr>
                <w:sz w:val="17"/>
              </w:rPr>
              <w:t>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Net cash from operating activities</w:t>
            </w:r>
          </w:p>
        </w:tc>
        <w:tc>
          <w:tcPr>
            <w:tcW w:type="dxa" w:w="4366"/>
            <w:tcMar>
              <w:top w:w="20" w:type="dxa"/>
              <w:left w:w="60" w:type="dxa"/>
              <w:bottom w:w="20" w:type="dxa"/>
              <w:right w:w="60" w:type="dxa"/>
            </w:tcMar>
            <w:vAlign w:val="top"/>
          </w:tcPr>
          <w:p>
            <w:pPr>
              <w:spacing w:after="10" w:before="0" w:line="240" w:lineRule="auto"/>
            </w:pPr>
          </w:p>
        </w:tc>
        <w:tc>
          <w:tcPr>
            <w:tcW w:type="dxa" w:w="1601"/>
            <w:tcMar>
              <w:top w:w="20" w:type="dxa"/>
              <w:left w:w="60" w:type="dxa"/>
              <w:bottom w:w="20" w:type="dxa"/>
              <w:right w:w="60" w:type="dxa"/>
            </w:tcMar>
            <w:vAlign w:val="top"/>
          </w:tcPr>
          <w:p>
            <w:pPr>
              <w:spacing w:after="10" w:before="0" w:line="240" w:lineRule="auto"/>
              <w:jc w:val="right"/>
            </w:pPr>
            <w:r>
              <w:rPr>
                <w:sz w:val="17"/>
              </w:rPr>
              <w:t>-410.00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Investing activities</w:t>
            </w:r>
          </w:p>
        </w:tc>
        <w:tc>
          <w:tcPr>
            <w:tcW w:type="dxa" w:w="4366"/>
            <w:tcMar>
              <w:top w:w="20" w:type="dxa"/>
              <w:left w:w="60" w:type="dxa"/>
              <w:bottom w:w="20" w:type="dxa"/>
              <w:right w:w="60" w:type="dxa"/>
            </w:tcMar>
            <w:vAlign w:val="top"/>
          </w:tcPr>
          <w:p>
            <w:pPr>
              <w:spacing w:after="10" w:before="0" w:line="240" w:lineRule="auto"/>
            </w:pPr>
            <w:r>
              <w:rPr>
                <w:sz w:val="17"/>
              </w:rPr>
              <w:t>none</w:t>
            </w:r>
          </w:p>
        </w:tc>
        <w:tc>
          <w:tcPr>
            <w:tcW w:type="dxa" w:w="1601"/>
            <w:tcMar>
              <w:top w:w="20" w:type="dxa"/>
              <w:left w:w="60" w:type="dxa"/>
              <w:bottom w:w="20" w:type="dxa"/>
              <w:right w:w="60" w:type="dxa"/>
            </w:tcMar>
            <w:vAlign w:val="top"/>
          </w:tcPr>
          <w:p>
            <w:pPr>
              <w:spacing w:after="10" w:before="0" w:line="240" w:lineRule="auto"/>
              <w:jc w:val="right"/>
            </w:pPr>
            <w:r>
              <w:rPr>
                <w:sz w:val="17"/>
              </w:rPr>
              <w:t>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Financing: capital introduced</w:t>
            </w:r>
          </w:p>
        </w:tc>
        <w:tc>
          <w:tcPr>
            <w:tcW w:type="dxa" w:w="4366"/>
            <w:tcMar>
              <w:top w:w="20" w:type="dxa"/>
              <w:left w:w="60" w:type="dxa"/>
              <w:bottom w:w="20" w:type="dxa"/>
              <w:right w:w="60" w:type="dxa"/>
            </w:tcMar>
            <w:vAlign w:val="top"/>
          </w:tcPr>
          <w:p>
            <w:pPr>
              <w:spacing w:after="10" w:before="0" w:line="240" w:lineRule="auto"/>
            </w:pPr>
            <w:r>
              <w:rPr>
                <w:sz w:val="17"/>
              </w:rPr>
              <w:t>Opening Balance Equity credit 5,000.00</w:t>
            </w:r>
          </w:p>
        </w:tc>
        <w:tc>
          <w:tcPr>
            <w:tcW w:type="dxa" w:w="1601"/>
            <w:tcMar>
              <w:top w:w="20" w:type="dxa"/>
              <w:left w:w="60" w:type="dxa"/>
              <w:bottom w:w="20" w:type="dxa"/>
              <w:right w:w="60" w:type="dxa"/>
            </w:tcMar>
            <w:vAlign w:val="top"/>
          </w:tcPr>
          <w:p>
            <w:pPr>
              <w:spacing w:after="10" w:before="0" w:line="240" w:lineRule="auto"/>
              <w:jc w:val="right"/>
            </w:pPr>
            <w:r>
              <w:rPr>
                <w:sz w:val="17"/>
              </w:rPr>
              <w:t>5,000.00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Net increase in cash</w:t>
            </w:r>
          </w:p>
        </w:tc>
        <w:tc>
          <w:tcPr>
            <w:tcW w:type="dxa" w:w="4366"/>
            <w:tcMar>
              <w:top w:w="20" w:type="dxa"/>
              <w:left w:w="60" w:type="dxa"/>
              <w:bottom w:w="20" w:type="dxa"/>
              <w:right w:w="60" w:type="dxa"/>
            </w:tcMar>
            <w:vAlign w:val="top"/>
          </w:tcPr>
          <w:p>
            <w:pPr>
              <w:spacing w:after="10" w:before="0" w:line="240" w:lineRule="auto"/>
            </w:pPr>
            <w:r>
              <w:rPr>
                <w:sz w:val="17"/>
              </w:rPr>
              <w:t>-410.00 + 0.00 + 5,000.00</w:t>
            </w:r>
          </w:p>
        </w:tc>
        <w:tc>
          <w:tcPr>
            <w:tcW w:type="dxa" w:w="1601"/>
            <w:tcMar>
              <w:top w:w="20" w:type="dxa"/>
              <w:left w:w="60" w:type="dxa"/>
              <w:bottom w:w="20" w:type="dxa"/>
              <w:right w:w="60" w:type="dxa"/>
            </w:tcMar>
            <w:vAlign w:val="top"/>
          </w:tcPr>
          <w:p>
            <w:pPr>
              <w:spacing w:after="10" w:before="0" w:line="240" w:lineRule="auto"/>
              <w:jc w:val="right"/>
            </w:pPr>
            <w:r>
              <w:rPr>
                <w:sz w:val="17"/>
              </w:rPr>
              <w:t>4,590.00</w:t>
            </w:r>
          </w:p>
        </w:tc>
      </w:tr>
      <w:tr>
        <w:trPr>
          <w:cantSplit w:val="true"/>
        </w:trPr>
        <w:tc>
          <w:tcPr>
            <w:tcW w:type="dxa" w:w="3638"/>
            <w:tcMar>
              <w:top w:w="20" w:type="dxa"/>
              <w:left w:w="60" w:type="dxa"/>
              <w:bottom w:w="20" w:type="dxa"/>
              <w:right w:w="60" w:type="dxa"/>
            </w:tcMar>
            <w:vAlign w:val="top"/>
          </w:tcPr>
          <w:p>
            <w:pPr>
              <w:spacing w:after="10" w:before="0" w:line="240" w:lineRule="auto"/>
            </w:pPr>
            <w:r>
              <w:rPr>
                <w:sz w:val="17"/>
              </w:rPr>
              <w:t>Opening cash / closing cash</w:t>
            </w:r>
          </w:p>
        </w:tc>
        <w:tc>
          <w:tcPr>
            <w:tcW w:type="dxa" w:w="4366"/>
            <w:tcMar>
              <w:top w:w="20" w:type="dxa"/>
              <w:left w:w="60" w:type="dxa"/>
              <w:bottom w:w="20" w:type="dxa"/>
              <w:right w:w="60" w:type="dxa"/>
            </w:tcMar>
            <w:vAlign w:val="top"/>
          </w:tcPr>
          <w:p>
            <w:pPr>
              <w:spacing w:after="10" w:before="0" w:line="240" w:lineRule="auto"/>
            </w:pPr>
            <w:r>
              <w:rPr>
                <w:sz w:val="17"/>
              </w:rPr>
              <w:t>0.00 / 0.00 + 4,590.00</w:t>
            </w:r>
          </w:p>
        </w:tc>
        <w:tc>
          <w:tcPr>
            <w:tcW w:type="dxa" w:w="1601"/>
            <w:tcMar>
              <w:top w:w="20" w:type="dxa"/>
              <w:left w:w="60" w:type="dxa"/>
              <w:bottom w:w="20" w:type="dxa"/>
              <w:right w:w="60" w:type="dxa"/>
            </w:tcMar>
            <w:vAlign w:val="top"/>
          </w:tcPr>
          <w:p>
            <w:pPr>
              <w:spacing w:after="10" w:before="0" w:line="240" w:lineRule="auto"/>
              <w:jc w:val="right"/>
            </w:pPr>
            <w:r>
              <w:rPr>
                <w:sz w:val="17"/>
              </w:rPr>
              <w:t>4,590.00</w:t>
            </w:r>
          </w:p>
        </w:tc>
      </w:tr>
    </w:tbl>
    <w:p>
      <w:pPr>
        <w:spacing w:after="0" w:before="0"/>
        <w:rPr>
          <w:sz w:val="6"/>
        </w:rPr>
      </w:pPr>
    </w:p>
    <w:p>
      <w:r>
        <w:t>Closing cash 4,590.00 equals the ledger's 4,590.00, so the IFRS statement reconciles with a difference of 0.00.</w:t>
      </w:r>
    </w:p>
    <w:p>
      <w:pPr>
        <w:pStyle w:val="Heading2"/>
      </w:pPr>
      <w:r>
        <w:t>6.7 Party balances, ageing and statements</w:t>
      </w:r>
    </w:p>
    <w:p>
      <w:pPr>
        <w:pStyle w:val="Caption"/>
      </w:pPr>
      <w:r>
        <w:t>Table 63. Party balances as on 30 September (test values: 110, 500, 390, 22, ok; 750)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553"/>
        <w:gridCol w:w="3107"/>
        <w:gridCol w:w="1129"/>
        <w:gridCol w:w="847"/>
        <w:gridCol w:w="847"/>
        <w:gridCol w:w="847"/>
        <w:gridCol w:w="564"/>
        <w:gridCol w:w="706"/>
      </w:tblGrid>
      <w:tr>
        <w:trPr>
          <w:tblHeader w:val="true"/>
          <w:cantSplit w:val="true"/>
        </w:trPr>
        <w:tc>
          <w:tcPr>
            <w:tcW w:type="dxa" w:w="1554"/>
            <w:shd w:val="clear" w:color="auto" w:fill="1F3A5F"/>
            <w:tcMar>
              <w:top w:w="20" w:type="dxa"/>
              <w:left w:w="60" w:type="dxa"/>
              <w:bottom w:w="20" w:type="dxa"/>
              <w:right w:w="60" w:type="dxa"/>
            </w:tcMar>
            <w:vAlign w:val="center"/>
          </w:tcPr>
          <w:p>
            <w:pPr>
              <w:spacing w:after="10" w:before="0" w:line="240" w:lineRule="auto"/>
            </w:pPr>
            <w:r>
              <w:rPr>
                <w:b/>
                <w:color w:val="FFFFFF"/>
                <w:sz w:val="17"/>
              </w:rPr>
              <w:t>Party</w:t>
            </w:r>
          </w:p>
        </w:tc>
        <w:tc>
          <w:tcPr>
            <w:tcW w:type="dxa" w:w="3107"/>
            <w:shd w:val="clear" w:color="auto" w:fill="1F3A5F"/>
            <w:tcMar>
              <w:top w:w="20" w:type="dxa"/>
              <w:left w:w="60" w:type="dxa"/>
              <w:bottom w:w="20" w:type="dxa"/>
              <w:right w:w="60" w:type="dxa"/>
            </w:tcMar>
            <w:vAlign w:val="center"/>
          </w:tcPr>
          <w:p>
            <w:pPr>
              <w:spacing w:after="10" w:before="0" w:line="240" w:lineRule="auto"/>
            </w:pPr>
            <w:r>
              <w:rPr>
                <w:b/>
                <w:color w:val="FFFFFF"/>
                <w:sz w:val="17"/>
              </w:rPr>
              <w:t>Accounts</w:t>
            </w:r>
          </w:p>
        </w:tc>
        <w:tc>
          <w:tcPr>
            <w:tcW w:type="dxa" w:w="1130"/>
            <w:shd w:val="clear" w:color="auto" w:fill="1F3A5F"/>
            <w:tcMar>
              <w:top w:w="20" w:type="dxa"/>
              <w:left w:w="60" w:type="dxa"/>
              <w:bottom w:w="20" w:type="dxa"/>
              <w:right w:w="60" w:type="dxa"/>
            </w:tcMar>
            <w:vAlign w:val="center"/>
          </w:tcPr>
          <w:p>
            <w:pPr>
              <w:spacing w:after="10" w:before="0" w:line="240" w:lineRule="auto"/>
            </w:pPr>
            <w:r>
              <w:rPr>
                <w:b/>
                <w:color w:val="FFFFFF"/>
                <w:sz w:val="17"/>
              </w:rPr>
              <w:t>Balance</w:t>
            </w:r>
          </w:p>
        </w:tc>
        <w:tc>
          <w:tcPr>
            <w:tcW w:type="dxa" w:w="847"/>
            <w:shd w:val="clear" w:color="auto" w:fill="1F3A5F"/>
            <w:tcMar>
              <w:top w:w="20" w:type="dxa"/>
              <w:left w:w="60" w:type="dxa"/>
              <w:bottom w:w="20" w:type="dxa"/>
              <w:right w:w="60" w:type="dxa"/>
            </w:tcMar>
            <w:vAlign w:val="center"/>
          </w:tcPr>
          <w:p>
            <w:pPr>
              <w:spacing w:after="10" w:before="0" w:line="240" w:lineRule="auto"/>
            </w:pPr>
            <w:r>
              <w:rPr>
                <w:b/>
                <w:color w:val="FFFFFF"/>
                <w:sz w:val="17"/>
              </w:rPr>
              <w:t>Limit</w:t>
            </w:r>
          </w:p>
        </w:tc>
        <w:tc>
          <w:tcPr>
            <w:tcW w:type="dxa" w:w="847"/>
            <w:shd w:val="clear" w:color="auto" w:fill="1F3A5F"/>
            <w:tcMar>
              <w:top w:w="20" w:type="dxa"/>
              <w:left w:w="60" w:type="dxa"/>
              <w:bottom w:w="20" w:type="dxa"/>
              <w:right w:w="60" w:type="dxa"/>
            </w:tcMar>
            <w:vAlign w:val="center"/>
          </w:tcPr>
          <w:p>
            <w:pPr>
              <w:spacing w:after="10" w:before="0" w:line="240" w:lineRule="auto"/>
            </w:pPr>
            <w:r>
              <w:rPr>
                <w:b/>
                <w:color w:val="FFFFFF"/>
                <w:sz w:val="17"/>
              </w:rPr>
              <w:t>Available</w:t>
            </w:r>
          </w:p>
        </w:tc>
        <w:tc>
          <w:tcPr>
            <w:tcW w:type="dxa" w:w="847"/>
            <w:shd w:val="clear" w:color="auto" w:fill="1F3A5F"/>
            <w:tcMar>
              <w:top w:w="20" w:type="dxa"/>
              <w:left w:w="60" w:type="dxa"/>
              <w:bottom w:w="20" w:type="dxa"/>
              <w:right w:w="60" w:type="dxa"/>
            </w:tcMar>
            <w:vAlign w:val="center"/>
          </w:tcPr>
          <w:p>
            <w:pPr>
              <w:spacing w:after="10" w:before="0" w:line="240" w:lineRule="auto"/>
            </w:pPr>
            <w:r>
              <w:rPr>
                <w:b/>
                <w:color w:val="FFFFFF"/>
                <w:sz w:val="17"/>
              </w:rPr>
              <w:t>Used</w:t>
            </w:r>
          </w:p>
        </w:tc>
        <w:tc>
          <w:tcPr>
            <w:tcW w:type="dxa" w:w="565"/>
            <w:shd w:val="clear" w:color="auto" w:fill="1F3A5F"/>
            <w:tcMar>
              <w:top w:w="20" w:type="dxa"/>
              <w:left w:w="60" w:type="dxa"/>
              <w:bottom w:w="20" w:type="dxa"/>
              <w:right w:w="60" w:type="dxa"/>
            </w:tcMar>
            <w:vAlign w:val="center"/>
          </w:tcPr>
          <w:p>
            <w:pPr>
              <w:spacing w:after="10" w:before="0" w:line="240" w:lineRule="auto"/>
            </w:pPr>
            <w:r>
              <w:rPr>
                <w:b/>
                <w:color w:val="FFFFFF"/>
                <w:sz w:val="17"/>
              </w:rPr>
              <w:t>Status</w:t>
            </w:r>
          </w:p>
        </w:tc>
        <w:tc>
          <w:tcPr>
            <w:tcW w:type="dxa" w:w="706"/>
            <w:shd w:val="clear" w:color="auto" w:fill="1F3A5F"/>
            <w:tcMar>
              <w:top w:w="20" w:type="dxa"/>
              <w:left w:w="60" w:type="dxa"/>
              <w:bottom w:w="20" w:type="dxa"/>
              <w:right w:w="60" w:type="dxa"/>
            </w:tcMar>
            <w:vAlign w:val="center"/>
          </w:tcPr>
          <w:p>
            <w:pPr>
              <w:spacing w:after="10" w:before="0" w:line="240" w:lineRule="auto"/>
            </w:pPr>
            <w:r>
              <w:rPr>
                <w:b/>
                <w:color w:val="FFFFFF"/>
                <w:sz w:val="17"/>
              </w:rPr>
              <w:t>Overdue</w:t>
            </w:r>
          </w:p>
        </w:tc>
      </w:tr>
      <w:tr>
        <w:trPr>
          <w:cantSplit w:val="true"/>
        </w:trPr>
        <w:tc>
          <w:tcPr>
            <w:tcW w:type="dxa" w:w="1554"/>
            <w:tcMar>
              <w:top w:w="20" w:type="dxa"/>
              <w:left w:w="60" w:type="dxa"/>
              <w:bottom w:w="20" w:type="dxa"/>
              <w:right w:w="60" w:type="dxa"/>
            </w:tcMar>
            <w:vAlign w:val="top"/>
          </w:tcPr>
          <w:p>
            <w:pPr>
              <w:spacing w:after="10" w:before="0" w:line="240" w:lineRule="auto"/>
            </w:pPr>
            <w:r>
              <w:rPr>
                <w:sz w:val="17"/>
              </w:rPr>
              <w:t>Al Noor (customer)</w:t>
            </w:r>
          </w:p>
        </w:tc>
        <w:tc>
          <w:tcPr>
            <w:tcW w:type="dxa" w:w="3107"/>
            <w:tcMar>
              <w:top w:w="20" w:type="dxa"/>
              <w:left w:w="60" w:type="dxa"/>
              <w:bottom w:w="20" w:type="dxa"/>
              <w:right w:w="60" w:type="dxa"/>
            </w:tcMar>
            <w:vAlign w:val="top"/>
          </w:tcPr>
          <w:p>
            <w:pPr>
              <w:spacing w:after="10" w:before="0" w:line="240" w:lineRule="auto"/>
            </w:pPr>
            <w:r>
              <w:rPr>
                <w:sz w:val="17"/>
              </w:rPr>
              <w:t>Customer 210.00 less Customer Advance 100.00</w:t>
            </w:r>
          </w:p>
        </w:tc>
        <w:tc>
          <w:tcPr>
            <w:tcW w:type="dxa" w:w="1130"/>
            <w:tcMar>
              <w:top w:w="20" w:type="dxa"/>
              <w:left w:w="60" w:type="dxa"/>
              <w:bottom w:w="20" w:type="dxa"/>
              <w:right w:w="60" w:type="dxa"/>
            </w:tcMar>
            <w:vAlign w:val="top"/>
          </w:tcPr>
          <w:p>
            <w:pPr>
              <w:spacing w:after="10" w:before="0" w:line="240" w:lineRule="auto"/>
            </w:pPr>
            <w:r>
              <w:rPr>
                <w:sz w:val="17"/>
              </w:rPr>
              <w:t>110.00 Dr</w:t>
            </w:r>
          </w:p>
        </w:tc>
        <w:tc>
          <w:tcPr>
            <w:tcW w:type="dxa" w:w="847"/>
            <w:tcMar>
              <w:top w:w="20" w:type="dxa"/>
              <w:left w:w="60" w:type="dxa"/>
              <w:bottom w:w="20" w:type="dxa"/>
              <w:right w:w="60" w:type="dxa"/>
            </w:tcMar>
            <w:vAlign w:val="top"/>
          </w:tcPr>
          <w:p>
            <w:pPr>
              <w:spacing w:after="10" w:before="0" w:line="240" w:lineRule="auto"/>
            </w:pPr>
            <w:r>
              <w:rPr>
                <w:sz w:val="17"/>
              </w:rPr>
              <w:t>500.00</w:t>
            </w:r>
          </w:p>
        </w:tc>
        <w:tc>
          <w:tcPr>
            <w:tcW w:type="dxa" w:w="847"/>
            <w:tcMar>
              <w:top w:w="20" w:type="dxa"/>
              <w:left w:w="60" w:type="dxa"/>
              <w:bottom w:w="20" w:type="dxa"/>
              <w:right w:w="60" w:type="dxa"/>
            </w:tcMar>
            <w:vAlign w:val="top"/>
          </w:tcPr>
          <w:p>
            <w:pPr>
              <w:spacing w:after="10" w:before="0" w:line="240" w:lineRule="auto"/>
            </w:pPr>
            <w:r>
              <w:rPr>
                <w:sz w:val="17"/>
              </w:rPr>
              <w:t>390.00</w:t>
            </w:r>
          </w:p>
        </w:tc>
        <w:tc>
          <w:tcPr>
            <w:tcW w:type="dxa" w:w="847"/>
            <w:tcMar>
              <w:top w:w="20" w:type="dxa"/>
              <w:left w:w="60" w:type="dxa"/>
              <w:bottom w:w="20" w:type="dxa"/>
              <w:right w:w="60" w:type="dxa"/>
            </w:tcMar>
            <w:vAlign w:val="top"/>
          </w:tcPr>
          <w:p>
            <w:pPr>
              <w:spacing w:after="10" w:before="0" w:line="240" w:lineRule="auto"/>
            </w:pPr>
            <w:r>
              <w:rPr>
                <w:sz w:val="17"/>
              </w:rPr>
              <w:t>22 percent</w:t>
            </w:r>
          </w:p>
        </w:tc>
        <w:tc>
          <w:tcPr>
            <w:tcW w:type="dxa" w:w="565"/>
            <w:tcMar>
              <w:top w:w="20" w:type="dxa"/>
              <w:left w:w="60" w:type="dxa"/>
              <w:bottom w:w="20" w:type="dxa"/>
              <w:right w:w="60" w:type="dxa"/>
            </w:tcMar>
            <w:vAlign w:val="top"/>
          </w:tcPr>
          <w:p>
            <w:pPr>
              <w:spacing w:after="10" w:before="0" w:line="240" w:lineRule="auto"/>
            </w:pPr>
            <w:r>
              <w:rPr>
                <w:sz w:val="17"/>
              </w:rPr>
              <w:t>ok</w:t>
            </w:r>
          </w:p>
        </w:tc>
        <w:tc>
          <w:tcPr>
            <w:tcW w:type="dxa" w:w="706"/>
            <w:tcMar>
              <w:top w:w="20" w:type="dxa"/>
              <w:left w:w="60" w:type="dxa"/>
              <w:bottom w:w="20" w:type="dxa"/>
              <w:right w:w="60" w:type="dxa"/>
            </w:tcMar>
            <w:vAlign w:val="top"/>
          </w:tcPr>
          <w:p>
            <w:pPr>
              <w:spacing w:after="10" w:before="0" w:line="240" w:lineRule="auto"/>
            </w:pPr>
            <w:r>
              <w:rPr>
                <w:sz w:val="17"/>
              </w:rPr>
              <w:t>0.00</w:t>
            </w:r>
          </w:p>
        </w:tc>
      </w:tr>
      <w:tr>
        <w:trPr>
          <w:cantSplit w:val="true"/>
        </w:trPr>
        <w:tc>
          <w:tcPr>
            <w:tcW w:type="dxa" w:w="1554"/>
            <w:tcMar>
              <w:top w:w="20" w:type="dxa"/>
              <w:left w:w="60" w:type="dxa"/>
              <w:bottom w:w="20" w:type="dxa"/>
              <w:right w:w="60" w:type="dxa"/>
            </w:tcMar>
            <w:vAlign w:val="top"/>
          </w:tcPr>
          <w:p>
            <w:pPr>
              <w:spacing w:after="10" w:before="0" w:line="240" w:lineRule="auto"/>
            </w:pPr>
            <w:r>
              <w:rPr>
                <w:sz w:val="17"/>
              </w:rPr>
              <w:t>Gulf Mills (vendor)</w:t>
            </w:r>
          </w:p>
        </w:tc>
        <w:tc>
          <w:tcPr>
            <w:tcW w:type="dxa" w:w="3107"/>
            <w:tcMar>
              <w:top w:w="20" w:type="dxa"/>
              <w:left w:w="60" w:type="dxa"/>
              <w:bottom w:w="20" w:type="dxa"/>
              <w:right w:w="60" w:type="dxa"/>
            </w:tcMar>
            <w:vAlign w:val="top"/>
          </w:tcPr>
          <w:p>
            <w:pPr>
              <w:spacing w:after="10" w:before="0" w:line="240" w:lineRule="auto"/>
            </w:pPr>
            <w:r>
              <w:rPr>
                <w:sz w:val="17"/>
              </w:rPr>
              <w:t>Vendor 1,050.00 less Advance to Vendor 300.00</w:t>
            </w:r>
          </w:p>
        </w:tc>
        <w:tc>
          <w:tcPr>
            <w:tcW w:type="dxa" w:w="1130"/>
            <w:tcMar>
              <w:top w:w="20" w:type="dxa"/>
              <w:left w:w="60" w:type="dxa"/>
              <w:bottom w:w="20" w:type="dxa"/>
              <w:right w:w="60" w:type="dxa"/>
            </w:tcMar>
            <w:vAlign w:val="top"/>
          </w:tcPr>
          <w:p>
            <w:pPr>
              <w:spacing w:after="10" w:before="0" w:line="240" w:lineRule="auto"/>
            </w:pPr>
            <w:r>
              <w:rPr>
                <w:sz w:val="17"/>
              </w:rPr>
              <w:t>750.00 Cr</w:t>
            </w:r>
          </w:p>
        </w:tc>
        <w:tc>
          <w:tcPr>
            <w:tcW w:type="dxa" w:w="847"/>
            <w:tcMar>
              <w:top w:w="20" w:type="dxa"/>
              <w:left w:w="60" w:type="dxa"/>
              <w:bottom w:w="20" w:type="dxa"/>
              <w:right w:w="60" w:type="dxa"/>
            </w:tcMar>
            <w:vAlign w:val="top"/>
          </w:tcPr>
          <w:p>
            <w:pPr>
              <w:spacing w:after="10" w:before="0" w:line="240" w:lineRule="auto"/>
            </w:pPr>
            <w:r>
              <w:rPr>
                <w:sz w:val="17"/>
              </w:rPr>
              <w:t>none</w:t>
            </w:r>
          </w:p>
        </w:tc>
        <w:tc>
          <w:tcPr>
            <w:tcW w:type="dxa" w:w="847"/>
            <w:tcMar>
              <w:top w:w="20" w:type="dxa"/>
              <w:left w:w="60" w:type="dxa"/>
              <w:bottom w:w="20" w:type="dxa"/>
              <w:right w:w="60" w:type="dxa"/>
            </w:tcMar>
            <w:vAlign w:val="top"/>
          </w:tcPr>
          <w:p>
            <w:pPr>
              <w:spacing w:after="10" w:before="0" w:line="240" w:lineRule="auto"/>
            </w:pPr>
          </w:p>
        </w:tc>
        <w:tc>
          <w:tcPr>
            <w:tcW w:type="dxa" w:w="847"/>
            <w:tcMar>
              <w:top w:w="20" w:type="dxa"/>
              <w:left w:w="60" w:type="dxa"/>
              <w:bottom w:w="20" w:type="dxa"/>
              <w:right w:w="60" w:type="dxa"/>
            </w:tcMar>
            <w:vAlign w:val="top"/>
          </w:tcPr>
          <w:p>
            <w:pPr>
              <w:spacing w:after="10" w:before="0" w:line="240" w:lineRule="auto"/>
            </w:pPr>
          </w:p>
        </w:tc>
        <w:tc>
          <w:tcPr>
            <w:tcW w:type="dxa" w:w="565"/>
            <w:tcMar>
              <w:top w:w="20" w:type="dxa"/>
              <w:left w:w="60" w:type="dxa"/>
              <w:bottom w:w="20" w:type="dxa"/>
              <w:right w:w="60" w:type="dxa"/>
            </w:tcMar>
            <w:vAlign w:val="top"/>
          </w:tcPr>
          <w:p>
            <w:pPr>
              <w:spacing w:after="10" w:before="0" w:line="240" w:lineRule="auto"/>
            </w:pPr>
          </w:p>
        </w:tc>
        <w:tc>
          <w:tcPr>
            <w:tcW w:type="dxa" w:w="706"/>
            <w:tcMar>
              <w:top w:w="20" w:type="dxa"/>
              <w:left w:w="60" w:type="dxa"/>
              <w:bottom w:w="20" w:type="dxa"/>
              <w:right w:w="60" w:type="dxa"/>
            </w:tcMar>
            <w:vAlign w:val="top"/>
          </w:tcPr>
          <w:p>
            <w:pPr>
              <w:spacing w:after="10" w:before="0" w:line="240" w:lineRule="auto"/>
            </w:pPr>
            <w:r>
              <w:rPr>
                <w:sz w:val="17"/>
              </w:rPr>
              <w:t>0.00</w:t>
            </w:r>
          </w:p>
        </w:tc>
      </w:tr>
    </w:tbl>
    <w:p>
      <w:pPr>
        <w:spacing w:after="0" w:before="0"/>
        <w:rPr>
          <w:sz w:val="6"/>
        </w:rPr>
      </w:pPr>
    </w:p>
    <w:p>
      <w:pPr>
        <w:pStyle w:val="ListBullet"/>
      </w:pPr>
      <w:r>
        <w:rPr>
          <w:b/>
        </w:rPr>
        <w:t>Ageing at 30 September</w:t>
      </w:r>
      <w:r>
        <w:t>, with 30-day terms: sales invoice SO-2026-0001 of 210.00 dated 8 September is due 8 October, so it is 'not yet due' (210.00). Purchase invoice PO-2026-0001 of 1,050.00 dated 3 September is due 3 October, also 'not yet due'. Overdue is 0.00 on both sides.</w:t>
      </w:r>
    </w:p>
    <w:p>
      <w:pPr>
        <w:pStyle w:val="ListBullet"/>
      </w:pPr>
      <w:r>
        <w:rPr>
          <w:b/>
        </w:rPr>
        <w:t>Ageing against the ledger.</w:t>
      </w:r>
      <w:r>
        <w:t xml:space="preserve"> The receivables ageing totals 210.00 but Al Noor's party balance is 110.00: the 100.00 receipt was kept on account, not set against the invoice. The payables ageing totals 1,050.00 against a party balance of 750.00 for the same reason (the 300.00 payment). These differences are exactly the advances.</w:t>
      </w:r>
    </w:p>
    <w:p>
      <w:pPr>
        <w:pStyle w:val="ListBullet"/>
      </w:pPr>
      <w:r>
        <w:rPr>
          <w:b/>
        </w:rPr>
        <w:t>Statement of account, Al Noor.</w:t>
      </w:r>
      <w:r>
        <w:t xml:space="preserve"> SO-2026-0001 debit 210.00 (balance 210.00 Dr), RV-2026-0001 credit 100.00 (balance 110.00 Dr). Opening 0.00, closing 110.00, which equals the party balance.</w:t>
      </w:r>
    </w:p>
    <w:p>
      <w:pPr>
        <w:pStyle w:val="ListBullet"/>
      </w:pPr>
      <w:r>
        <w:rPr>
          <w:b/>
        </w:rPr>
        <w:t>Statement of account, Gulf Mills.</w:t>
      </w:r>
      <w:r>
        <w:t xml:space="preserve"> PO-2026-0001 credit 1,050.00. Closing 1,050.00. The statement does not read the vendor's advance account, so it does not show the 300.00 payment, while the party balance of 750.00 does (section 4.11).</w:t>
      </w:r>
    </w:p>
    <w:p>
      <w:pPr>
        <w:pStyle w:val="Heading2"/>
      </w:pPr>
      <w:r>
        <w:t>6.8 Stock valuation and sales analysis</w:t>
      </w:r>
    </w:p>
    <w:p>
      <w:pPr>
        <w:pStyle w:val="Caption"/>
      </w:pPr>
      <w:r>
        <w:t>Table 64. Stock valuation as on 30 September (100 bought, 10 sold at the average of 10.00)</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746"/>
        <w:gridCol w:w="1455"/>
        <w:gridCol w:w="1600"/>
        <w:gridCol w:w="1600"/>
        <w:gridCol w:w="2037"/>
        <w:gridCol w:w="1164"/>
      </w:tblGrid>
      <w:tr>
        <w:trPr>
          <w:tblHeader w:val="true"/>
          <w:cantSplit w:val="true"/>
        </w:trPr>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Item</w:t>
            </w:r>
          </w:p>
        </w:tc>
        <w:tc>
          <w:tcPr>
            <w:tcW w:type="dxa" w:w="1455"/>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Quantity</w:t>
            </w:r>
          </w:p>
        </w:tc>
        <w:tc>
          <w:tcPr>
            <w:tcW w:type="dxa" w:w="160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Average cost</w:t>
            </w:r>
          </w:p>
        </w:tc>
        <w:tc>
          <w:tcPr>
            <w:tcW w:type="dxa" w:w="1601"/>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Value (AED)</w:t>
            </w:r>
          </w:p>
        </w:tc>
        <w:tc>
          <w:tcPr>
            <w:tcW w:type="dxa" w:w="2037"/>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Inventory account</w:t>
            </w:r>
          </w:p>
        </w:tc>
        <w:tc>
          <w:tcPr>
            <w:tcW w:type="dxa" w:w="1164"/>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Difference</w:t>
            </w:r>
          </w:p>
        </w:tc>
      </w:tr>
      <w:tr>
        <w:trPr>
          <w:cantSplit w:val="true"/>
        </w:trPr>
        <w:tc>
          <w:tcPr>
            <w:tcW w:type="dxa" w:w="1746"/>
            <w:tcMar>
              <w:top w:w="20" w:type="dxa"/>
              <w:left w:w="60" w:type="dxa"/>
              <w:bottom w:w="20" w:type="dxa"/>
              <w:right w:w="60" w:type="dxa"/>
            </w:tcMar>
            <w:vAlign w:val="top"/>
          </w:tcPr>
          <w:p>
            <w:pPr>
              <w:spacing w:after="10" w:before="0" w:line="240" w:lineRule="auto"/>
            </w:pPr>
            <w:r>
              <w:rPr>
                <w:sz w:val="17"/>
              </w:rPr>
              <w:t>Rice</w:t>
            </w:r>
          </w:p>
        </w:tc>
        <w:tc>
          <w:tcPr>
            <w:tcW w:type="dxa" w:w="1455"/>
            <w:tcMar>
              <w:top w:w="20" w:type="dxa"/>
              <w:left w:w="60" w:type="dxa"/>
              <w:bottom w:w="20" w:type="dxa"/>
              <w:right w:w="60" w:type="dxa"/>
            </w:tcMar>
            <w:vAlign w:val="top"/>
          </w:tcPr>
          <w:p>
            <w:pPr>
              <w:spacing w:after="10" w:before="0" w:line="240" w:lineRule="auto"/>
              <w:jc w:val="right"/>
            </w:pPr>
            <w:r>
              <w:rPr>
                <w:sz w:val="17"/>
              </w:rPr>
              <w:t>90 bags</w:t>
            </w:r>
          </w:p>
        </w:tc>
        <w:tc>
          <w:tcPr>
            <w:tcW w:type="dxa" w:w="1601"/>
            <w:tcMar>
              <w:top w:w="20" w:type="dxa"/>
              <w:left w:w="60" w:type="dxa"/>
              <w:bottom w:w="20" w:type="dxa"/>
              <w:right w:w="60" w:type="dxa"/>
            </w:tcMar>
            <w:vAlign w:val="top"/>
          </w:tcPr>
          <w:p>
            <w:pPr>
              <w:spacing w:after="10" w:before="0" w:line="240" w:lineRule="auto"/>
              <w:jc w:val="right"/>
            </w:pPr>
            <w:r>
              <w:rPr>
                <w:sz w:val="17"/>
              </w:rPr>
              <w:t>10.00</w:t>
            </w:r>
          </w:p>
        </w:tc>
        <w:tc>
          <w:tcPr>
            <w:tcW w:type="dxa" w:w="1601"/>
            <w:tcMar>
              <w:top w:w="20" w:type="dxa"/>
              <w:left w:w="60" w:type="dxa"/>
              <w:bottom w:w="20" w:type="dxa"/>
              <w:right w:w="60" w:type="dxa"/>
            </w:tcMar>
            <w:vAlign w:val="top"/>
          </w:tcPr>
          <w:p>
            <w:pPr>
              <w:spacing w:after="10" w:before="0" w:line="240" w:lineRule="auto"/>
              <w:jc w:val="right"/>
            </w:pPr>
            <w:r>
              <w:rPr>
                <w:sz w:val="17"/>
              </w:rPr>
              <w:t>900.00</w:t>
            </w:r>
          </w:p>
        </w:tc>
        <w:tc>
          <w:tcPr>
            <w:tcW w:type="dxa" w:w="2037"/>
            <w:tcMar>
              <w:top w:w="20" w:type="dxa"/>
              <w:left w:w="60" w:type="dxa"/>
              <w:bottom w:w="20" w:type="dxa"/>
              <w:right w:w="60" w:type="dxa"/>
            </w:tcMar>
            <w:vAlign w:val="top"/>
          </w:tcPr>
          <w:p>
            <w:pPr>
              <w:spacing w:after="10" w:before="0" w:line="240" w:lineRule="auto"/>
              <w:jc w:val="right"/>
            </w:pPr>
            <w:r>
              <w:rPr>
                <w:sz w:val="17"/>
              </w:rPr>
              <w:t>900.00</w:t>
            </w:r>
          </w:p>
        </w:tc>
        <w:tc>
          <w:tcPr>
            <w:tcW w:type="dxa" w:w="1164"/>
            <w:tcMar>
              <w:top w:w="20" w:type="dxa"/>
              <w:left w:w="60" w:type="dxa"/>
              <w:bottom w:w="20" w:type="dxa"/>
              <w:right w:w="60" w:type="dxa"/>
            </w:tcMar>
            <w:vAlign w:val="top"/>
          </w:tcPr>
          <w:p>
            <w:pPr>
              <w:spacing w:after="10" w:before="0" w:line="240" w:lineRule="auto"/>
              <w:jc w:val="right"/>
            </w:pPr>
            <w:r>
              <w:rPr>
                <w:sz w:val="17"/>
              </w:rPr>
              <w:t>0.00</w:t>
            </w:r>
          </w:p>
        </w:tc>
      </w:tr>
    </w:tbl>
    <w:p>
      <w:pPr>
        <w:spacing w:after="0" w:before="0"/>
        <w:rPr>
          <w:sz w:val="6"/>
        </w:rPr>
      </w:pPr>
    </w:p>
    <w:p>
      <w:pPr>
        <w:pStyle w:val="Caption"/>
      </w:pPr>
      <w:r>
        <w:t>Table 65. Reconciliation lines of the valuation</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783"/>
        <w:gridCol w:w="1891"/>
        <w:gridCol w:w="1891"/>
        <w:gridCol w:w="2037"/>
      </w:tblGrid>
      <w:tr>
        <w:trPr>
          <w:tblHeader w:val="true"/>
          <w:cantSplit w:val="true"/>
        </w:trPr>
        <w:tc>
          <w:tcPr>
            <w:tcW w:type="dxa" w:w="3784"/>
            <w:shd w:val="clear" w:color="auto" w:fill="1F3A5F"/>
            <w:tcMar>
              <w:top w:w="20" w:type="dxa"/>
              <w:left w:w="60" w:type="dxa"/>
              <w:bottom w:w="20" w:type="dxa"/>
              <w:right w:w="60" w:type="dxa"/>
            </w:tcMar>
            <w:vAlign w:val="center"/>
          </w:tcPr>
          <w:p>
            <w:pPr>
              <w:spacing w:after="10" w:before="0" w:line="240" w:lineRule="auto"/>
            </w:pPr>
            <w:r>
              <w:rPr>
                <w:b/>
                <w:color w:val="FFFFFF"/>
                <w:sz w:val="17"/>
              </w:rPr>
              <w:t>Source line</w:t>
            </w:r>
          </w:p>
        </w:tc>
        <w:tc>
          <w:tcPr>
            <w:tcW w:type="dxa" w:w="1892"/>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Stock</w:t>
            </w:r>
          </w:p>
        </w:tc>
        <w:tc>
          <w:tcPr>
            <w:tcW w:type="dxa" w:w="1892"/>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Ledger</w:t>
            </w:r>
          </w:p>
        </w:tc>
        <w:tc>
          <w:tcPr>
            <w:tcW w:type="dxa" w:w="2037"/>
            <w:shd w:val="clear" w:color="auto" w:fill="1F3A5F"/>
            <w:tcMar>
              <w:top w:w="20" w:type="dxa"/>
              <w:left w:w="60" w:type="dxa"/>
              <w:bottom w:w="20" w:type="dxa"/>
              <w:right w:w="60" w:type="dxa"/>
            </w:tcMar>
            <w:vAlign w:val="center"/>
          </w:tcPr>
          <w:p>
            <w:pPr>
              <w:spacing w:after="10" w:before="0" w:line="240" w:lineRule="auto"/>
              <w:jc w:val="right"/>
            </w:pPr>
            <w:r>
              <w:rPr>
                <w:b/>
                <w:color w:val="FFFFFF"/>
                <w:sz w:val="17"/>
              </w:rPr>
              <w:t>Difference</w:t>
            </w:r>
          </w:p>
        </w:tc>
      </w:tr>
      <w:tr>
        <w:trPr>
          <w:cantSplit w:val="true"/>
        </w:trPr>
        <w:tc>
          <w:tcPr>
            <w:tcW w:type="dxa" w:w="3784"/>
            <w:tcMar>
              <w:top w:w="20" w:type="dxa"/>
              <w:left w:w="60" w:type="dxa"/>
              <w:bottom w:w="20" w:type="dxa"/>
              <w:right w:w="60" w:type="dxa"/>
            </w:tcMar>
            <w:vAlign w:val="top"/>
          </w:tcPr>
          <w:p>
            <w:pPr>
              <w:spacing w:after="10" w:before="0" w:line="240" w:lineRule="auto"/>
            </w:pPr>
            <w:r>
              <w:rPr>
                <w:sz w:val="17"/>
              </w:rPr>
              <w:t>Purchases</w:t>
            </w:r>
          </w:p>
        </w:tc>
        <w:tc>
          <w:tcPr>
            <w:tcW w:type="dxa" w:w="1892"/>
            <w:tcMar>
              <w:top w:w="20" w:type="dxa"/>
              <w:left w:w="60" w:type="dxa"/>
              <w:bottom w:w="20" w:type="dxa"/>
              <w:right w:w="60" w:type="dxa"/>
            </w:tcMar>
            <w:vAlign w:val="top"/>
          </w:tcPr>
          <w:p>
            <w:pPr>
              <w:spacing w:after="10" w:before="0" w:line="240" w:lineRule="auto"/>
              <w:jc w:val="right"/>
            </w:pPr>
            <w:r>
              <w:rPr>
                <w:sz w:val="17"/>
              </w:rPr>
              <w:t>1,000.00</w:t>
            </w:r>
          </w:p>
        </w:tc>
        <w:tc>
          <w:tcPr>
            <w:tcW w:type="dxa" w:w="1892"/>
            <w:tcMar>
              <w:top w:w="20" w:type="dxa"/>
              <w:left w:w="60" w:type="dxa"/>
              <w:bottom w:w="20" w:type="dxa"/>
              <w:right w:w="60" w:type="dxa"/>
            </w:tcMar>
            <w:vAlign w:val="top"/>
          </w:tcPr>
          <w:p>
            <w:pPr>
              <w:spacing w:after="10" w:before="0" w:line="240" w:lineRule="auto"/>
              <w:jc w:val="right"/>
            </w:pPr>
            <w:r>
              <w:rPr>
                <w:sz w:val="17"/>
              </w:rPr>
              <w:t>1,000.00</w:t>
            </w:r>
          </w:p>
        </w:tc>
        <w:tc>
          <w:tcPr>
            <w:tcW w:type="dxa" w:w="2037"/>
            <w:tcMar>
              <w:top w:w="20" w:type="dxa"/>
              <w:left w:w="60" w:type="dxa"/>
              <w:bottom w:w="20" w:type="dxa"/>
              <w:right w:w="60" w:type="dxa"/>
            </w:tcMar>
            <w:vAlign w:val="top"/>
          </w:tcPr>
          <w:p>
            <w:pPr>
              <w:spacing w:after="10" w:before="0" w:line="240" w:lineRule="auto"/>
              <w:jc w:val="right"/>
            </w:pPr>
            <w:r>
              <w:rPr>
                <w:sz w:val="17"/>
              </w:rPr>
              <w:t>0.00</w:t>
            </w:r>
          </w:p>
        </w:tc>
      </w:tr>
      <w:tr>
        <w:trPr>
          <w:cantSplit w:val="true"/>
        </w:trPr>
        <w:tc>
          <w:tcPr>
            <w:tcW w:type="dxa" w:w="3784"/>
            <w:tcMar>
              <w:top w:w="20" w:type="dxa"/>
              <w:left w:w="60" w:type="dxa"/>
              <w:bottom w:w="20" w:type="dxa"/>
              <w:right w:w="60" w:type="dxa"/>
            </w:tcMar>
            <w:vAlign w:val="top"/>
          </w:tcPr>
          <w:p>
            <w:pPr>
              <w:spacing w:after="10" w:before="0" w:line="240" w:lineRule="auto"/>
            </w:pPr>
            <w:r>
              <w:rPr>
                <w:sz w:val="17"/>
              </w:rPr>
              <w:t>Cost of goods sold</w:t>
            </w:r>
          </w:p>
        </w:tc>
        <w:tc>
          <w:tcPr>
            <w:tcW w:type="dxa" w:w="1892"/>
            <w:tcMar>
              <w:top w:w="20" w:type="dxa"/>
              <w:left w:w="60" w:type="dxa"/>
              <w:bottom w:w="20" w:type="dxa"/>
              <w:right w:w="60" w:type="dxa"/>
            </w:tcMar>
            <w:vAlign w:val="top"/>
          </w:tcPr>
          <w:p>
            <w:pPr>
              <w:spacing w:after="10" w:before="0" w:line="240" w:lineRule="auto"/>
              <w:jc w:val="right"/>
            </w:pPr>
            <w:r>
              <w:rPr>
                <w:sz w:val="17"/>
              </w:rPr>
              <w:t>-100.00</w:t>
            </w:r>
          </w:p>
        </w:tc>
        <w:tc>
          <w:tcPr>
            <w:tcW w:type="dxa" w:w="1892"/>
            <w:tcMar>
              <w:top w:w="20" w:type="dxa"/>
              <w:left w:w="60" w:type="dxa"/>
              <w:bottom w:w="20" w:type="dxa"/>
              <w:right w:w="60" w:type="dxa"/>
            </w:tcMar>
            <w:vAlign w:val="top"/>
          </w:tcPr>
          <w:p>
            <w:pPr>
              <w:spacing w:after="10" w:before="0" w:line="240" w:lineRule="auto"/>
              <w:jc w:val="right"/>
            </w:pPr>
            <w:r>
              <w:rPr>
                <w:sz w:val="17"/>
              </w:rPr>
              <w:t>-100.00</w:t>
            </w:r>
          </w:p>
        </w:tc>
        <w:tc>
          <w:tcPr>
            <w:tcW w:type="dxa" w:w="2037"/>
            <w:tcMar>
              <w:top w:w="20" w:type="dxa"/>
              <w:left w:w="60" w:type="dxa"/>
              <w:bottom w:w="20" w:type="dxa"/>
              <w:right w:w="60" w:type="dxa"/>
            </w:tcMar>
            <w:vAlign w:val="top"/>
          </w:tcPr>
          <w:p>
            <w:pPr>
              <w:spacing w:after="10" w:before="0" w:line="240" w:lineRule="auto"/>
              <w:jc w:val="right"/>
            </w:pPr>
            <w:r>
              <w:rPr>
                <w:sz w:val="17"/>
              </w:rPr>
              <w:t>0.00</w:t>
            </w:r>
          </w:p>
        </w:tc>
      </w:tr>
    </w:tbl>
    <w:p>
      <w:pPr>
        <w:spacing w:after="0" w:before="0"/>
        <w:rPr>
          <w:sz w:val="6"/>
        </w:rPr>
      </w:pPr>
    </w:p>
    <w:p>
      <w:r>
        <w:t>Sales analysis for September: Rice, quantity 10, net revenue 200.00 (210.00 less 10.00 VAT), cost of goods 100.00, gross profit 100.00, margin 50.00 percent. Net revenue equals the ledger revenue here because the sale had no discount.</w:t>
      </w:r>
    </w:p>
    <w:p>
      <w:pPr>
        <w:pStyle w:val="Heading2"/>
      </w:pPr>
      <w:r>
        <w:t>6.9 Controls for the month and how this chapter was checked</w:t>
      </w:r>
    </w:p>
    <w:p>
      <w:pPr>
        <w:pStyle w:val="Caption"/>
      </w:pPr>
      <w:r>
        <w:t>Table 66. Controls applied to the worked month</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492"/>
        <w:gridCol w:w="6112"/>
      </w:tblGrid>
      <w:tr>
        <w:trPr>
          <w:tblHeader w:val="true"/>
          <w:cantSplit w:val="true"/>
        </w:trPr>
        <w:tc>
          <w:tcPr>
            <w:tcW w:type="dxa" w:w="3493"/>
            <w:shd w:val="clear" w:color="auto" w:fill="1F3A5F"/>
            <w:tcMar>
              <w:top w:w="20" w:type="dxa"/>
              <w:left w:w="60" w:type="dxa"/>
              <w:bottom w:w="20" w:type="dxa"/>
              <w:right w:w="60" w:type="dxa"/>
            </w:tcMar>
            <w:vAlign w:val="center"/>
          </w:tcPr>
          <w:p>
            <w:pPr>
              <w:spacing w:after="10" w:before="0" w:line="240" w:lineRule="auto"/>
            </w:pPr>
            <w:r>
              <w:rPr>
                <w:b/>
                <w:color w:val="FFFFFF"/>
                <w:sz w:val="17"/>
              </w:rPr>
              <w:t>Control (number in section 5.1)</w:t>
            </w:r>
          </w:p>
        </w:tc>
        <w:tc>
          <w:tcPr>
            <w:tcW w:type="dxa" w:w="6112"/>
            <w:shd w:val="clear" w:color="auto" w:fill="1F3A5F"/>
            <w:tcMar>
              <w:top w:w="20" w:type="dxa"/>
              <w:left w:w="60" w:type="dxa"/>
              <w:bottom w:w="20" w:type="dxa"/>
              <w:right w:w="60" w:type="dxa"/>
            </w:tcMar>
            <w:vAlign w:val="center"/>
          </w:tcPr>
          <w:p>
            <w:pPr>
              <w:spacing w:after="10" w:before="0" w:line="240" w:lineRule="auto"/>
            </w:pPr>
            <w:r>
              <w:rPr>
                <w:b/>
                <w:color w:val="FFFFFF"/>
                <w:sz w:val="17"/>
              </w:rPr>
              <w:t>Result</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1. Trial balance</w:t>
            </w:r>
          </w:p>
        </w:tc>
        <w:tc>
          <w:tcPr>
            <w:tcW w:type="dxa" w:w="6112"/>
            <w:tcMar>
              <w:top w:w="20" w:type="dxa"/>
              <w:left w:w="60" w:type="dxa"/>
              <w:bottom w:w="20" w:type="dxa"/>
              <w:right w:w="60" w:type="dxa"/>
            </w:tcMar>
            <w:vAlign w:val="top"/>
          </w:tcPr>
          <w:p>
            <w:pPr>
              <w:spacing w:after="10" w:before="0" w:line="240" w:lineRule="auto"/>
            </w:pPr>
            <w:r>
              <w:rPr>
                <w:sz w:val="17"/>
              </w:rPr>
              <w:t>Debits 6,360.00 = credits 6,360.00 (closing); 7,970.00 = 7,970.00 (period)</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3. Balance sheet</w:t>
            </w:r>
          </w:p>
        </w:tc>
        <w:tc>
          <w:tcPr>
            <w:tcW w:type="dxa" w:w="6112"/>
            <w:tcMar>
              <w:top w:w="20" w:type="dxa"/>
              <w:left w:w="60" w:type="dxa"/>
              <w:bottom w:w="20" w:type="dxa"/>
              <w:right w:w="60" w:type="dxa"/>
            </w:tcMar>
            <w:vAlign w:val="top"/>
          </w:tcPr>
          <w:p>
            <w:pPr>
              <w:spacing w:after="10" w:before="0" w:line="240" w:lineRule="auto"/>
            </w:pPr>
            <w:r>
              <w:rPr>
                <w:sz w:val="17"/>
              </w:rPr>
              <w:t>Assets 6,060.00 = liabilities 1,160.00 + equity 5,000.00 + profit to date (-100.00)</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4. Stock = Inventory account</w:t>
            </w:r>
          </w:p>
        </w:tc>
        <w:tc>
          <w:tcPr>
            <w:tcW w:type="dxa" w:w="6112"/>
            <w:tcMar>
              <w:top w:w="20" w:type="dxa"/>
              <w:left w:w="60" w:type="dxa"/>
              <w:bottom w:w="20" w:type="dxa"/>
              <w:right w:w="60" w:type="dxa"/>
            </w:tcMar>
            <w:vAlign w:val="top"/>
          </w:tcPr>
          <w:p>
            <w:pPr>
              <w:spacing w:after="10" w:before="0" w:line="240" w:lineRule="auto"/>
            </w:pPr>
            <w:r>
              <w:rPr>
                <w:sz w:val="17"/>
              </w:rPr>
              <w:t>900.00 = 900.00</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6. VAT boxes = VAT accounts</w:t>
            </w:r>
          </w:p>
        </w:tc>
        <w:tc>
          <w:tcPr>
            <w:tcW w:type="dxa" w:w="6112"/>
            <w:tcMar>
              <w:top w:w="20" w:type="dxa"/>
              <w:left w:w="60" w:type="dxa"/>
              <w:bottom w:w="20" w:type="dxa"/>
              <w:right w:w="60" w:type="dxa"/>
            </w:tcMar>
            <w:vAlign w:val="top"/>
          </w:tcPr>
          <w:p>
            <w:pPr>
              <w:spacing w:after="10" w:before="0" w:line="240" w:lineRule="auto"/>
            </w:pPr>
            <w:r>
              <w:rPr>
                <w:sz w:val="17"/>
              </w:rPr>
              <w:t>Output 10.00 = 10.00; input 60.00 = 60.00</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7. Cash flow</w:t>
            </w:r>
          </w:p>
        </w:tc>
        <w:tc>
          <w:tcPr>
            <w:tcW w:type="dxa" w:w="6112"/>
            <w:tcMar>
              <w:top w:w="20" w:type="dxa"/>
              <w:left w:w="60" w:type="dxa"/>
              <w:bottom w:w="20" w:type="dxa"/>
              <w:right w:w="60" w:type="dxa"/>
            </w:tcMar>
            <w:vAlign w:val="top"/>
          </w:tcPr>
          <w:p>
            <w:pPr>
              <w:spacing w:after="10" w:before="0" w:line="240" w:lineRule="auto"/>
            </w:pPr>
            <w:r>
              <w:rPr>
                <w:sz w:val="17"/>
              </w:rPr>
              <w:t>4,590.00 = 3,590.00 + 1,000.00</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8. IFRS cash flow</w:t>
            </w:r>
          </w:p>
        </w:tc>
        <w:tc>
          <w:tcPr>
            <w:tcW w:type="dxa" w:w="6112"/>
            <w:tcMar>
              <w:top w:w="20" w:type="dxa"/>
              <w:left w:w="60" w:type="dxa"/>
              <w:bottom w:w="20" w:type="dxa"/>
              <w:right w:w="60" w:type="dxa"/>
            </w:tcMar>
            <w:vAlign w:val="top"/>
          </w:tcPr>
          <w:p>
            <w:pPr>
              <w:spacing w:after="10" w:before="0" w:line="240" w:lineRule="auto"/>
            </w:pPr>
            <w:r>
              <w:rPr>
                <w:sz w:val="17"/>
              </w:rPr>
              <w:t>Closing cash 4,590.00 = ledger 4,590.00</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9. Party sub-ledger</w:t>
            </w:r>
          </w:p>
        </w:tc>
        <w:tc>
          <w:tcPr>
            <w:tcW w:type="dxa" w:w="6112"/>
            <w:tcMar>
              <w:top w:w="20" w:type="dxa"/>
              <w:left w:w="60" w:type="dxa"/>
              <w:bottom w:w="20" w:type="dxa"/>
              <w:right w:w="60" w:type="dxa"/>
            </w:tcMar>
            <w:vAlign w:val="top"/>
          </w:tcPr>
          <w:p>
            <w:pPr>
              <w:spacing w:after="10" w:before="0" w:line="240" w:lineRule="auto"/>
            </w:pPr>
            <w:r>
              <w:rPr>
                <w:sz w:val="17"/>
              </w:rPr>
              <w:t>Receivable group 510.00 - payable group 1,150.00 = -640.00 = customers' net 110.00 - vendors' net 750.00</w:t>
            </w:r>
          </w:p>
        </w:tc>
      </w:tr>
      <w:tr>
        <w:trPr>
          <w:cantSplit w:val="true"/>
        </w:trPr>
        <w:tc>
          <w:tcPr>
            <w:tcW w:type="dxa" w:w="3493"/>
            <w:tcMar>
              <w:top w:w="20" w:type="dxa"/>
              <w:left w:w="60" w:type="dxa"/>
              <w:bottom w:w="20" w:type="dxa"/>
              <w:right w:w="60" w:type="dxa"/>
            </w:tcMar>
            <w:vAlign w:val="top"/>
          </w:tcPr>
          <w:p>
            <w:pPr>
              <w:spacing w:after="10" w:before="0" w:line="240" w:lineRule="auto"/>
            </w:pPr>
            <w:r>
              <w:rPr>
                <w:b/>
                <w:sz w:val="17"/>
              </w:rPr>
              <w:t>10. Ageing against party balance</w:t>
            </w:r>
          </w:p>
        </w:tc>
        <w:tc>
          <w:tcPr>
            <w:tcW w:type="dxa" w:w="6112"/>
            <w:tcMar>
              <w:top w:w="20" w:type="dxa"/>
              <w:left w:w="60" w:type="dxa"/>
              <w:bottom w:w="20" w:type="dxa"/>
              <w:right w:w="60" w:type="dxa"/>
            </w:tcMar>
            <w:vAlign w:val="top"/>
          </w:tcPr>
          <w:p>
            <w:pPr>
              <w:spacing w:after="10" w:before="0" w:line="240" w:lineRule="auto"/>
            </w:pPr>
            <w:r>
              <w:rPr>
                <w:sz w:val="17"/>
              </w:rPr>
              <w:t>Differences of 100.00 (customer) and 300.00 (vendor) are exactly the advances</w:t>
            </w:r>
          </w:p>
        </w:tc>
      </w:tr>
    </w:tbl>
    <w:p>
      <w:pPr>
        <w:spacing w:after="0" w:before="0"/>
        <w:rPr>
          <w:sz w:val="6"/>
        </w:rPr>
      </w:pP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 xml:space="preserve">How the numbers were checked. The ledger entries for the purchase and the sale were produced by running the real pricing and posting-template code. The seven documents and their results are those of </w:t>
            </w:r>
            <w:r>
              <w:rPr>
                <w:rFonts w:ascii="Consolas" w:hAnsi="Consolas" w:eastAsia="Consolas"/>
                <w:sz w:val="19"/>
              </w:rPr>
              <w:t>ledgerReports.test.js</w:t>
            </w:r>
            <w:r>
              <w:rPr>
                <w:sz w:val="20"/>
              </w:rPr>
              <w:t xml:space="preserve"> (cash 3,590.00, ENBD Current 1,000.00, vendor net 750.00, customer net 110.00, revenue 200.00, direct costs 100.00, gross profit 100.00, operating expenses 200.00, net profit -100.00, cash flow in 5,100.00 and out 510.00, party balance figures). The VAT boxes follow the rules asserted in </w:t>
            </w:r>
            <w:r>
              <w:rPr>
                <w:rFonts w:ascii="Consolas" w:hAnsi="Consolas" w:eastAsia="Consolas"/>
                <w:sz w:val="19"/>
              </w:rPr>
              <w:t>vatReturn.test.js</w:t>
            </w:r>
            <w:r>
              <w:rPr>
                <w:sz w:val="20"/>
              </w:rPr>
              <w:t xml:space="preserve"> (a sale of 200.00, a purchase of 1,000.00 and an expense of 200.00). The IFRS cash flow follows the classification asserted in </w:t>
            </w:r>
            <w:r>
              <w:rPr>
                <w:rFonts w:ascii="Consolas" w:hAnsi="Consolas" w:eastAsia="Consolas"/>
                <w:sz w:val="19"/>
              </w:rPr>
              <w:t>ifrsReports.test.js</w:t>
            </w:r>
            <w:r>
              <w:rPr>
                <w:sz w:val="20"/>
              </w:rPr>
              <w:t xml:space="preserve"> (input VAT with receivables, output VAT with payables, capital as financing). All other figures in this chapter were computed from the rules in sections 3, 4 and 5.</w:t>
            </w:r>
          </w:p>
        </w:tc>
      </w:tr>
    </w:tbl>
    <w:p>
      <w:pPr>
        <w:spacing w:after="0" w:before="0"/>
        <w:rPr>
          <w:sz w:val="8"/>
        </w:rPr>
      </w:pPr>
    </w:p>
    <w:p>
      <w:pPr>
        <w:pStyle w:val="Heading1"/>
      </w:pPr>
      <w:r>
        <w:t>7 Assumptions and known limitations</w:t>
      </w:r>
    </w:p>
    <w:p>
      <w:r>
        <w:t>This chapter is deliberately plain about what the code does not do, or does in a way that needs a decision. None of these is hidden by the reports; most are visible in a Note earlier in the document.</w:t>
      </w:r>
    </w:p>
    <w:p>
      <w:pPr>
        <w:pStyle w:val="Heading2"/>
      </w:pPr>
      <w:r>
        <w:t>7.1 Final check made when this document was finished</w:t>
      </w:r>
    </w:p>
    <w:p>
      <w:r>
        <w:t>Other people were still changing the system while this document was written. At the end the repository was searched again for the currency work (services/financial/currencyService.js, fxVoucherService.js, utils/fx.js, the currency models and the foreign-currency fields on vouchers) and for the dashboard (services/reports/dashboardService.js and dashboardQueries.js). All of it exists and is documented from the code and the tests currencies.test.js, fx.test.js and dashboardSummary.test.js.</w:t>
      </w:r>
    </w:p>
    <w:p>
      <w:pPr>
        <w:pStyle w:val="Caption"/>
      </w:pPr>
      <w:r>
        <w:t>Table 67. Final check</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182"/>
        <w:gridCol w:w="4074"/>
        <w:gridCol w:w="3347"/>
      </w:tblGrid>
      <w:tr>
        <w:trPr>
          <w:tblHeader w:val="true"/>
          <w:cantSplit w:val="true"/>
        </w:trPr>
        <w:tc>
          <w:tcPr>
            <w:tcW w:type="dxa" w:w="2183"/>
            <w:shd w:val="clear" w:color="auto" w:fill="1F3A5F"/>
            <w:tcMar>
              <w:top w:w="20" w:type="dxa"/>
              <w:left w:w="60" w:type="dxa"/>
              <w:bottom w:w="20" w:type="dxa"/>
              <w:right w:w="60" w:type="dxa"/>
            </w:tcMar>
            <w:vAlign w:val="center"/>
          </w:tcPr>
          <w:p>
            <w:pPr>
              <w:spacing w:after="10" w:before="0" w:line="240" w:lineRule="auto"/>
            </w:pPr>
            <w:r>
              <w:rPr>
                <w:b/>
                <w:color w:val="FFFFFF"/>
                <w:sz w:val="17"/>
              </w:rPr>
              <w:t>Area</w:t>
            </w:r>
          </w:p>
        </w:tc>
        <w:tc>
          <w:tcPr>
            <w:tcW w:type="dxa" w:w="4075"/>
            <w:shd w:val="clear" w:color="auto" w:fill="1F3A5F"/>
            <w:tcMar>
              <w:top w:w="20" w:type="dxa"/>
              <w:left w:w="60" w:type="dxa"/>
              <w:bottom w:w="20" w:type="dxa"/>
              <w:right w:w="60" w:type="dxa"/>
            </w:tcMar>
            <w:vAlign w:val="center"/>
          </w:tcPr>
          <w:p>
            <w:pPr>
              <w:spacing w:after="10" w:before="0" w:line="240" w:lineRule="auto"/>
            </w:pPr>
            <w:r>
              <w:rPr>
                <w:b/>
                <w:color w:val="FFFFFF"/>
                <w:sz w:val="17"/>
              </w:rPr>
              <w:t>What was found</w:t>
            </w:r>
          </w:p>
        </w:tc>
        <w:tc>
          <w:tcPr>
            <w:tcW w:type="dxa" w:w="3347"/>
            <w:shd w:val="clear" w:color="auto" w:fill="1F3A5F"/>
            <w:tcMar>
              <w:top w:w="20" w:type="dxa"/>
              <w:left w:w="60" w:type="dxa"/>
              <w:bottom w:w="20" w:type="dxa"/>
              <w:right w:w="60" w:type="dxa"/>
            </w:tcMar>
            <w:vAlign w:val="center"/>
          </w:tcPr>
          <w:p>
            <w:pPr>
              <w:spacing w:after="10" w:before="0" w:line="240" w:lineRule="auto"/>
            </w:pPr>
            <w:r>
              <w:rPr>
                <w:b/>
                <w:color w:val="FFFFFF"/>
                <w:sz w:val="17"/>
              </w:rPr>
              <w:t>What this document says</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Currency master and foreign receipts and payments</w:t>
            </w:r>
          </w:p>
        </w:tc>
        <w:tc>
          <w:tcPr>
            <w:tcW w:type="dxa" w:w="4075"/>
            <w:tcMar>
              <w:top w:w="20" w:type="dxa"/>
              <w:left w:w="60" w:type="dxa"/>
              <w:bottom w:w="20" w:type="dxa"/>
              <w:right w:w="60" w:type="dxa"/>
            </w:tcMar>
            <w:vAlign w:val="top"/>
          </w:tcPr>
          <w:p>
            <w:pPr>
              <w:spacing w:after="10" w:before="0" w:line="240" w:lineRule="auto"/>
            </w:pPr>
            <w:r>
              <w:rPr>
                <w:sz w:val="17"/>
              </w:rPr>
              <w:t>Built (phase 1). A currency master with a base currency, a dated rate history and a tolerance setting. A foreign receipt or payment carries the currency, the foreign amount and the stamped rate, and posts in AED. There is no fallback rate (NO_RATE); a rate more than the tolerance (5 percent by default) from the master rate needs a reason.</w:t>
            </w:r>
          </w:p>
        </w:tc>
        <w:tc>
          <w:tcPr>
            <w:tcW w:type="dxa" w:w="3347"/>
            <w:tcMar>
              <w:top w:w="20" w:type="dxa"/>
              <w:left w:w="60" w:type="dxa"/>
              <w:bottom w:w="20" w:type="dxa"/>
              <w:right w:w="60" w:type="dxa"/>
            </w:tcMar>
            <w:vAlign w:val="top"/>
          </w:tcPr>
          <w:p>
            <w:pPr>
              <w:spacing w:after="10" w:before="0" w:line="240" w:lineRule="auto"/>
            </w:pPr>
            <w:r>
              <w:rPr>
                <w:sz w:val="17"/>
              </w:rPr>
              <w:t>Section 3.17 (rules and example), report 4.24 (register), Appendix A.</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Foreign invoices, exchange gain or loss, revaluation</w:t>
            </w:r>
          </w:p>
        </w:tc>
        <w:tc>
          <w:tcPr>
            <w:tcW w:type="dxa" w:w="4075"/>
            <w:tcMar>
              <w:top w:w="20" w:type="dxa"/>
              <w:left w:w="60" w:type="dxa"/>
              <w:bottom w:w="20" w:type="dxa"/>
              <w:right w:w="60" w:type="dxa"/>
            </w:tcMar>
            <w:vAlign w:val="top"/>
          </w:tcPr>
          <w:p>
            <w:pPr>
              <w:spacing w:after="10" w:before="0" w:line="240" w:lineRule="auto"/>
            </w:pPr>
            <w:r>
              <w:rPr>
                <w:sz w:val="17"/>
              </w:rPr>
              <w:t>Not built; the code calls them phase 2. Other vouchers refuse a foreign currency.</w:t>
            </w:r>
          </w:p>
        </w:tc>
        <w:tc>
          <w:tcPr>
            <w:tcW w:type="dxa" w:w="3347"/>
            <w:tcMar>
              <w:top w:w="20" w:type="dxa"/>
              <w:left w:w="60" w:type="dxa"/>
              <w:bottom w:w="20" w:type="dxa"/>
              <w:right w:w="60" w:type="dxa"/>
            </w:tcMar>
            <w:vAlign w:val="top"/>
          </w:tcPr>
          <w:p>
            <w:pPr>
              <w:spacing w:after="10" w:before="0" w:line="240" w:lineRule="auto"/>
            </w:pPr>
            <w:r>
              <w:rPr>
                <w:sz w:val="17"/>
              </w:rPr>
              <w:t>Sections 1 and 7 (limitation 12).</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Dashboard</w:t>
            </w:r>
          </w:p>
        </w:tc>
        <w:tc>
          <w:tcPr>
            <w:tcW w:type="dxa" w:w="4075"/>
            <w:tcMar>
              <w:top w:w="20" w:type="dxa"/>
              <w:left w:w="60" w:type="dxa"/>
              <w:bottom w:w="20" w:type="dxa"/>
              <w:right w:w="60" w:type="dxa"/>
            </w:tcMar>
            <w:vAlign w:val="top"/>
          </w:tcPr>
          <w:p>
            <w:pPr>
              <w:spacing w:after="10" w:before="0" w:line="240" w:lineRule="auto"/>
            </w:pPr>
            <w:r>
              <w:rPr>
                <w:sz w:val="17"/>
              </w:rPr>
              <w:t>Built. The five tabs (summary, analytics, sales, inventory, reports) read the ledger, the documents and the stock records.</w:t>
            </w:r>
          </w:p>
        </w:tc>
        <w:tc>
          <w:tcPr>
            <w:tcW w:type="dxa" w:w="3347"/>
            <w:tcMar>
              <w:top w:w="20" w:type="dxa"/>
              <w:left w:w="60" w:type="dxa"/>
              <w:bottom w:w="20" w:type="dxa"/>
              <w:right w:w="60" w:type="dxa"/>
            </w:tcMar>
            <w:vAlign w:val="top"/>
          </w:tcPr>
          <w:p>
            <w:pPr>
              <w:spacing w:after="10" w:before="0" w:line="240" w:lineRule="auto"/>
            </w:pPr>
            <w:r>
              <w:rPr>
                <w:sz w:val="17"/>
              </w:rPr>
              <w:t>Report 4.23 and Appendix A.</w:t>
            </w:r>
          </w:p>
        </w:tc>
      </w:tr>
      <w:tr>
        <w:trPr>
          <w:cantSplit w:val="true"/>
        </w:trPr>
        <w:tc>
          <w:tcPr>
            <w:tcW w:type="dxa" w:w="2183"/>
            <w:tcMar>
              <w:top w:w="20" w:type="dxa"/>
              <w:left w:w="60" w:type="dxa"/>
              <w:bottom w:w="20" w:type="dxa"/>
              <w:right w:w="60" w:type="dxa"/>
            </w:tcMar>
            <w:vAlign w:val="top"/>
          </w:tcPr>
          <w:p>
            <w:pPr>
              <w:spacing w:after="10" w:before="0" w:line="240" w:lineRule="auto"/>
            </w:pPr>
            <w:r>
              <w:rPr>
                <w:b/>
                <w:sz w:val="17"/>
              </w:rPr>
              <w:t>Changes made by others during writing</w:t>
            </w:r>
          </w:p>
        </w:tc>
        <w:tc>
          <w:tcPr>
            <w:tcW w:type="dxa" w:w="4075"/>
            <w:tcMar>
              <w:top w:w="20" w:type="dxa"/>
              <w:left w:w="60" w:type="dxa"/>
              <w:bottom w:w="20" w:type="dxa"/>
              <w:right w:w="60" w:type="dxa"/>
            </w:tcMar>
            <w:vAlign w:val="top"/>
          </w:tcPr>
          <w:p>
            <w:pPr>
              <w:spacing w:after="10" w:before="0" w:line="240" w:lineRule="auto"/>
            </w:pPr>
            <w:r>
              <w:rPr>
                <w:sz w:val="17"/>
              </w:rPr>
              <w:t>Manual stock adjustments are now costed, numbered SA-YYYY-NNNN and posted (Stock adjustment against Inventory), except the quantity typed when an item is created and adjustments made while posting was off. The stock valuation counts a posted adjustment on both sides of its first line, so the book reconciles (test added). Switching posting on now also posts stored account opening balances, once, and the automatic switch-on is written to the audit log. The old monthly VATReport collection is no longer written.</w:t>
            </w:r>
          </w:p>
        </w:tc>
        <w:tc>
          <w:tcPr>
            <w:tcW w:type="dxa" w:w="3347"/>
            <w:tcMar>
              <w:top w:w="20" w:type="dxa"/>
              <w:left w:w="60" w:type="dxa"/>
              <w:bottom w:w="20" w:type="dxa"/>
              <w:right w:w="60" w:type="dxa"/>
            </w:tcMar>
            <w:vAlign w:val="top"/>
          </w:tcPr>
          <w:p>
            <w:pPr>
              <w:spacing w:after="10" w:before="0" w:line="240" w:lineRule="auto"/>
            </w:pPr>
            <w:r>
              <w:rPr>
                <w:sz w:val="17"/>
              </w:rPr>
              <w:t>Sections 2.5, 3.14, 3.16, 4.13, 4.15, limitation 6 and Appendix B (17 series).</w:t>
            </w:r>
          </w:p>
        </w:tc>
      </w:tr>
    </w:tbl>
    <w:p>
      <w:pPr>
        <w:spacing w:after="0" w:before="0"/>
        <w:rPr>
          <w:sz w:val="6"/>
        </w:rPr>
      </w:pPr>
    </w:p>
    <w:p>
      <w:r>
        <w:t>Every section that depends on the changed code (stock adjustment service, stock and inventory controllers, number series, posting service, chart of accounts service, default chart service, transaction service) was re-read against the code and corrected. The document describes the code as it stood on 5 October 2026.</w:t>
      </w:r>
    </w:p>
    <w:p>
      <w:pPr>
        <w:pStyle w:val="Heading2"/>
      </w:pPr>
      <w:r>
        <w:t>7.2 Assumptions</w:t>
      </w:r>
    </w:p>
    <w:p>
      <w:pPr>
        <w:pStyle w:val="ListBullet"/>
      </w:pPr>
      <w:r>
        <w:rPr>
          <w:b/>
        </w:rPr>
        <w:t>One company, one currency ledger.</w:t>
      </w:r>
      <w:r>
        <w:t xml:space="preserve"> A single default company and branch (utils/tenant.js); the ledger is in AED. A second company or base currency has not been exercised.</w:t>
      </w:r>
    </w:p>
    <w:p>
      <w:pPr>
        <w:pStyle w:val="ListBullet"/>
      </w:pPr>
      <w:r>
        <w:rPr>
          <w:b/>
        </w:rPr>
        <w:t>Dates.</w:t>
      </w:r>
      <w:r>
        <w:t xml:space="preserve"> A ledger entry is dated the document or voucher date; a document entered with a plain date is stored at 04:00 Dubai time, so it belongs to the day typed. The fiscal year is the calendar year by default and number series restart each fiscal year.</w:t>
      </w:r>
    </w:p>
    <w:p>
      <w:pPr>
        <w:pStyle w:val="ListBullet"/>
      </w:pPr>
      <w:r>
        <w:rPr>
          <w:b/>
        </w:rPr>
        <w:t>Costing and VAT.</w:t>
      </w:r>
      <w:r>
        <w:t xml:space="preserve"> Weighted-average cost is the only method. The standard VAT rate is 5 percent, held in tax codes with a rate history. The accountant owns the mapping: a default account named in this document stands for whichever account the key is mapped to.</w:t>
      </w:r>
    </w:p>
    <w:p>
      <w:pPr>
        <w:pStyle w:val="Heading2"/>
      </w:pPr>
      <w:r>
        <w:t>7.3 Known limitations</w:t>
      </w:r>
    </w:p>
    <w:p>
      <w:pPr>
        <w:pStyle w:val="Caption"/>
      </w:pPr>
      <w:r>
        <w:t>Table 68. Known limitations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363"/>
        <w:gridCol w:w="5093"/>
        <w:gridCol w:w="3347"/>
        <w:gridCol w:w="800"/>
      </w:tblGrid>
      <w:tr>
        <w:trPr>
          <w:tblHeader w:val="true"/>
          <w:cantSplit w:val="true"/>
        </w:trPr>
        <w:tc>
          <w:tcPr>
            <w:tcW w:type="dxa" w:w="364"/>
            <w:shd w:val="clear" w:color="auto" w:fill="1F3A5F"/>
            <w:tcMar>
              <w:top w:w="20" w:type="dxa"/>
              <w:left w:w="60" w:type="dxa"/>
              <w:bottom w:w="20" w:type="dxa"/>
              <w:right w:w="60" w:type="dxa"/>
            </w:tcMar>
            <w:vAlign w:val="center"/>
          </w:tcPr>
          <w:p>
            <w:pPr>
              <w:spacing w:after="10" w:before="0" w:line="240" w:lineRule="auto"/>
            </w:pPr>
            <w:r>
              <w:rPr>
                <w:b/>
                <w:color w:val="FFFFFF"/>
                <w:sz w:val="17"/>
              </w:rPr>
              <w:t>#</w:t>
            </w:r>
          </w:p>
        </w:tc>
        <w:tc>
          <w:tcPr>
            <w:tcW w:type="dxa" w:w="5093"/>
            <w:shd w:val="clear" w:color="auto" w:fill="1F3A5F"/>
            <w:tcMar>
              <w:top w:w="20" w:type="dxa"/>
              <w:left w:w="60" w:type="dxa"/>
              <w:bottom w:w="20" w:type="dxa"/>
              <w:right w:w="60" w:type="dxa"/>
            </w:tcMar>
            <w:vAlign w:val="center"/>
          </w:tcPr>
          <w:p>
            <w:pPr>
              <w:spacing w:after="10" w:before="0" w:line="240" w:lineRule="auto"/>
            </w:pPr>
            <w:r>
              <w:rPr>
                <w:b/>
                <w:color w:val="FFFFFF"/>
                <w:sz w:val="17"/>
              </w:rPr>
              <w:t>Area and what the code does</w:t>
            </w:r>
          </w:p>
        </w:tc>
        <w:tc>
          <w:tcPr>
            <w:tcW w:type="dxa" w:w="3347"/>
            <w:shd w:val="clear" w:color="auto" w:fill="1F3A5F"/>
            <w:tcMar>
              <w:top w:w="20" w:type="dxa"/>
              <w:left w:w="60" w:type="dxa"/>
              <w:bottom w:w="20" w:type="dxa"/>
              <w:right w:w="60" w:type="dxa"/>
            </w:tcMar>
            <w:vAlign w:val="center"/>
          </w:tcPr>
          <w:p>
            <w:pPr>
              <w:spacing w:after="10" w:before="0" w:line="240" w:lineRule="auto"/>
            </w:pPr>
            <w:r>
              <w:rPr>
                <w:b/>
                <w:color w:val="FFFFFF"/>
                <w:sz w:val="17"/>
              </w:rPr>
              <w:t>Effect for the accountant</w:t>
            </w:r>
          </w:p>
        </w:tc>
        <w:tc>
          <w:tcPr>
            <w:tcW w:type="dxa" w:w="800"/>
            <w:shd w:val="clear" w:color="auto" w:fill="1F3A5F"/>
            <w:tcMar>
              <w:top w:w="20" w:type="dxa"/>
              <w:left w:w="60" w:type="dxa"/>
              <w:bottom w:w="20" w:type="dxa"/>
              <w:right w:w="60" w:type="dxa"/>
            </w:tcMar>
            <w:vAlign w:val="center"/>
          </w:tcPr>
          <w:p>
            <w:pPr>
              <w:spacing w:after="10" w:before="0" w:line="240" w:lineRule="auto"/>
            </w:pPr>
            <w:r>
              <w:rPr>
                <w:b/>
                <w:color w:val="FFFFFF"/>
                <w:sz w:val="17"/>
              </w:rPr>
              <w:t>Section</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w:t>
            </w:r>
          </w:p>
        </w:tc>
        <w:tc>
          <w:tcPr>
            <w:tcW w:type="dxa" w:w="5093"/>
            <w:tcMar>
              <w:top w:w="20" w:type="dxa"/>
              <w:left w:w="60" w:type="dxa"/>
              <w:bottom w:w="20" w:type="dxa"/>
              <w:right w:w="60" w:type="dxa"/>
            </w:tcMar>
            <w:vAlign w:val="top"/>
          </w:tcPr>
          <w:p>
            <w:pPr>
              <w:spacing w:after="10" w:before="0" w:line="240" w:lineRule="auto"/>
            </w:pPr>
            <w:r>
              <w:rPr>
                <w:b/>
                <w:sz w:val="17"/>
              </w:rPr>
              <w:t>Date edges.</w:t>
            </w:r>
            <w:r>
              <w:rPr>
                <w:sz w:val="17"/>
              </w:rPr>
              <w:t xml:space="preserve"> The trial balance, balance sheet, ageing, statement of account and account ledger read the dates they are sent, without Dubai day bounds (the screens send 00:00 UTC, i.e. 04:00 Dubai, and for the first two an end time with no zone).</w:t>
            </w:r>
          </w:p>
        </w:tc>
        <w:tc>
          <w:tcPr>
            <w:tcW w:type="dxa" w:w="3347"/>
            <w:tcMar>
              <w:top w:w="20" w:type="dxa"/>
              <w:left w:w="60" w:type="dxa"/>
              <w:bottom w:w="20" w:type="dxa"/>
              <w:right w:w="60" w:type="dxa"/>
            </w:tcMar>
            <w:vAlign w:val="top"/>
          </w:tcPr>
          <w:p>
            <w:pPr>
              <w:spacing w:after="10" w:before="0" w:line="240" w:lineRule="auto"/>
            </w:pPr>
            <w:r>
              <w:rPr>
                <w:sz w:val="17"/>
              </w:rPr>
              <w:t>An entry stamped 00:00 to 04:00 Dubai time, or a document saved with a time of day, can fall on the other side of a period edge compared with the ledger reports and IFRS statements.</w:t>
            </w:r>
          </w:p>
        </w:tc>
        <w:tc>
          <w:tcPr>
            <w:tcW w:type="dxa" w:w="800"/>
            <w:tcMar>
              <w:top w:w="20" w:type="dxa"/>
              <w:left w:w="60" w:type="dxa"/>
              <w:bottom w:w="20" w:type="dxa"/>
              <w:right w:w="60" w:type="dxa"/>
            </w:tcMar>
            <w:vAlign w:val="top"/>
          </w:tcPr>
          <w:p>
            <w:pPr>
              <w:spacing w:after="10" w:before="0" w:line="240" w:lineRule="auto"/>
            </w:pPr>
            <w:r>
              <w:rPr>
                <w:sz w:val="17"/>
              </w:rPr>
              <w:t>1.3</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2</w:t>
            </w:r>
          </w:p>
        </w:tc>
        <w:tc>
          <w:tcPr>
            <w:tcW w:type="dxa" w:w="5093"/>
            <w:tcMar>
              <w:top w:w="20" w:type="dxa"/>
              <w:left w:w="60" w:type="dxa"/>
              <w:bottom w:w="20" w:type="dxa"/>
              <w:right w:w="60" w:type="dxa"/>
            </w:tcMar>
            <w:vAlign w:val="top"/>
          </w:tcPr>
          <w:p>
            <w:pPr>
              <w:spacing w:after="10" w:before="0" w:line="240" w:lineRule="auto"/>
            </w:pPr>
            <w:r>
              <w:rPr>
                <w:b/>
                <w:sz w:val="17"/>
              </w:rPr>
              <w:t>Credit control.</w:t>
            </w:r>
            <w:r>
              <w:rPr>
                <w:sz w:val="17"/>
              </w:rPr>
              <w:t xml:space="preserve"> The approval check reads the customer's running balance (</w:t>
            </w:r>
            <w:r>
              <w:rPr>
                <w:rFonts w:ascii="Consolas" w:hAnsi="Consolas" w:eastAsia="Consolas"/>
                <w:sz w:val="16"/>
              </w:rPr>
              <w:t>cashBalance</w:t>
            </w:r>
            <w:r>
              <w:rPr>
                <w:sz w:val="17"/>
              </w:rPr>
              <w:t>), which an allocated receipt does not raise; an on-account adjustment is clamped at zero or above.</w:t>
            </w:r>
          </w:p>
        </w:tc>
        <w:tc>
          <w:tcPr>
            <w:tcW w:type="dxa" w:w="3347"/>
            <w:tcMar>
              <w:top w:w="20" w:type="dxa"/>
              <w:left w:w="60" w:type="dxa"/>
              <w:bottom w:w="20" w:type="dxa"/>
              <w:right w:w="60" w:type="dxa"/>
            </w:tcMar>
            <w:vAlign w:val="top"/>
          </w:tcPr>
          <w:p>
            <w:pPr>
              <w:spacing w:after="10" w:before="0" w:line="240" w:lineRule="auto"/>
            </w:pPr>
            <w:r>
              <w:rPr>
                <w:sz w:val="17"/>
              </w:rPr>
              <w:t>It can over-state what a customer owes after they pay against invoices. Party balances (ledger) are right.</w:t>
            </w:r>
          </w:p>
        </w:tc>
        <w:tc>
          <w:tcPr>
            <w:tcW w:type="dxa" w:w="800"/>
            <w:tcMar>
              <w:top w:w="20" w:type="dxa"/>
              <w:left w:w="60" w:type="dxa"/>
              <w:bottom w:w="20" w:type="dxa"/>
              <w:right w:w="60" w:type="dxa"/>
            </w:tcMar>
            <w:vAlign w:val="top"/>
          </w:tcPr>
          <w:p>
            <w:pPr>
              <w:spacing w:after="10" w:before="0" w:line="240" w:lineRule="auto"/>
            </w:pPr>
            <w:r>
              <w:rPr>
                <w:sz w:val="17"/>
              </w:rPr>
              <w:t>4.9</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3</w:t>
            </w:r>
          </w:p>
        </w:tc>
        <w:tc>
          <w:tcPr>
            <w:tcW w:type="dxa" w:w="5093"/>
            <w:tcMar>
              <w:top w:w="20" w:type="dxa"/>
              <w:left w:w="60" w:type="dxa"/>
              <w:bottom w:w="20" w:type="dxa"/>
              <w:right w:w="60" w:type="dxa"/>
            </w:tcMar>
            <w:vAlign w:val="top"/>
          </w:tcPr>
          <w:p>
            <w:pPr>
              <w:spacing w:after="10" w:before="0" w:line="240" w:lineRule="auto"/>
            </w:pPr>
            <w:r>
              <w:rPr>
                <w:b/>
                <w:sz w:val="17"/>
              </w:rPr>
              <w:t>Returns and ageing.</w:t>
            </w:r>
            <w:r>
              <w:rPr>
                <w:sz w:val="17"/>
              </w:rPr>
              <w:t xml:space="preserve"> A return does not reduce the outstanding amount of the invoice it returns; ageing reads invoices only.</w:t>
            </w:r>
          </w:p>
        </w:tc>
        <w:tc>
          <w:tcPr>
            <w:tcW w:type="dxa" w:w="3347"/>
            <w:tcMar>
              <w:top w:w="20" w:type="dxa"/>
              <w:left w:w="60" w:type="dxa"/>
              <w:bottom w:w="20" w:type="dxa"/>
              <w:right w:w="60" w:type="dxa"/>
            </w:tcMar>
            <w:vAlign w:val="top"/>
          </w:tcPr>
          <w:p>
            <w:pPr>
              <w:spacing w:after="10" w:before="0" w:line="240" w:lineRule="auto"/>
            </w:pPr>
            <w:r>
              <w:rPr>
                <w:sz w:val="17"/>
              </w:rPr>
              <w:t>Ageing exceeds the party balance by returns, advances and unreferenced notes.</w:t>
            </w:r>
          </w:p>
        </w:tc>
        <w:tc>
          <w:tcPr>
            <w:tcW w:type="dxa" w:w="800"/>
            <w:tcMar>
              <w:top w:w="20" w:type="dxa"/>
              <w:left w:w="60" w:type="dxa"/>
              <w:bottom w:w="20" w:type="dxa"/>
              <w:right w:w="60" w:type="dxa"/>
            </w:tcMar>
            <w:vAlign w:val="top"/>
          </w:tcPr>
          <w:p>
            <w:pPr>
              <w:spacing w:after="10" w:before="0" w:line="240" w:lineRule="auto"/>
            </w:pPr>
            <w:r>
              <w:rPr>
                <w:sz w:val="17"/>
              </w:rPr>
              <w:t>4.10</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4</w:t>
            </w:r>
          </w:p>
        </w:tc>
        <w:tc>
          <w:tcPr>
            <w:tcW w:type="dxa" w:w="5093"/>
            <w:tcMar>
              <w:top w:w="20" w:type="dxa"/>
              <w:left w:w="60" w:type="dxa"/>
              <w:bottom w:w="20" w:type="dxa"/>
              <w:right w:w="60" w:type="dxa"/>
            </w:tcMar>
            <w:vAlign w:val="top"/>
          </w:tcPr>
          <w:p>
            <w:pPr>
              <w:spacing w:after="10" w:before="0" w:line="240" w:lineRule="auto"/>
            </w:pPr>
            <w:r>
              <w:rPr>
                <w:b/>
                <w:sz w:val="17"/>
              </w:rPr>
              <w:t>Vendor statement.</w:t>
            </w:r>
            <w:r>
              <w:rPr>
                <w:sz w:val="17"/>
              </w:rPr>
              <w:t xml:space="preserve"> It looks for </w:t>
            </w:r>
            <w:r>
              <w:rPr>
                <w:rFonts w:ascii="Consolas" w:hAnsi="Consolas" w:eastAsia="Consolas"/>
                <w:sz w:val="16"/>
              </w:rPr>
              <w:t>Vendor Advance - &lt;name&gt;</w:t>
            </w:r>
            <w:r>
              <w:rPr>
                <w:sz w:val="17"/>
              </w:rPr>
              <w:t xml:space="preserve">; the account created is </w:t>
            </w:r>
            <w:r>
              <w:rPr>
                <w:rFonts w:ascii="Consolas" w:hAnsi="Consolas" w:eastAsia="Consolas"/>
                <w:sz w:val="16"/>
              </w:rPr>
              <w:t>Advance to Vendor - &lt;name&gt;</w:t>
            </w:r>
            <w:r>
              <w:rPr>
                <w:sz w:val="17"/>
              </w:rPr>
              <w:t>.</w:t>
            </w:r>
          </w:p>
        </w:tc>
        <w:tc>
          <w:tcPr>
            <w:tcW w:type="dxa" w:w="3347"/>
            <w:tcMar>
              <w:top w:w="20" w:type="dxa"/>
              <w:left w:w="60" w:type="dxa"/>
              <w:bottom w:w="20" w:type="dxa"/>
              <w:right w:w="60" w:type="dxa"/>
            </w:tcMar>
            <w:vAlign w:val="top"/>
          </w:tcPr>
          <w:p>
            <w:pPr>
              <w:spacing w:after="10" w:before="0" w:line="240" w:lineRule="auto"/>
            </w:pPr>
            <w:r>
              <w:rPr>
                <w:sz w:val="17"/>
              </w:rPr>
              <w:t>A payment kept on account is missing from the vendor statement but is in party balances.</w:t>
            </w:r>
          </w:p>
        </w:tc>
        <w:tc>
          <w:tcPr>
            <w:tcW w:type="dxa" w:w="800"/>
            <w:tcMar>
              <w:top w:w="20" w:type="dxa"/>
              <w:left w:w="60" w:type="dxa"/>
              <w:bottom w:w="20" w:type="dxa"/>
              <w:right w:w="60" w:type="dxa"/>
            </w:tcMar>
            <w:vAlign w:val="top"/>
          </w:tcPr>
          <w:p>
            <w:pPr>
              <w:spacing w:after="10" w:before="0" w:line="240" w:lineRule="auto"/>
            </w:pPr>
            <w:r>
              <w:rPr>
                <w:sz w:val="17"/>
              </w:rPr>
              <w:t>4.11</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5</w:t>
            </w:r>
          </w:p>
        </w:tc>
        <w:tc>
          <w:tcPr>
            <w:tcW w:type="dxa" w:w="5093"/>
            <w:tcMar>
              <w:top w:w="20" w:type="dxa"/>
              <w:left w:w="60" w:type="dxa"/>
              <w:bottom w:w="20" w:type="dxa"/>
              <w:right w:w="60" w:type="dxa"/>
            </w:tcMar>
            <w:vAlign w:val="top"/>
          </w:tcPr>
          <w:p>
            <w:pPr>
              <w:spacing w:after="10" w:before="0" w:line="240" w:lineRule="auto"/>
            </w:pPr>
            <w:r>
              <w:rPr>
                <w:b/>
                <w:sz w:val="17"/>
              </w:rPr>
              <w:t>Advances.</w:t>
            </w:r>
            <w:r>
              <w:rPr>
                <w:sz w:val="17"/>
              </w:rPr>
              <w:t xml:space="preserve"> No action applies an advance to a later invoice.</w:t>
            </w:r>
          </w:p>
        </w:tc>
        <w:tc>
          <w:tcPr>
            <w:tcW w:type="dxa" w:w="3347"/>
            <w:tcMar>
              <w:top w:w="20" w:type="dxa"/>
              <w:left w:w="60" w:type="dxa"/>
              <w:bottom w:w="20" w:type="dxa"/>
              <w:right w:w="60" w:type="dxa"/>
            </w:tcMar>
            <w:vAlign w:val="top"/>
          </w:tcPr>
          <w:p>
            <w:pPr>
              <w:spacing w:after="10" w:before="0" w:line="240" w:lineRule="auto"/>
            </w:pPr>
            <w:r>
              <w:rPr>
                <w:sz w:val="17"/>
              </w:rPr>
              <w:t>Edit the receipt or payment and allocate it.</w:t>
            </w:r>
          </w:p>
        </w:tc>
        <w:tc>
          <w:tcPr>
            <w:tcW w:type="dxa" w:w="800"/>
            <w:tcMar>
              <w:top w:w="20" w:type="dxa"/>
              <w:left w:w="60" w:type="dxa"/>
              <w:bottom w:w="20" w:type="dxa"/>
              <w:right w:w="60" w:type="dxa"/>
            </w:tcMar>
            <w:vAlign w:val="top"/>
          </w:tcPr>
          <w:p>
            <w:pPr>
              <w:spacing w:after="10" w:before="0" w:line="240" w:lineRule="auto"/>
            </w:pPr>
            <w:r>
              <w:rPr>
                <w:sz w:val="17"/>
              </w:rPr>
              <w:t>3.6</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6</w:t>
            </w:r>
          </w:p>
        </w:tc>
        <w:tc>
          <w:tcPr>
            <w:tcW w:type="dxa" w:w="5093"/>
            <w:tcMar>
              <w:top w:w="20" w:type="dxa"/>
              <w:left w:w="60" w:type="dxa"/>
              <w:bottom w:w="20" w:type="dxa"/>
              <w:right w:w="60" w:type="dxa"/>
            </w:tcMar>
            <w:vAlign w:val="top"/>
          </w:tcPr>
          <w:p>
            <w:pPr>
              <w:spacing w:after="10" w:before="0" w:line="240" w:lineRule="auto"/>
            </w:pPr>
            <w:r>
              <w:rPr>
                <w:b/>
                <w:sz w:val="17"/>
              </w:rPr>
              <w:t>Stock adjustments.</w:t>
            </w:r>
            <w:r>
              <w:rPr>
                <w:sz w:val="17"/>
              </w:rPr>
              <w:t xml:space="preserve"> A manual quantity change is costed, batched and posted when posting is on (Dr or Cr Stock adjustment). Not posted: the quantity typed when an item is created, and an adjustment made while posting was off (the catch-up does not cover it). Editing the price alone does not re-cost the stock on hand.</w:t>
            </w:r>
          </w:p>
        </w:tc>
        <w:tc>
          <w:tcPr>
            <w:tcW w:type="dxa" w:w="3347"/>
            <w:tcMar>
              <w:top w:w="20" w:type="dxa"/>
              <w:left w:w="60" w:type="dxa"/>
              <w:bottom w:w="20" w:type="dxa"/>
              <w:right w:w="60" w:type="dxa"/>
            </w:tcMar>
            <w:vAlign w:val="top"/>
          </w:tcPr>
          <w:p>
            <w:pPr>
              <w:spacing w:after="10" w:before="0" w:line="240" w:lineRule="auto"/>
            </w:pPr>
            <w:r>
              <w:rPr>
                <w:sz w:val="17"/>
              </w:rPr>
              <w:t>The valuation shows a difference against Inventory until a journal is entered.</w:t>
            </w:r>
          </w:p>
        </w:tc>
        <w:tc>
          <w:tcPr>
            <w:tcW w:type="dxa" w:w="800"/>
            <w:tcMar>
              <w:top w:w="20" w:type="dxa"/>
              <w:left w:w="60" w:type="dxa"/>
              <w:bottom w:w="20" w:type="dxa"/>
              <w:right w:w="60" w:type="dxa"/>
            </w:tcMar>
            <w:vAlign w:val="top"/>
          </w:tcPr>
          <w:p>
            <w:pPr>
              <w:spacing w:after="10" w:before="0" w:line="240" w:lineRule="auto"/>
            </w:pPr>
            <w:r>
              <w:rPr>
                <w:sz w:val="17"/>
              </w:rPr>
              <w:t>3.14</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7</w:t>
            </w:r>
          </w:p>
        </w:tc>
        <w:tc>
          <w:tcPr>
            <w:tcW w:type="dxa" w:w="5093"/>
            <w:tcMar>
              <w:top w:w="20" w:type="dxa"/>
              <w:left w:w="60" w:type="dxa"/>
              <w:bottom w:w="20" w:type="dxa"/>
              <w:right w:w="60" w:type="dxa"/>
            </w:tcMar>
            <w:vAlign w:val="top"/>
          </w:tcPr>
          <w:p>
            <w:pPr>
              <w:spacing w:after="10" w:before="0" w:line="240" w:lineRule="auto"/>
            </w:pPr>
            <w:r>
              <w:rPr>
                <w:b/>
                <w:sz w:val="17"/>
              </w:rPr>
              <w:t>Stock write-off.</w:t>
            </w:r>
            <w:r>
              <w:rPr>
                <w:sz w:val="17"/>
              </w:rPr>
              <w:t xml:space="preserve"> Dated when made; no reversal; input VAT is not reversed.</w:t>
            </w:r>
          </w:p>
        </w:tc>
        <w:tc>
          <w:tcPr>
            <w:tcW w:type="dxa" w:w="3347"/>
            <w:tcMar>
              <w:top w:w="20" w:type="dxa"/>
              <w:left w:w="60" w:type="dxa"/>
              <w:bottom w:w="20" w:type="dxa"/>
              <w:right w:w="60" w:type="dxa"/>
            </w:tcMar>
            <w:vAlign w:val="top"/>
          </w:tcPr>
          <w:p>
            <w:pPr>
              <w:spacing w:after="10" w:before="0" w:line="240" w:lineRule="auto"/>
            </w:pPr>
            <w:r>
              <w:rPr>
                <w:sz w:val="17"/>
              </w:rPr>
              <w:t>Correct by journal and stock entry.</w:t>
            </w:r>
          </w:p>
        </w:tc>
        <w:tc>
          <w:tcPr>
            <w:tcW w:type="dxa" w:w="800"/>
            <w:tcMar>
              <w:top w:w="20" w:type="dxa"/>
              <w:left w:w="60" w:type="dxa"/>
              <w:bottom w:w="20" w:type="dxa"/>
              <w:right w:w="60" w:type="dxa"/>
            </w:tcMar>
            <w:vAlign w:val="top"/>
          </w:tcPr>
          <w:p>
            <w:pPr>
              <w:spacing w:after="10" w:before="0" w:line="240" w:lineRule="auto"/>
            </w:pPr>
            <w:r>
              <w:rPr>
                <w:sz w:val="17"/>
              </w:rPr>
              <w:t>3.14</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8</w:t>
            </w:r>
          </w:p>
        </w:tc>
        <w:tc>
          <w:tcPr>
            <w:tcW w:type="dxa" w:w="5093"/>
            <w:tcMar>
              <w:top w:w="20" w:type="dxa"/>
              <w:left w:w="60" w:type="dxa"/>
              <w:bottom w:w="20" w:type="dxa"/>
              <w:right w:w="60" w:type="dxa"/>
            </w:tcMar>
            <w:vAlign w:val="top"/>
          </w:tcPr>
          <w:p>
            <w:pPr>
              <w:spacing w:after="10" w:before="0" w:line="240" w:lineRule="auto"/>
            </w:pPr>
            <w:r>
              <w:rPr>
                <w:b/>
                <w:sz w:val="17"/>
              </w:rPr>
              <w:t>Unused keys.</w:t>
            </w:r>
            <w:r>
              <w:rPr>
                <w:sz w:val="17"/>
              </w:rPr>
              <w:t xml:space="preserve"> Six mappable keys are read by no code (section 2.2); all must still be mapped before posting can be switched on.</w:t>
            </w:r>
          </w:p>
        </w:tc>
        <w:tc>
          <w:tcPr>
            <w:tcW w:type="dxa" w:w="3347"/>
            <w:tcMar>
              <w:top w:w="20" w:type="dxa"/>
              <w:left w:w="60" w:type="dxa"/>
              <w:bottom w:w="20" w:type="dxa"/>
              <w:right w:w="60" w:type="dxa"/>
            </w:tcMar>
            <w:vAlign w:val="top"/>
          </w:tcPr>
          <w:p>
            <w:pPr>
              <w:spacing w:after="10" w:before="0" w:line="240" w:lineRule="auto"/>
            </w:pPr>
            <w:r>
              <w:rPr>
                <w:sz w:val="17"/>
              </w:rPr>
              <w:t>They carry no posting today.</w:t>
            </w:r>
          </w:p>
        </w:tc>
        <w:tc>
          <w:tcPr>
            <w:tcW w:type="dxa" w:w="800"/>
            <w:tcMar>
              <w:top w:w="20" w:type="dxa"/>
              <w:left w:w="60" w:type="dxa"/>
              <w:bottom w:w="20" w:type="dxa"/>
              <w:right w:w="60" w:type="dxa"/>
            </w:tcMar>
            <w:vAlign w:val="top"/>
          </w:tcPr>
          <w:p>
            <w:pPr>
              <w:spacing w:after="10" w:before="0" w:line="240" w:lineRule="auto"/>
            </w:pPr>
            <w:r>
              <w:rPr>
                <w:sz w:val="17"/>
              </w:rPr>
              <w:t>2.2</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9</w:t>
            </w:r>
          </w:p>
        </w:tc>
        <w:tc>
          <w:tcPr>
            <w:tcW w:type="dxa" w:w="5093"/>
            <w:tcMar>
              <w:top w:w="20" w:type="dxa"/>
              <w:left w:w="60" w:type="dxa"/>
              <w:bottom w:w="20" w:type="dxa"/>
              <w:right w:w="60" w:type="dxa"/>
            </w:tcMar>
            <w:vAlign w:val="top"/>
          </w:tcPr>
          <w:p>
            <w:pPr>
              <w:spacing w:after="10" w:before="0" w:line="240" w:lineRule="auto"/>
            </w:pPr>
            <w:r>
              <w:rPr>
                <w:b/>
                <w:sz w:val="17"/>
              </w:rPr>
              <w:t>Reverse charge.</w:t>
            </w:r>
            <w:r>
              <w:rPr>
                <w:sz w:val="17"/>
              </w:rPr>
              <w:t xml:space="preserve"> Reported in boxes 3 and 10 at the line's percent (5 percent if none); nothing is posted. No reverse-charge code in the starter set; it should carry rate 0.</w:t>
            </w:r>
          </w:p>
        </w:tc>
        <w:tc>
          <w:tcPr>
            <w:tcW w:type="dxa" w:w="3347"/>
            <w:tcMar>
              <w:top w:w="20" w:type="dxa"/>
              <w:left w:w="60" w:type="dxa"/>
              <w:bottom w:w="20" w:type="dxa"/>
              <w:right w:w="60" w:type="dxa"/>
            </w:tcMar>
            <w:vAlign w:val="top"/>
          </w:tcPr>
          <w:p>
            <w:pPr>
              <w:spacing w:after="10" w:before="0" w:line="240" w:lineRule="auto"/>
            </w:pPr>
            <w:r>
              <w:rPr>
                <w:sz w:val="17"/>
              </w:rPr>
              <w:t>VAT accounts exclude self-assessed VAT; the reconciliation excludes it too.</w:t>
            </w:r>
          </w:p>
        </w:tc>
        <w:tc>
          <w:tcPr>
            <w:tcW w:type="dxa" w:w="800"/>
            <w:tcMar>
              <w:top w:w="20" w:type="dxa"/>
              <w:left w:w="60" w:type="dxa"/>
              <w:bottom w:w="20" w:type="dxa"/>
              <w:right w:w="60" w:type="dxa"/>
            </w:tcMar>
            <w:vAlign w:val="top"/>
          </w:tcPr>
          <w:p>
            <w:pPr>
              <w:spacing w:after="10" w:before="0" w:line="240" w:lineRule="auto"/>
            </w:pPr>
            <w:r>
              <w:rPr>
                <w:sz w:val="17"/>
              </w:rPr>
              <w:t>4.13</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10</w:t>
            </w:r>
          </w:p>
        </w:tc>
        <w:tc>
          <w:tcPr>
            <w:tcW w:type="dxa" w:w="5093"/>
            <w:tcMar>
              <w:top w:w="20" w:type="dxa"/>
              <w:left w:w="60" w:type="dxa"/>
              <w:bottom w:w="20" w:type="dxa"/>
              <w:right w:w="60" w:type="dxa"/>
            </w:tcMar>
            <w:vAlign w:val="top"/>
          </w:tcPr>
          <w:p>
            <w:pPr>
              <w:spacing w:after="10" w:before="0" w:line="240" w:lineRule="auto"/>
            </w:pPr>
            <w:r>
              <w:rPr>
                <w:b/>
                <w:sz w:val="17"/>
              </w:rPr>
              <w:t>VAT return.</w:t>
            </w:r>
            <w:r>
              <w:rPr>
                <w:sz w:val="17"/>
              </w:rPr>
              <w:t xml:space="preserve"> Boxes 2, 6, 7 not tracked; all output standard-rated supplies go to the company's own emirate box; out-of-scope lines and zero-rated or exempt purchases appear in no box; a filed return cannot be reopened.</w:t>
            </w:r>
          </w:p>
        </w:tc>
        <w:tc>
          <w:tcPr>
            <w:tcW w:type="dxa" w:w="3347"/>
            <w:tcMar>
              <w:top w:w="20" w:type="dxa"/>
              <w:left w:w="60" w:type="dxa"/>
              <w:bottom w:w="20" w:type="dxa"/>
              <w:right w:w="60" w:type="dxa"/>
            </w:tcMar>
            <w:vAlign w:val="top"/>
          </w:tcPr>
          <w:p>
            <w:pPr>
              <w:spacing w:after="10" w:before="0" w:line="240" w:lineRule="auto"/>
            </w:pPr>
            <w:r>
              <w:rPr>
                <w:sz w:val="17"/>
              </w:rPr>
              <w:t>A working paper for those cases; the accountant completes them.</w:t>
            </w:r>
          </w:p>
        </w:tc>
        <w:tc>
          <w:tcPr>
            <w:tcW w:type="dxa" w:w="800"/>
            <w:tcMar>
              <w:top w:w="20" w:type="dxa"/>
              <w:left w:w="60" w:type="dxa"/>
              <w:bottom w:w="20" w:type="dxa"/>
              <w:right w:w="60" w:type="dxa"/>
            </w:tcMar>
            <w:vAlign w:val="top"/>
          </w:tcPr>
          <w:p>
            <w:pPr>
              <w:spacing w:after="10" w:before="0" w:line="240" w:lineRule="auto"/>
            </w:pPr>
            <w:r>
              <w:rPr>
                <w:sz w:val="17"/>
              </w:rPr>
              <w:t>4.13</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11</w:t>
            </w:r>
          </w:p>
        </w:tc>
        <w:tc>
          <w:tcPr>
            <w:tcW w:type="dxa" w:w="5093"/>
            <w:tcMar>
              <w:top w:w="20" w:type="dxa"/>
              <w:left w:w="60" w:type="dxa"/>
              <w:bottom w:w="20" w:type="dxa"/>
              <w:right w:w="60" w:type="dxa"/>
            </w:tcMar>
            <w:vAlign w:val="top"/>
          </w:tcPr>
          <w:p>
            <w:pPr>
              <w:spacing w:after="10" w:before="0" w:line="240" w:lineRule="auto"/>
            </w:pPr>
            <w:r>
              <w:rPr>
                <w:b/>
                <w:sz w:val="17"/>
              </w:rPr>
              <w:t>Older VAT report.</w:t>
            </w:r>
            <w:r>
              <w:rPr>
                <w:sz w:val="17"/>
              </w:rPr>
              <w:t xml:space="preserve"> The monthly VATReport collection (</w:t>
            </w:r>
            <w:r>
              <w:rPr>
                <w:rFonts w:ascii="Consolas" w:hAnsi="Consolas" w:eastAsia="Consolas"/>
                <w:sz w:val="16"/>
              </w:rPr>
              <w:t>/api/v1/reports/vat</w:t>
            </w:r>
            <w:r>
              <w:rPr>
                <w:sz w:val="17"/>
              </w:rPr>
              <w:t>) is legacy: approval no longer writes to it, and rows from older versions remain readable.</w:t>
            </w:r>
          </w:p>
        </w:tc>
        <w:tc>
          <w:tcPr>
            <w:tcW w:type="dxa" w:w="3347"/>
            <w:tcMar>
              <w:top w:w="20" w:type="dxa"/>
              <w:left w:w="60" w:type="dxa"/>
              <w:bottom w:w="20" w:type="dxa"/>
              <w:right w:w="60" w:type="dxa"/>
            </w:tcMar>
            <w:vAlign w:val="top"/>
          </w:tcPr>
          <w:p>
            <w:pPr>
              <w:spacing w:after="10" w:before="0" w:line="240" w:lineRule="auto"/>
            </w:pPr>
            <w:r>
              <w:rPr>
                <w:sz w:val="17"/>
              </w:rPr>
              <w:t>Not reconciled; not used for filing.</w:t>
            </w:r>
          </w:p>
        </w:tc>
        <w:tc>
          <w:tcPr>
            <w:tcW w:type="dxa" w:w="800"/>
            <w:tcMar>
              <w:top w:w="20" w:type="dxa"/>
              <w:left w:w="60" w:type="dxa"/>
              <w:bottom w:w="20" w:type="dxa"/>
              <w:right w:w="60" w:type="dxa"/>
            </w:tcMar>
            <w:vAlign w:val="top"/>
          </w:tcPr>
          <w:p>
            <w:pPr>
              <w:spacing w:after="10" w:before="0" w:line="240" w:lineRule="auto"/>
            </w:pPr>
            <w:r>
              <w:rPr>
                <w:sz w:val="17"/>
              </w:rPr>
              <w:t>4.14</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12</w:t>
            </w:r>
          </w:p>
        </w:tc>
        <w:tc>
          <w:tcPr>
            <w:tcW w:type="dxa" w:w="5093"/>
            <w:tcMar>
              <w:top w:w="20" w:type="dxa"/>
              <w:left w:w="60" w:type="dxa"/>
              <w:bottom w:w="20" w:type="dxa"/>
              <w:right w:w="60" w:type="dxa"/>
            </w:tcMar>
            <w:vAlign w:val="top"/>
          </w:tcPr>
          <w:p>
            <w:pPr>
              <w:spacing w:after="10" w:before="0" w:line="240" w:lineRule="auto"/>
            </w:pPr>
            <w:r>
              <w:rPr>
                <w:b/>
                <w:sz w:val="17"/>
              </w:rPr>
              <w:t>Foreign currency.</w:t>
            </w:r>
            <w:r>
              <w:rPr>
                <w:sz w:val="17"/>
              </w:rPr>
              <w:t xml:space="preserve"> Phase 1: receipts and payments only. No foreign invoices, exchange gain or loss, or revaluation; other vouchers refuse a foreign currency.</w:t>
            </w:r>
          </w:p>
        </w:tc>
        <w:tc>
          <w:tcPr>
            <w:tcW w:type="dxa" w:w="3347"/>
            <w:tcMar>
              <w:top w:w="20" w:type="dxa"/>
              <w:left w:w="60" w:type="dxa"/>
              <w:bottom w:w="20" w:type="dxa"/>
              <w:right w:w="60" w:type="dxa"/>
            </w:tcMar>
            <w:vAlign w:val="top"/>
          </w:tcPr>
          <w:p>
            <w:pPr>
              <w:spacing w:after="10" w:before="0" w:line="240" w:lineRule="auto"/>
            </w:pPr>
            <w:r>
              <w:rPr>
                <w:sz w:val="17"/>
              </w:rPr>
              <w:t>A foreign receipt settles an AED invoice at its own rate with no exchange difference.</w:t>
            </w:r>
          </w:p>
        </w:tc>
        <w:tc>
          <w:tcPr>
            <w:tcW w:type="dxa" w:w="800"/>
            <w:tcMar>
              <w:top w:w="20" w:type="dxa"/>
              <w:left w:w="60" w:type="dxa"/>
              <w:bottom w:w="20" w:type="dxa"/>
              <w:right w:w="60" w:type="dxa"/>
            </w:tcMar>
            <w:vAlign w:val="top"/>
          </w:tcPr>
          <w:p>
            <w:pPr>
              <w:spacing w:after="10" w:before="0" w:line="240" w:lineRule="auto"/>
            </w:pPr>
            <w:r>
              <w:rPr>
                <w:sz w:val="17"/>
              </w:rPr>
              <w:t>3.17</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13</w:t>
            </w:r>
          </w:p>
        </w:tc>
        <w:tc>
          <w:tcPr>
            <w:tcW w:type="dxa" w:w="5093"/>
            <w:tcMar>
              <w:top w:w="20" w:type="dxa"/>
              <w:left w:w="60" w:type="dxa"/>
              <w:bottom w:w="20" w:type="dxa"/>
              <w:right w:w="60" w:type="dxa"/>
            </w:tcMar>
            <w:vAlign w:val="top"/>
          </w:tcPr>
          <w:p>
            <w:pPr>
              <w:spacing w:after="10" w:before="0" w:line="240" w:lineRule="auto"/>
            </w:pPr>
            <w:r>
              <w:rPr>
                <w:b/>
                <w:sz w:val="17"/>
              </w:rPr>
              <w:t>Overselling.</w:t>
            </w:r>
            <w:r>
              <w:rPr>
                <w:sz w:val="17"/>
              </w:rPr>
              <w:t xml:space="preserve"> A sale beyond the stock is not refused; the shortfall is costed at the last average and the quantity goes negative. The engine computes a true-up for a later covering purchase, but nothing stores or posts it.</w:t>
            </w:r>
          </w:p>
        </w:tc>
        <w:tc>
          <w:tcPr>
            <w:tcW w:type="dxa" w:w="3347"/>
            <w:tcMar>
              <w:top w:w="20" w:type="dxa"/>
              <w:left w:w="60" w:type="dxa"/>
              <w:bottom w:w="20" w:type="dxa"/>
              <w:right w:w="60" w:type="dxa"/>
            </w:tcMar>
            <w:vAlign w:val="top"/>
          </w:tcPr>
          <w:p>
            <w:pPr>
              <w:spacing w:after="10" w:before="0" w:line="240" w:lineRule="auto"/>
            </w:pPr>
            <w:r>
              <w:rPr>
                <w:sz w:val="17"/>
              </w:rPr>
              <w:t>The valuation flags negative items.</w:t>
            </w:r>
          </w:p>
        </w:tc>
        <w:tc>
          <w:tcPr>
            <w:tcW w:type="dxa" w:w="800"/>
            <w:tcMar>
              <w:top w:w="20" w:type="dxa"/>
              <w:left w:w="60" w:type="dxa"/>
              <w:bottom w:w="20" w:type="dxa"/>
              <w:right w:w="60" w:type="dxa"/>
            </w:tcMar>
            <w:vAlign w:val="top"/>
          </w:tcPr>
          <w:p>
            <w:pPr>
              <w:spacing w:after="10" w:before="0" w:line="240" w:lineRule="auto"/>
            </w:pPr>
            <w:r>
              <w:rPr>
                <w:sz w:val="17"/>
              </w:rPr>
              <w:t>3.1</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14</w:t>
            </w:r>
          </w:p>
        </w:tc>
        <w:tc>
          <w:tcPr>
            <w:tcW w:type="dxa" w:w="5093"/>
            <w:tcMar>
              <w:top w:w="20" w:type="dxa"/>
              <w:left w:w="60" w:type="dxa"/>
              <w:bottom w:w="20" w:type="dxa"/>
              <w:right w:w="60" w:type="dxa"/>
            </w:tcMar>
            <w:vAlign w:val="top"/>
          </w:tcPr>
          <w:p>
            <w:pPr>
              <w:spacing w:after="10" w:before="0" w:line="240" w:lineRule="auto"/>
            </w:pPr>
            <w:r>
              <w:rPr>
                <w:b/>
                <w:sz w:val="17"/>
              </w:rPr>
              <w:t>Purchase extras; round-off.</w:t>
            </w:r>
            <w:r>
              <w:rPr>
                <w:sz w:val="17"/>
              </w:rPr>
              <w:t xml:space="preserve"> Header charges and the header discount are not spread into stock cost; a typed total within AED 1.00 of the computed total posts the difference to round-off.</w:t>
            </w:r>
          </w:p>
        </w:tc>
        <w:tc>
          <w:tcPr>
            <w:tcW w:type="dxa" w:w="3347"/>
            <w:tcMar>
              <w:top w:w="20" w:type="dxa"/>
              <w:left w:w="60" w:type="dxa"/>
              <w:bottom w:w="20" w:type="dxa"/>
              <w:right w:w="60" w:type="dxa"/>
            </w:tcMar>
            <w:vAlign w:val="top"/>
          </w:tcPr>
          <w:p>
            <w:pPr>
              <w:spacing w:after="10" w:before="0" w:line="240" w:lineRule="auto"/>
            </w:pPr>
            <w:r>
              <w:rPr>
                <w:sz w:val="17"/>
              </w:rPr>
              <w:t>Stock is at invoice value after line discounts.</w:t>
            </w:r>
          </w:p>
        </w:tc>
        <w:tc>
          <w:tcPr>
            <w:tcW w:type="dxa" w:w="800"/>
            <w:tcMar>
              <w:top w:w="20" w:type="dxa"/>
              <w:left w:w="60" w:type="dxa"/>
              <w:bottom w:w="20" w:type="dxa"/>
              <w:right w:w="60" w:type="dxa"/>
            </w:tcMar>
            <w:vAlign w:val="top"/>
          </w:tcPr>
          <w:p>
            <w:pPr>
              <w:spacing w:after="10" w:before="0" w:line="240" w:lineRule="auto"/>
            </w:pPr>
            <w:r>
              <w:rPr>
                <w:sz w:val="17"/>
              </w:rPr>
              <w:t>3.2</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15</w:t>
            </w:r>
          </w:p>
        </w:tc>
        <w:tc>
          <w:tcPr>
            <w:tcW w:type="dxa" w:w="5093"/>
            <w:tcMar>
              <w:top w:w="20" w:type="dxa"/>
              <w:left w:w="60" w:type="dxa"/>
              <w:bottom w:w="20" w:type="dxa"/>
              <w:right w:w="60" w:type="dxa"/>
            </w:tcMar>
            <w:vAlign w:val="top"/>
          </w:tcPr>
          <w:p>
            <w:pPr>
              <w:spacing w:after="10" w:before="0" w:line="240" w:lineRule="auto"/>
            </w:pPr>
            <w:r>
              <w:rPr>
                <w:b/>
                <w:sz w:val="17"/>
              </w:rPr>
              <w:t>IFRS classification.</w:t>
            </w:r>
            <w:r>
              <w:rPr>
                <w:sz w:val="17"/>
              </w:rPr>
              <w:t xml:space="preserve"> Current/non-current, expense types and cash-flow lines are decided by name patterns; Input VAT counts with receivables, Output VAT with payables.</w:t>
            </w:r>
          </w:p>
        </w:tc>
        <w:tc>
          <w:tcPr>
            <w:tcW w:type="dxa" w:w="3347"/>
            <w:tcMar>
              <w:top w:w="20" w:type="dxa"/>
              <w:left w:w="60" w:type="dxa"/>
              <w:bottom w:w="20" w:type="dxa"/>
              <w:right w:w="60" w:type="dxa"/>
            </w:tcMar>
            <w:vAlign w:val="top"/>
          </w:tcPr>
          <w:p>
            <w:pPr>
              <w:spacing w:after="10" w:before="0" w:line="240" w:lineRule="auto"/>
            </w:pPr>
            <w:r>
              <w:rPr>
                <w:sz w:val="17"/>
              </w:rPr>
              <w:t>A misnamed group is misclassified; review the notes with the accountant.</w:t>
            </w:r>
          </w:p>
        </w:tc>
        <w:tc>
          <w:tcPr>
            <w:tcW w:type="dxa" w:w="800"/>
            <w:tcMar>
              <w:top w:w="20" w:type="dxa"/>
              <w:left w:w="60" w:type="dxa"/>
              <w:bottom w:w="20" w:type="dxa"/>
              <w:right w:w="60" w:type="dxa"/>
            </w:tcMar>
            <w:vAlign w:val="top"/>
          </w:tcPr>
          <w:p>
            <w:pPr>
              <w:spacing w:after="10" w:before="0" w:line="240" w:lineRule="auto"/>
            </w:pPr>
            <w:r>
              <w:rPr>
                <w:sz w:val="17"/>
              </w:rPr>
              <w:t>4.22</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16</w:t>
            </w:r>
          </w:p>
        </w:tc>
        <w:tc>
          <w:tcPr>
            <w:tcW w:type="dxa" w:w="5093"/>
            <w:tcMar>
              <w:top w:w="20" w:type="dxa"/>
              <w:left w:w="60" w:type="dxa"/>
              <w:bottom w:w="20" w:type="dxa"/>
              <w:right w:w="60" w:type="dxa"/>
            </w:tcMar>
            <w:vAlign w:val="top"/>
          </w:tcPr>
          <w:p>
            <w:pPr>
              <w:spacing w:after="10" w:before="0" w:line="240" w:lineRule="auto"/>
            </w:pPr>
            <w:r>
              <w:rPr>
                <w:b/>
                <w:sz w:val="17"/>
              </w:rPr>
              <w:t>Year end.</w:t>
            </w:r>
            <w:r>
              <w:rPr>
                <w:sz w:val="17"/>
              </w:rPr>
              <w:t xml:space="preserve"> No closing entries or roll-forward (profit is shown inside equity); no depreciation, accruals, fixed-asset register or bank reconciliation.</w:t>
            </w:r>
          </w:p>
        </w:tc>
        <w:tc>
          <w:tcPr>
            <w:tcW w:type="dxa" w:w="3347"/>
            <w:tcMar>
              <w:top w:w="20" w:type="dxa"/>
              <w:left w:w="60" w:type="dxa"/>
              <w:bottom w:w="20" w:type="dxa"/>
              <w:right w:w="60" w:type="dxa"/>
            </w:tcMar>
            <w:vAlign w:val="top"/>
          </w:tcPr>
          <w:p>
            <w:pPr>
              <w:spacing w:after="10" w:before="0" w:line="240" w:lineRule="auto"/>
            </w:pPr>
            <w:r>
              <w:rPr>
                <w:sz w:val="17"/>
              </w:rPr>
              <w:t>Done with journals.</w:t>
            </w:r>
          </w:p>
        </w:tc>
        <w:tc>
          <w:tcPr>
            <w:tcW w:type="dxa" w:w="800"/>
            <w:tcMar>
              <w:top w:w="20" w:type="dxa"/>
              <w:left w:w="60" w:type="dxa"/>
              <w:bottom w:w="20" w:type="dxa"/>
              <w:right w:w="60" w:type="dxa"/>
            </w:tcMar>
            <w:vAlign w:val="top"/>
          </w:tcPr>
          <w:p>
            <w:pPr>
              <w:spacing w:after="10" w:before="0" w:line="240" w:lineRule="auto"/>
            </w:pPr>
            <w:r>
              <w:rPr>
                <w:sz w:val="17"/>
              </w:rPr>
              <w:t>4.3</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17</w:t>
            </w:r>
          </w:p>
        </w:tc>
        <w:tc>
          <w:tcPr>
            <w:tcW w:type="dxa" w:w="5093"/>
            <w:tcMar>
              <w:top w:w="20" w:type="dxa"/>
              <w:left w:w="60" w:type="dxa"/>
              <w:bottom w:w="20" w:type="dxa"/>
              <w:right w:w="60" w:type="dxa"/>
            </w:tcMar>
            <w:vAlign w:val="top"/>
          </w:tcPr>
          <w:p>
            <w:pPr>
              <w:spacing w:after="10" w:before="0" w:line="240" w:lineRule="auto"/>
            </w:pPr>
            <w:r>
              <w:rPr>
                <w:b/>
                <w:sz w:val="17"/>
              </w:rPr>
              <w:t>Older voucher format.</w:t>
            </w:r>
            <w:r>
              <w:rPr>
                <w:sz w:val="17"/>
              </w:rPr>
              <w:t xml:space="preserve"> A request without </w:t>
            </w:r>
            <w:r>
              <w:rPr>
                <w:rFonts w:ascii="Consolas" w:hAnsi="Consolas" w:eastAsia="Consolas"/>
                <w:sz w:val="16"/>
              </w:rPr>
              <w:t>ledgerBased</w:t>
            </w:r>
            <w:r>
              <w:rPr>
                <w:sz w:val="17"/>
              </w:rPr>
              <w:t xml:space="preserve"> (or a journal without </w:t>
            </w:r>
            <w:r>
              <w:rPr>
                <w:rFonts w:ascii="Consolas" w:hAnsi="Consolas" w:eastAsia="Consolas"/>
                <w:sz w:val="16"/>
              </w:rPr>
              <w:t>lines</w:t>
            </w:r>
            <w:r>
              <w:rPr>
                <w:sz w:val="17"/>
              </w:rPr>
              <w:t>) still reaches the older path to the 'Transactor' accounts, outside the chart. Screens do not use it.</w:t>
            </w:r>
          </w:p>
        </w:tc>
        <w:tc>
          <w:tcPr>
            <w:tcW w:type="dxa" w:w="3347"/>
            <w:tcMar>
              <w:top w:w="20" w:type="dxa"/>
              <w:left w:w="60" w:type="dxa"/>
              <w:bottom w:w="20" w:type="dxa"/>
              <w:right w:w="60" w:type="dxa"/>
            </w:tcMar>
            <w:vAlign w:val="top"/>
          </w:tcPr>
          <w:p>
            <w:pPr>
              <w:spacing w:after="10" w:before="0" w:line="240" w:lineRule="auto"/>
            </w:pPr>
            <w:r>
              <w:rPr>
                <w:sz w:val="17"/>
              </w:rPr>
              <w:t>Such vouchers are not in the chart reports.</w:t>
            </w:r>
          </w:p>
        </w:tc>
        <w:tc>
          <w:tcPr>
            <w:tcW w:type="dxa" w:w="800"/>
            <w:tcMar>
              <w:top w:w="20" w:type="dxa"/>
              <w:left w:w="60" w:type="dxa"/>
              <w:bottom w:w="20" w:type="dxa"/>
              <w:right w:w="60" w:type="dxa"/>
            </w:tcMar>
            <w:vAlign w:val="top"/>
          </w:tcPr>
          <w:p>
            <w:pPr>
              <w:spacing w:after="10" w:before="0" w:line="240" w:lineRule="auto"/>
            </w:pPr>
            <w:r>
              <w:rPr>
                <w:sz w:val="17"/>
              </w:rPr>
              <w:t>3.10</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18</w:t>
            </w:r>
          </w:p>
        </w:tc>
        <w:tc>
          <w:tcPr>
            <w:tcW w:type="dxa" w:w="5093"/>
            <w:tcMar>
              <w:top w:w="20" w:type="dxa"/>
              <w:left w:w="60" w:type="dxa"/>
              <w:bottom w:w="20" w:type="dxa"/>
              <w:right w:w="60" w:type="dxa"/>
            </w:tcMar>
            <w:vAlign w:val="top"/>
          </w:tcPr>
          <w:p>
            <w:pPr>
              <w:spacing w:after="10" w:before="0" w:line="240" w:lineRule="auto"/>
            </w:pPr>
            <w:r>
              <w:rPr>
                <w:b/>
                <w:sz w:val="17"/>
              </w:rPr>
              <w:t>Party screens.</w:t>
            </w:r>
            <w:r>
              <w:rPr>
                <w:sz w:val="17"/>
              </w:rPr>
              <w:t xml:space="preserve"> The Debit Accounts and Credit Accounts screens read the older per-party logs and running balance, not the ledger.</w:t>
            </w:r>
          </w:p>
        </w:tc>
        <w:tc>
          <w:tcPr>
            <w:tcW w:type="dxa" w:w="3347"/>
            <w:tcMar>
              <w:top w:w="20" w:type="dxa"/>
              <w:left w:w="60" w:type="dxa"/>
              <w:bottom w:w="20" w:type="dxa"/>
              <w:right w:w="60" w:type="dxa"/>
            </w:tcMar>
            <w:vAlign w:val="top"/>
          </w:tcPr>
          <w:p>
            <w:pPr>
              <w:spacing w:after="10" w:before="0" w:line="240" w:lineRule="auto"/>
            </w:pPr>
            <w:r>
              <w:rPr>
                <w:sz w:val="17"/>
              </w:rPr>
              <w:t>They can differ from party balances.</w:t>
            </w:r>
          </w:p>
        </w:tc>
        <w:tc>
          <w:tcPr>
            <w:tcW w:type="dxa" w:w="800"/>
            <w:tcMar>
              <w:top w:w="20" w:type="dxa"/>
              <w:left w:w="60" w:type="dxa"/>
              <w:bottom w:w="20" w:type="dxa"/>
              <w:right w:w="60" w:type="dxa"/>
            </w:tcMar>
            <w:vAlign w:val="top"/>
          </w:tcPr>
          <w:p>
            <w:pPr>
              <w:spacing w:after="10" w:before="0" w:line="240" w:lineRule="auto"/>
            </w:pPr>
            <w:r>
              <w:rPr>
                <w:sz w:val="17"/>
              </w:rPr>
              <w:t>4.9</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19</w:t>
            </w:r>
          </w:p>
        </w:tc>
        <w:tc>
          <w:tcPr>
            <w:tcW w:type="dxa" w:w="5093"/>
            <w:tcMar>
              <w:top w:w="20" w:type="dxa"/>
              <w:left w:w="60" w:type="dxa"/>
              <w:bottom w:w="20" w:type="dxa"/>
              <w:right w:w="60" w:type="dxa"/>
            </w:tcMar>
            <w:vAlign w:val="top"/>
          </w:tcPr>
          <w:p>
            <w:pPr>
              <w:spacing w:after="10" w:before="0" w:line="240" w:lineRule="auto"/>
            </w:pPr>
            <w:r>
              <w:rPr>
                <w:b/>
                <w:sz w:val="17"/>
              </w:rPr>
              <w:t>Posting off.</w:t>
            </w:r>
            <w:r>
              <w:rPr>
                <w:sz w:val="17"/>
              </w:rPr>
              <w:t xml:space="preserve"> Vouchers post whether the switch is on or off; trade documents only when on (caught up later). A cash payment is not blocked by the cash balance; only a contra is.</w:t>
            </w:r>
          </w:p>
        </w:tc>
        <w:tc>
          <w:tcPr>
            <w:tcW w:type="dxa" w:w="3347"/>
            <w:tcMar>
              <w:top w:w="20" w:type="dxa"/>
              <w:left w:w="60" w:type="dxa"/>
              <w:bottom w:w="20" w:type="dxa"/>
              <w:right w:w="60" w:type="dxa"/>
            </w:tcMar>
            <w:vAlign w:val="top"/>
          </w:tcPr>
          <w:p>
            <w:pPr>
              <w:spacing w:after="10" w:before="0" w:line="240" w:lineRule="auto"/>
            </w:pPr>
            <w:r>
              <w:rPr>
                <w:sz w:val="17"/>
              </w:rPr>
              <w:t>With the switch off, party accounts show credits without invoices.</w:t>
            </w:r>
          </w:p>
        </w:tc>
        <w:tc>
          <w:tcPr>
            <w:tcW w:type="dxa" w:w="800"/>
            <w:tcMar>
              <w:top w:w="20" w:type="dxa"/>
              <w:left w:w="60" w:type="dxa"/>
              <w:bottom w:w="20" w:type="dxa"/>
              <w:right w:w="60" w:type="dxa"/>
            </w:tcMar>
            <w:vAlign w:val="top"/>
          </w:tcPr>
          <w:p>
            <w:pPr>
              <w:spacing w:after="10" w:before="0" w:line="240" w:lineRule="auto"/>
            </w:pPr>
            <w:r>
              <w:rPr>
                <w:sz w:val="17"/>
              </w:rPr>
              <w:t>2.5</w:t>
            </w:r>
          </w:p>
        </w:tc>
      </w:tr>
      <w:tr>
        <w:trPr>
          <w:cantSplit w:val="true"/>
        </w:trPr>
        <w:tc>
          <w:tcPr>
            <w:tcW w:type="dxa" w:w="364"/>
            <w:tcMar>
              <w:top w:w="20" w:type="dxa"/>
              <w:left w:w="60" w:type="dxa"/>
              <w:bottom w:w="20" w:type="dxa"/>
              <w:right w:w="60" w:type="dxa"/>
            </w:tcMar>
            <w:vAlign w:val="top"/>
          </w:tcPr>
          <w:p>
            <w:pPr>
              <w:spacing w:after="10" w:before="0" w:line="240" w:lineRule="auto"/>
            </w:pPr>
            <w:r>
              <w:rPr>
                <w:sz w:val="17"/>
              </w:rPr>
              <w:t>20</w:t>
            </w:r>
          </w:p>
        </w:tc>
        <w:tc>
          <w:tcPr>
            <w:tcW w:type="dxa" w:w="5093"/>
            <w:tcMar>
              <w:top w:w="20" w:type="dxa"/>
              <w:left w:w="60" w:type="dxa"/>
              <w:bottom w:w="20" w:type="dxa"/>
              <w:right w:w="60" w:type="dxa"/>
            </w:tcMar>
            <w:vAlign w:val="top"/>
          </w:tcPr>
          <w:p>
            <w:pPr>
              <w:spacing w:after="10" w:before="0" w:line="240" w:lineRule="auto"/>
            </w:pPr>
            <w:r>
              <w:rPr>
                <w:b/>
                <w:sz w:val="17"/>
              </w:rPr>
              <w:t>Re-statement through the map.</w:t>
            </w:r>
            <w:r>
              <w:rPr>
                <w:sz w:val="17"/>
              </w:rPr>
              <w:t xml:space="preserve"> Group keys are read when a report runs.</w:t>
            </w:r>
          </w:p>
        </w:tc>
        <w:tc>
          <w:tcPr>
            <w:tcW w:type="dxa" w:w="3347"/>
            <w:tcMar>
              <w:top w:w="20" w:type="dxa"/>
              <w:left w:w="60" w:type="dxa"/>
              <w:bottom w:w="20" w:type="dxa"/>
              <w:right w:w="60" w:type="dxa"/>
            </w:tcMar>
            <w:vAlign w:val="top"/>
          </w:tcPr>
          <w:p>
            <w:pPr>
              <w:spacing w:after="10" w:before="0" w:line="240" w:lineRule="auto"/>
            </w:pPr>
            <w:r>
              <w:rPr>
                <w:sz w:val="17"/>
              </w:rPr>
              <w:t>Changing a group key changes how past periods are presented.</w:t>
            </w:r>
          </w:p>
        </w:tc>
        <w:tc>
          <w:tcPr>
            <w:tcW w:type="dxa" w:w="800"/>
            <w:tcMar>
              <w:top w:w="20" w:type="dxa"/>
              <w:left w:w="60" w:type="dxa"/>
              <w:bottom w:w="20" w:type="dxa"/>
              <w:right w:w="60" w:type="dxa"/>
            </w:tcMar>
            <w:vAlign w:val="top"/>
          </w:tcPr>
          <w:p>
            <w:pPr>
              <w:spacing w:after="10" w:before="0" w:line="240" w:lineRule="auto"/>
            </w:pPr>
            <w:r>
              <w:rPr>
                <w:sz w:val="17"/>
              </w:rPr>
              <w:t>2.6</w:t>
            </w:r>
          </w:p>
        </w:tc>
      </w:tr>
    </w:tbl>
    <w:p>
      <w:pPr>
        <w:spacing w:after="0" w:before="0"/>
        <w:rPr>
          <w:sz w:val="6"/>
        </w:rPr>
      </w:pPr>
    </w:p>
    <w:p>
      <w:pPr>
        <w:spacing w:after="0" w:before="0" w:lineRule="exact" w:line="20"/>
        <w:sectPr>
          <w:headerReference w:type="default" r:id="rId13"/>
          <w:footerReference w:type="default" r:id="rId14"/>
          <w:pgSz w:w="11909" w:h="16834"/>
          <w:pgMar w:top="1152" w:right="1152" w:bottom="1080" w:left="1152" w:header="504" w:footer="504" w:gutter="0"/>
          <w:cols w:space="720"/>
          <w:docGrid w:linePitch="360"/>
        </w:sectPr>
      </w:pPr>
    </w:p>
    <w:p>
      <w:pPr>
        <w:pStyle w:val="Heading1"/>
        <w:pageBreakBefore w:val="0"/>
      </w:pPr>
      <w:r>
        <w:t>Appendix A Report API endpoints</w:t>
      </w:r>
    </w:p>
    <w:p>
      <w:r>
        <w:t xml:space="preserve">All paths are under </w:t>
      </w:r>
      <w:r>
        <w:rPr>
          <w:rFonts w:ascii="Consolas" w:hAnsi="Consolas" w:eastAsia="Consolas"/>
        </w:rPr>
        <w:t>/api/v1</w:t>
      </w:r>
      <w:r>
        <w:t xml:space="preserve">. Every call needs a signed-in user. Responses are </w:t>
      </w:r>
      <w:r>
        <w:rPr>
          <w:rFonts w:ascii="Consolas" w:hAnsi="Consolas" w:eastAsia="Consolas"/>
        </w:rPr>
        <w:t>{ success, data }</w:t>
      </w:r>
      <w:r>
        <w:t xml:space="preserve">; the financial-statements endpoint wraps its result as </w:t>
      </w:r>
      <w:r>
        <w:rPr>
          <w:rFonts w:ascii="Consolas" w:hAnsi="Consolas" w:eastAsia="Consolas"/>
        </w:rPr>
        <w:t>{ status, data: { report } }</w:t>
      </w:r>
      <w:r>
        <w:t xml:space="preserve">. Dates are </w:t>
      </w:r>
      <w:r>
        <w:rPr>
          <w:rFonts w:ascii="Consolas" w:hAnsi="Consolas" w:eastAsia="Consolas"/>
        </w:rPr>
        <w:t>YYYY-MM-DD</w:t>
      </w:r>
      <w:r>
        <w:t>. Some paths repeat a segment (</w:t>
      </w:r>
      <w:r>
        <w:rPr>
          <w:rFonts w:ascii="Consolas" w:hAnsi="Consolas" w:eastAsia="Consolas"/>
        </w:rPr>
        <w:t>/vouchers/vouchers</w:t>
      </w:r>
      <w:r>
        <w:t>) because the router declares its own prefix inside the mount.</w:t>
      </w:r>
    </w:p>
    <w:p>
      <w:pPr>
        <w:pStyle w:val="Heading2"/>
      </w:pPr>
      <w:r>
        <w:t>A.1 Financial and ledger reports</w:t>
      </w:r>
    </w:p>
    <w:p>
      <w:pPr>
        <w:pStyle w:val="Caption"/>
      </w:pPr>
      <w:r>
        <w:t>Table 69. Financial and ledger reports</w:t>
      </w:r>
    </w:p>
    <w:tbl>
      <w:tblPr>
        <w:tblW w:type="dxa" w:w="14529"/>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540"/>
        <w:gridCol w:w="5448"/>
        <w:gridCol w:w="4540"/>
      </w:tblGrid>
      <w:tr>
        <w:trPr>
          <w:tblHeader w:val="true"/>
          <w:cantSplit w:val="true"/>
        </w:trPr>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Method and path</w:t>
            </w:r>
          </w:p>
        </w:tc>
        <w:tc>
          <w:tcPr>
            <w:tcW w:type="dxa" w:w="5449"/>
            <w:shd w:val="clear" w:color="auto" w:fill="1F3A5F"/>
            <w:tcMar>
              <w:top w:w="20" w:type="dxa"/>
              <w:left w:w="60" w:type="dxa"/>
              <w:bottom w:w="20" w:type="dxa"/>
              <w:right w:w="60" w:type="dxa"/>
            </w:tcMar>
            <w:vAlign w:val="center"/>
          </w:tcPr>
          <w:p>
            <w:pPr>
              <w:spacing w:after="10" w:before="0" w:line="240" w:lineRule="auto"/>
            </w:pPr>
            <w:r>
              <w:rPr>
                <w:b/>
                <w:color w:val="FFFFFF"/>
                <w:sz w:val="17"/>
              </w:rPr>
              <w:t>Parameters</w:t>
            </w:r>
          </w:p>
        </w:tc>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Notes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/vouchers/reports/financial</w:t>
            </w:r>
          </w:p>
        </w:tc>
        <w:tc>
          <w:tcPr>
            <w:tcW w:type="dxa" w:w="5449"/>
            <w:tcMar>
              <w:top w:w="20" w:type="dxa"/>
              <w:left w:w="60" w:type="dxa"/>
              <w:bottom w:w="20" w:type="dxa"/>
              <w:right w:w="60" w:type="dxa"/>
            </w:tcMar>
            <w:vAlign w:val="top"/>
          </w:tcPr>
          <w:p>
            <w:pPr>
              <w:spacing w:after="10" w:before="0" w:line="240" w:lineRule="auto"/>
            </w:pPr>
            <w:r>
              <w:rPr>
                <w:sz w:val="17"/>
              </w:rPr>
              <w:t>reportType = trial_balance, profit_loss, balance_sheet, cash_flow, expense_summary, party_statement; dateFrom, dateTo; partyId and partyType (party_statement)</w:t>
            </w:r>
          </w:p>
        </w:tc>
        <w:tc>
          <w:tcPr>
            <w:tcW w:type="dxa" w:w="4540"/>
            <w:tcMar>
              <w:top w:w="20" w:type="dxa"/>
              <w:left w:w="60" w:type="dxa"/>
              <w:bottom w:w="20" w:type="dxa"/>
              <w:right w:w="60" w:type="dxa"/>
            </w:tcMar>
            <w:vAlign w:val="top"/>
          </w:tcPr>
          <w:p>
            <w:pPr>
              <w:spacing w:after="10" w:before="0" w:line="240" w:lineRule="auto"/>
            </w:pPr>
            <w:r>
              <w:rPr>
                <w:sz w:val="17"/>
              </w:rPr>
              <w:t>Trial balance, older profit and loss, balance sheet (uses dateTo only). Dates read as sent.</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/accounting/reports/general-ledger</w:t>
            </w:r>
          </w:p>
        </w:tc>
        <w:tc>
          <w:tcPr>
            <w:tcW w:type="dxa" w:w="5449"/>
            <w:tcMar>
              <w:top w:w="20" w:type="dxa"/>
              <w:left w:w="60" w:type="dxa"/>
              <w:bottom w:w="20" w:type="dxa"/>
              <w:right w:w="60" w:type="dxa"/>
            </w:tcMar>
            <w:vAlign w:val="top"/>
          </w:tcPr>
          <w:p>
            <w:pPr>
              <w:spacing w:after="10" w:before="0" w:line="240" w:lineRule="auto"/>
            </w:pPr>
            <w:r>
              <w:rPr>
                <w:sz w:val="17"/>
              </w:rPr>
              <w:t>from, to, category, includeZero</w:t>
            </w:r>
          </w:p>
        </w:tc>
        <w:tc>
          <w:tcPr>
            <w:tcW w:type="dxa" w:w="4540"/>
            <w:tcMar>
              <w:top w:w="20" w:type="dxa"/>
              <w:left w:w="60" w:type="dxa"/>
              <w:bottom w:w="20" w:type="dxa"/>
              <w:right w:w="60" w:type="dxa"/>
            </w:tcMar>
            <w:vAlign w:val="top"/>
          </w:tcPr>
          <w:p>
            <w:pPr>
              <w:spacing w:after="10" w:before="0" w:line="240" w:lineRule="auto"/>
            </w:pPr>
            <w:r>
              <w:rPr>
                <w:sz w:val="17"/>
              </w:rPr>
              <w:t>Dubai days.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/accounting/reports/profit-loss</w:t>
            </w:r>
          </w:p>
        </w:tc>
        <w:tc>
          <w:tcPr>
            <w:tcW w:type="dxa" w:w="5449"/>
            <w:tcMar>
              <w:top w:w="20" w:type="dxa"/>
              <w:left w:w="60" w:type="dxa"/>
              <w:bottom w:w="20" w:type="dxa"/>
              <w:right w:w="60" w:type="dxa"/>
            </w:tcMar>
            <w:vAlign w:val="top"/>
          </w:tcPr>
          <w:p>
            <w:pPr>
              <w:spacing w:after="10" w:before="0" w:line="240" w:lineRule="auto"/>
            </w:pPr>
            <w:r>
              <w:rPr>
                <w:sz w:val="17"/>
              </w:rPr>
              <w:t>from, to</w:t>
            </w:r>
          </w:p>
        </w:tc>
        <w:tc>
          <w:tcPr>
            <w:tcW w:type="dxa" w:w="4540"/>
            <w:tcMar>
              <w:top w:w="20" w:type="dxa"/>
              <w:left w:w="60" w:type="dxa"/>
              <w:bottom w:w="20" w:type="dxa"/>
              <w:right w:w="60" w:type="dxa"/>
            </w:tcMar>
            <w:vAlign w:val="top"/>
          </w:tcPr>
          <w:p>
            <w:pPr>
              <w:spacing w:after="10" w:before="0" w:line="240" w:lineRule="auto"/>
            </w:pPr>
            <w:r>
              <w:rPr>
                <w:sz w:val="17"/>
              </w:rPr>
              <w:t>Profit and loss with gross profit.</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/accounting/reports/day-book</w:t>
            </w:r>
          </w:p>
        </w:tc>
        <w:tc>
          <w:tcPr>
            <w:tcW w:type="dxa" w:w="5449"/>
            <w:tcMar>
              <w:top w:w="20" w:type="dxa"/>
              <w:left w:w="60" w:type="dxa"/>
              <w:bottom w:w="20" w:type="dxa"/>
              <w:right w:w="60" w:type="dxa"/>
            </w:tcMar>
            <w:vAlign w:val="top"/>
          </w:tcPr>
          <w:p>
            <w:pPr>
              <w:spacing w:after="10" w:before="0" w:line="240" w:lineRule="auto"/>
            </w:pPr>
            <w:r>
              <w:rPr>
                <w:sz w:val="17"/>
              </w:rPr>
              <w:t>from, to, type, search, page, limit (max 200), includeLines</w:t>
            </w:r>
          </w:p>
        </w:tc>
        <w:tc>
          <w:tcPr>
            <w:tcW w:type="dxa" w:w="4540"/>
            <w:tcMar>
              <w:top w:w="20" w:type="dxa"/>
              <w:left w:w="60" w:type="dxa"/>
              <w:bottom w:w="20" w:type="dxa"/>
              <w:right w:w="60" w:type="dxa"/>
            </w:tcMar>
            <w:vAlign w:val="top"/>
          </w:tcPr>
          <w:p>
            <w:pPr>
              <w:spacing w:after="10" w:before="0" w:line="240" w:lineRule="auto"/>
            </w:pPr>
            <w:r>
              <w:rPr>
                <w:sz w:val="17"/>
              </w:rPr>
              <w:t>includeLines gives the journals register.</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/accounting/reports/voucher/:id</w:t>
            </w:r>
          </w:p>
        </w:tc>
        <w:tc>
          <w:tcPr>
            <w:tcW w:type="dxa" w:w="5449"/>
            <w:tcMar>
              <w:top w:w="20" w:type="dxa"/>
              <w:left w:w="60" w:type="dxa"/>
              <w:bottom w:w="20" w:type="dxa"/>
              <w:right w:w="60" w:type="dxa"/>
            </w:tcMar>
            <w:vAlign w:val="top"/>
          </w:tcPr>
          <w:p>
            <w:pPr>
              <w:spacing w:after="10" w:before="0" w:line="240" w:lineRule="auto"/>
            </w:pPr>
            <w:r>
              <w:rPr>
                <w:sz w:val="17"/>
              </w:rPr>
              <w:t>voucher id</w:t>
            </w:r>
          </w:p>
        </w:tc>
        <w:tc>
          <w:tcPr>
            <w:tcW w:type="dxa" w:w="4540"/>
            <w:tcMar>
              <w:top w:w="20" w:type="dxa"/>
              <w:left w:w="60" w:type="dxa"/>
              <w:bottom w:w="20" w:type="dxa"/>
              <w:right w:w="60" w:type="dxa"/>
            </w:tcMar>
            <w:vAlign w:val="top"/>
          </w:tcPr>
          <w:p>
            <w:pPr>
              <w:spacing w:after="10" w:before="0" w:line="240" w:lineRule="auto"/>
            </w:pPr>
            <w:r>
              <w:rPr>
                <w:sz w:val="17"/>
              </w:rPr>
              <w:t>Balanced lines of one voucher; 404 NOT_POSTED if none.</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/accounting/reports/cash-book</w:t>
            </w:r>
          </w:p>
        </w:tc>
        <w:tc>
          <w:tcPr>
            <w:tcW w:type="dxa" w:w="5449"/>
            <w:tcMar>
              <w:top w:w="20" w:type="dxa"/>
              <w:left w:w="60" w:type="dxa"/>
              <w:bottom w:w="20" w:type="dxa"/>
              <w:right w:w="60" w:type="dxa"/>
            </w:tcMar>
            <w:vAlign w:val="top"/>
          </w:tcPr>
          <w:p>
            <w:pPr>
              <w:spacing w:after="10" w:before="0" w:line="240" w:lineRule="auto"/>
            </w:pPr>
            <w:r>
              <w:rPr>
                <w:sz w:val="17"/>
              </w:rPr>
              <w:t>from, to, kind = cash or bank</w:t>
            </w:r>
          </w:p>
        </w:tc>
        <w:tc>
          <w:tcPr>
            <w:tcW w:type="dxa" w:w="4540"/>
            <w:tcMar>
              <w:top w:w="20" w:type="dxa"/>
              <w:left w:w="60" w:type="dxa"/>
              <w:bottom w:w="20" w:type="dxa"/>
              <w:right w:w="60" w:type="dxa"/>
            </w:tcMar>
            <w:vAlign w:val="top"/>
          </w:tcPr>
          <w:p>
            <w:pPr>
              <w:spacing w:after="10" w:before="0" w:line="240" w:lineRule="auto"/>
            </w:pP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/accounting/reports/cash-flow</w:t>
            </w:r>
          </w:p>
        </w:tc>
        <w:tc>
          <w:tcPr>
            <w:tcW w:type="dxa" w:w="5449"/>
            <w:tcMar>
              <w:top w:w="20" w:type="dxa"/>
              <w:left w:w="60" w:type="dxa"/>
              <w:bottom w:w="20" w:type="dxa"/>
              <w:right w:w="60" w:type="dxa"/>
            </w:tcMar>
            <w:vAlign w:val="top"/>
          </w:tcPr>
          <w:p>
            <w:pPr>
              <w:spacing w:after="10" w:before="0" w:line="240" w:lineRule="auto"/>
            </w:pPr>
            <w:r>
              <w:rPr>
                <w:sz w:val="17"/>
              </w:rPr>
              <w:t>from, to</w:t>
            </w:r>
          </w:p>
        </w:tc>
        <w:tc>
          <w:tcPr>
            <w:tcW w:type="dxa" w:w="4540"/>
            <w:tcMar>
              <w:top w:w="20" w:type="dxa"/>
              <w:left w:w="60" w:type="dxa"/>
              <w:bottom w:w="20" w:type="dxa"/>
              <w:right w:w="60" w:type="dxa"/>
            </w:tcMar>
            <w:vAlign w:val="top"/>
          </w:tcPr>
          <w:p>
            <w:pPr>
              <w:spacing w:after="10" w:before="0" w:line="240" w:lineRule="auto"/>
            </w:pPr>
            <w:r>
              <w:rPr>
                <w:sz w:val="17"/>
              </w:rPr>
              <w:t>Cash flow by kind of voucher.</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/accounting/reports/party-balances</w:t>
            </w:r>
          </w:p>
        </w:tc>
        <w:tc>
          <w:tcPr>
            <w:tcW w:type="dxa" w:w="5449"/>
            <w:tcMar>
              <w:top w:w="20" w:type="dxa"/>
              <w:left w:w="60" w:type="dxa"/>
              <w:bottom w:w="20" w:type="dxa"/>
              <w:right w:w="60" w:type="dxa"/>
            </w:tcMar>
            <w:vAlign w:val="top"/>
          </w:tcPr>
          <w:p>
            <w:pPr>
              <w:spacing w:after="10" w:before="0" w:line="240" w:lineRule="auto"/>
            </w:pPr>
            <w:r>
              <w:rPr>
                <w:sz w:val="17"/>
              </w:rPr>
              <w:t>type = customer or vendor; asOn; includeZero</w:t>
            </w:r>
          </w:p>
        </w:tc>
        <w:tc>
          <w:tcPr>
            <w:tcW w:type="dxa" w:w="4540"/>
            <w:tcMar>
              <w:top w:w="20" w:type="dxa"/>
              <w:left w:w="60" w:type="dxa"/>
              <w:bottom w:w="20" w:type="dxa"/>
              <w:right w:w="60" w:type="dxa"/>
            </w:tcMar>
            <w:vAlign w:val="top"/>
          </w:tcPr>
          <w:p>
            <w:pPr>
              <w:spacing w:after="10" w:before="0" w:line="240" w:lineRule="auto"/>
            </w:pPr>
            <w:r>
              <w:rPr>
                <w:sz w:val="17"/>
              </w:rPr>
              <w:t>Credit exposure for customers.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/accounting/reports/ageing</w:t>
            </w:r>
          </w:p>
        </w:tc>
        <w:tc>
          <w:tcPr>
            <w:tcW w:type="dxa" w:w="5449"/>
            <w:tcMar>
              <w:top w:w="20" w:type="dxa"/>
              <w:left w:w="60" w:type="dxa"/>
              <w:bottom w:w="20" w:type="dxa"/>
              <w:right w:w="60" w:type="dxa"/>
            </w:tcMar>
            <w:vAlign w:val="top"/>
          </w:tcPr>
          <w:p>
            <w:pPr>
              <w:spacing w:after="10" w:before="0" w:line="240" w:lineRule="auto"/>
            </w:pPr>
            <w:r>
              <w:rPr>
                <w:sz w:val="17"/>
              </w:rPr>
              <w:t>type = receivable or payable; asOf</w:t>
            </w:r>
          </w:p>
        </w:tc>
        <w:tc>
          <w:tcPr>
            <w:tcW w:type="dxa" w:w="4540"/>
            <w:tcMar>
              <w:top w:w="20" w:type="dxa"/>
              <w:left w:w="60" w:type="dxa"/>
              <w:bottom w:w="20" w:type="dxa"/>
              <w:right w:w="60" w:type="dxa"/>
            </w:tcMar>
            <w:vAlign w:val="top"/>
          </w:tcPr>
          <w:p>
            <w:pPr>
              <w:spacing w:after="10" w:before="0" w:line="240" w:lineRule="auto"/>
            </w:pPr>
            <w:r>
              <w:rPr>
                <w:sz w:val="17"/>
              </w:rPr>
              <w:t>asOf read as sent.</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/accounting/reports/statement</w:t>
            </w:r>
          </w:p>
        </w:tc>
        <w:tc>
          <w:tcPr>
            <w:tcW w:type="dxa" w:w="5449"/>
            <w:tcMar>
              <w:top w:w="20" w:type="dxa"/>
              <w:left w:w="60" w:type="dxa"/>
              <w:bottom w:w="20" w:type="dxa"/>
              <w:right w:w="60" w:type="dxa"/>
            </w:tcMar>
            <w:vAlign w:val="top"/>
          </w:tcPr>
          <w:p>
            <w:pPr>
              <w:spacing w:after="10" w:before="0" w:line="240" w:lineRule="auto"/>
            </w:pPr>
            <w:r>
              <w:rPr>
                <w:sz w:val="17"/>
              </w:rPr>
              <w:t>partyId, partyType = Customer or Vendor; from, to</w:t>
            </w:r>
          </w:p>
        </w:tc>
        <w:tc>
          <w:tcPr>
            <w:tcW w:type="dxa" w:w="4540"/>
            <w:tcMar>
              <w:top w:w="20" w:type="dxa"/>
              <w:left w:w="60" w:type="dxa"/>
              <w:bottom w:w="20" w:type="dxa"/>
              <w:right w:w="60" w:type="dxa"/>
            </w:tcMar>
            <w:vAlign w:val="top"/>
          </w:tcPr>
          <w:p>
            <w:pPr>
              <w:spacing w:after="10" w:before="0" w:line="240" w:lineRule="auto"/>
            </w:pPr>
            <w:r>
              <w:rPr>
                <w:sz w:val="17"/>
              </w:rPr>
              <w:t>source = ledger or documents.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/accounting/accounts/:id/ledger</w:t>
            </w:r>
          </w:p>
        </w:tc>
        <w:tc>
          <w:tcPr>
            <w:tcW w:type="dxa" w:w="5449"/>
            <w:tcMar>
              <w:top w:w="20" w:type="dxa"/>
              <w:left w:w="60" w:type="dxa"/>
              <w:bottom w:w="20" w:type="dxa"/>
              <w:right w:w="60" w:type="dxa"/>
            </w:tcMar>
            <w:vAlign w:val="top"/>
          </w:tcPr>
          <w:p>
            <w:pPr>
              <w:spacing w:after="10" w:before="0" w:line="240" w:lineRule="auto"/>
            </w:pPr>
            <w:r>
              <w:rPr>
                <w:sz w:val="17"/>
              </w:rPr>
              <w:t>from, to</w:t>
            </w:r>
          </w:p>
        </w:tc>
        <w:tc>
          <w:tcPr>
            <w:tcW w:type="dxa" w:w="4540"/>
            <w:tcMar>
              <w:top w:w="20" w:type="dxa"/>
              <w:left w:w="60" w:type="dxa"/>
              <w:bottom w:w="20" w:type="dxa"/>
              <w:right w:w="60" w:type="dxa"/>
            </w:tcMar>
            <w:vAlign w:val="top"/>
          </w:tcPr>
          <w:p>
            <w:pPr>
              <w:spacing w:after="10" w:before="0" w:line="240" w:lineRule="auto"/>
            </w:pPr>
            <w:r>
              <w:rPr>
                <w:sz w:val="17"/>
              </w:rPr>
              <w:t>One account with running balance.</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/accounting/chart</w:t>
            </w:r>
          </w:p>
        </w:tc>
        <w:tc>
          <w:tcPr>
            <w:tcW w:type="dxa" w:w="5449"/>
            <w:tcMar>
              <w:top w:w="20" w:type="dxa"/>
              <w:left w:w="60" w:type="dxa"/>
              <w:bottom w:w="20" w:type="dxa"/>
              <w:right w:w="60" w:type="dxa"/>
            </w:tcMar>
            <w:vAlign w:val="top"/>
          </w:tcPr>
          <w:p>
            <w:pPr>
              <w:spacing w:after="10" w:before="0" w:line="240" w:lineRule="auto"/>
            </w:pPr>
            <w:r>
              <w:rPr>
                <w:sz w:val="17"/>
              </w:rPr>
              <w:t>asOf</w:t>
            </w:r>
          </w:p>
        </w:tc>
        <w:tc>
          <w:tcPr>
            <w:tcW w:type="dxa" w:w="4540"/>
            <w:tcMar>
              <w:top w:w="20" w:type="dxa"/>
              <w:left w:w="60" w:type="dxa"/>
              <w:bottom w:w="20" w:type="dxa"/>
              <w:right w:w="60" w:type="dxa"/>
            </w:tcMar>
            <w:vAlign w:val="top"/>
          </w:tcPr>
          <w:p>
            <w:pPr>
              <w:spacing w:after="10" w:before="0" w:line="240" w:lineRule="auto"/>
            </w:pPr>
            <w:r>
              <w:rPr>
                <w:sz w:val="17"/>
              </w:rPr>
              <w:t>Chart with balances; opens the default chart and runs the readiness routine.</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/accounting/accounts/postable</w:t>
            </w:r>
          </w:p>
        </w:tc>
        <w:tc>
          <w:tcPr>
            <w:tcW w:type="dxa" w:w="5449"/>
            <w:tcMar>
              <w:top w:w="20" w:type="dxa"/>
              <w:left w:w="60" w:type="dxa"/>
              <w:bottom w:w="20" w:type="dxa"/>
              <w:right w:w="60" w:type="dxa"/>
            </w:tcMar>
            <w:vAlign w:val="top"/>
          </w:tcPr>
          <w:p>
            <w:pPr>
              <w:spacing w:after="10" w:before="0" w:line="240" w:lineRule="auto"/>
            </w:pPr>
            <w:r>
              <w:rPr>
                <w:sz w:val="17"/>
              </w:rPr>
              <w:t>none</w:t>
            </w:r>
          </w:p>
        </w:tc>
        <w:tc>
          <w:tcPr>
            <w:tcW w:type="dxa" w:w="4540"/>
            <w:tcMar>
              <w:top w:w="20" w:type="dxa"/>
              <w:left w:w="60" w:type="dxa"/>
              <w:bottom w:w="20" w:type="dxa"/>
              <w:right w:w="60" w:type="dxa"/>
            </w:tcMar>
            <w:vAlign w:val="top"/>
          </w:tcPr>
          <w:p>
            <w:pPr>
              <w:spacing w:after="10" w:before="0" w:line="240" w:lineRule="auto"/>
            </w:pPr>
            <w:r>
              <w:rPr>
                <w:sz w:val="17"/>
              </w:rPr>
              <w:t>Flat list of accounts a voucher can post to.</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/accounting/audit-log</w:t>
            </w:r>
          </w:p>
        </w:tc>
        <w:tc>
          <w:tcPr>
            <w:tcW w:type="dxa" w:w="5449"/>
            <w:tcMar>
              <w:top w:w="20" w:type="dxa"/>
              <w:left w:w="60" w:type="dxa"/>
              <w:bottom w:w="20" w:type="dxa"/>
              <w:right w:w="60" w:type="dxa"/>
            </w:tcMar>
            <w:vAlign w:val="top"/>
          </w:tcPr>
          <w:p>
            <w:pPr>
              <w:spacing w:after="10" w:before="0" w:line="240" w:lineRule="auto"/>
            </w:pPr>
            <w:r>
              <w:rPr>
                <w:sz w:val="17"/>
              </w:rPr>
              <w:t>entity, action, paging</w:t>
            </w:r>
          </w:p>
        </w:tc>
        <w:tc>
          <w:tcPr>
            <w:tcW w:type="dxa" w:w="4540"/>
            <w:tcMar>
              <w:top w:w="20" w:type="dxa"/>
              <w:left w:w="60" w:type="dxa"/>
              <w:bottom w:w="20" w:type="dxa"/>
              <w:right w:w="60" w:type="dxa"/>
            </w:tcMar>
            <w:vAlign w:val="top"/>
          </w:tcPr>
          <w:p>
            <w:pPr>
              <w:spacing w:after="10" w:before="0" w:line="240" w:lineRule="auto"/>
            </w:pPr>
            <w:r>
              <w:rPr>
                <w:sz w:val="17"/>
              </w:rPr>
              <w:t>Audit trail. Actions named in this document: ACCOUNT_MAPPING_CHANGED, LEDGER_POSTING_ENABLED, LEDGER_POSTING_DISABLED.</w:t>
            </w:r>
          </w:p>
        </w:tc>
      </w:tr>
    </w:tbl>
    <w:p>
      <w:pPr>
        <w:spacing w:after="0" w:before="0"/>
        <w:rPr>
          <w:sz w:val="6"/>
        </w:rPr>
      </w:pPr>
    </w:p>
    <w:p>
      <w:pPr>
        <w:pStyle w:val="Heading2"/>
      </w:pPr>
      <w:r>
        <w:t>A.2 VAT return</w:t>
      </w:r>
    </w:p>
    <w:p>
      <w:pPr>
        <w:pStyle w:val="Caption"/>
      </w:pPr>
      <w:r>
        <w:t>Table 70. VAT</w:t>
      </w:r>
    </w:p>
    <w:tbl>
      <w:tblPr>
        <w:tblW w:type="dxa" w:w="14529"/>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540"/>
        <w:gridCol w:w="5448"/>
        <w:gridCol w:w="4540"/>
      </w:tblGrid>
      <w:tr>
        <w:trPr>
          <w:tblHeader w:val="true"/>
          <w:cantSplit w:val="true"/>
        </w:trPr>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Method and path</w:t>
            </w:r>
          </w:p>
        </w:tc>
        <w:tc>
          <w:tcPr>
            <w:tcW w:type="dxa" w:w="5449"/>
            <w:shd w:val="clear" w:color="auto" w:fill="1F3A5F"/>
            <w:tcMar>
              <w:top w:w="20" w:type="dxa"/>
              <w:left w:w="60" w:type="dxa"/>
              <w:bottom w:w="20" w:type="dxa"/>
              <w:right w:w="60" w:type="dxa"/>
            </w:tcMar>
            <w:vAlign w:val="center"/>
          </w:tcPr>
          <w:p>
            <w:pPr>
              <w:spacing w:after="10" w:before="0" w:line="240" w:lineRule="auto"/>
            </w:pPr>
            <w:r>
              <w:rPr>
                <w:b/>
                <w:color w:val="FFFFFF"/>
                <w:sz w:val="17"/>
              </w:rPr>
              <w:t>Parameters</w:t>
            </w:r>
          </w:p>
        </w:tc>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Notes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/vat-return/return</w:t>
            </w:r>
          </w:p>
        </w:tc>
        <w:tc>
          <w:tcPr>
            <w:tcW w:type="dxa" w:w="5449"/>
            <w:tcMar>
              <w:top w:w="20" w:type="dxa"/>
              <w:left w:w="60" w:type="dxa"/>
              <w:bottom w:w="20" w:type="dxa"/>
              <w:right w:w="60" w:type="dxa"/>
            </w:tcMar>
            <w:vAlign w:val="top"/>
          </w:tcPr>
          <w:p>
            <w:pPr>
              <w:spacing w:after="10" w:before="0" w:line="240" w:lineRule="auto"/>
            </w:pPr>
            <w:r>
              <w:rPr>
                <w:sz w:val="17"/>
              </w:rPr>
              <w:t>from, to (both required)</w:t>
            </w:r>
          </w:p>
        </w:tc>
        <w:tc>
          <w:tcPr>
            <w:tcW w:type="dxa" w:w="4540"/>
            <w:tcMar>
              <w:top w:w="20" w:type="dxa"/>
              <w:left w:w="60" w:type="dxa"/>
              <w:bottom w:w="20" w:type="dxa"/>
              <w:right w:w="60" w:type="dxa"/>
            </w:tcMar>
            <w:vAlign w:val="top"/>
          </w:tcPr>
          <w:p>
            <w:pPr>
              <w:spacing w:after="10" w:before="0" w:line="240" w:lineRule="auto"/>
            </w:pPr>
            <w:r>
              <w:rPr>
                <w:sz w:val="17"/>
              </w:rPr>
              <w:t>Live boxes with reconciliation.</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/vat-return/detail</w:t>
            </w:r>
          </w:p>
        </w:tc>
        <w:tc>
          <w:tcPr>
            <w:tcW w:type="dxa" w:w="5449"/>
            <w:tcMar>
              <w:top w:w="20" w:type="dxa"/>
              <w:left w:w="60" w:type="dxa"/>
              <w:bottom w:w="20" w:type="dxa"/>
              <w:right w:w="60" w:type="dxa"/>
            </w:tcMar>
            <w:vAlign w:val="top"/>
          </w:tcPr>
          <w:p>
            <w:pPr>
              <w:spacing w:after="10" w:before="0" w:line="240" w:lineRule="auto"/>
            </w:pPr>
            <w:r>
              <w:rPr>
                <w:sz w:val="17"/>
              </w:rPr>
              <w:t>from, to, direction = input or output, kind, search, page, limit (max 200)</w:t>
            </w:r>
          </w:p>
        </w:tc>
        <w:tc>
          <w:tcPr>
            <w:tcW w:type="dxa" w:w="4540"/>
            <w:tcMar>
              <w:top w:w="20" w:type="dxa"/>
              <w:left w:w="60" w:type="dxa"/>
              <w:bottom w:w="20" w:type="dxa"/>
              <w:right w:w="60" w:type="dxa"/>
            </w:tcMar>
            <w:vAlign w:val="top"/>
          </w:tcPr>
          <w:p>
            <w:pPr>
              <w:spacing w:after="10" w:before="0" w:line="240" w:lineRule="auto"/>
            </w:pPr>
            <w:r>
              <w:rPr>
                <w:sz w:val="17"/>
              </w:rPr>
              <w:t>Documents behind the boxes.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/vat-return/returns, /returns/:id</w:t>
            </w:r>
          </w:p>
        </w:tc>
        <w:tc>
          <w:tcPr>
            <w:tcW w:type="dxa" w:w="5449"/>
            <w:tcMar>
              <w:top w:w="20" w:type="dxa"/>
              <w:left w:w="60" w:type="dxa"/>
              <w:bottom w:w="20" w:type="dxa"/>
              <w:right w:w="60" w:type="dxa"/>
            </w:tcMar>
            <w:vAlign w:val="top"/>
          </w:tcPr>
          <w:p>
            <w:pPr>
              <w:spacing w:after="10" w:before="0" w:line="240" w:lineRule="auto"/>
            </w:pPr>
            <w:r>
              <w:rPr>
                <w:sz w:val="17"/>
              </w:rPr>
              <w:t>id</w:t>
            </w:r>
          </w:p>
        </w:tc>
        <w:tc>
          <w:tcPr>
            <w:tcW w:type="dxa" w:w="4540"/>
            <w:tcMar>
              <w:top w:w="20" w:type="dxa"/>
              <w:left w:w="60" w:type="dxa"/>
              <w:bottom w:w="20" w:type="dxa"/>
              <w:right w:w="60" w:type="dxa"/>
            </w:tcMar>
            <w:vAlign w:val="top"/>
          </w:tcPr>
          <w:p>
            <w:pPr>
              <w:spacing w:after="10" w:before="0" w:line="240" w:lineRule="auto"/>
            </w:pPr>
            <w:r>
              <w:rPr>
                <w:sz w:val="17"/>
              </w:rPr>
              <w:t>Saved returns.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POST /vat-return/returns</w:t>
            </w:r>
          </w:p>
        </w:tc>
        <w:tc>
          <w:tcPr>
            <w:tcW w:type="dxa" w:w="5449"/>
            <w:tcMar>
              <w:top w:w="20" w:type="dxa"/>
              <w:left w:w="60" w:type="dxa"/>
              <w:bottom w:w="20" w:type="dxa"/>
              <w:right w:w="60" w:type="dxa"/>
            </w:tcMar>
            <w:vAlign w:val="top"/>
          </w:tcPr>
          <w:p>
            <w:pPr>
              <w:spacing w:after="10" w:before="0" w:line="240" w:lineRule="auto"/>
            </w:pPr>
            <w:r>
              <w:rPr>
                <w:sz w:val="17"/>
              </w:rPr>
              <w:t>body { from, to, notes }</w:t>
            </w:r>
          </w:p>
        </w:tc>
        <w:tc>
          <w:tcPr>
            <w:tcW w:type="dxa" w:w="4540"/>
            <w:tcMar>
              <w:top w:w="20" w:type="dxa"/>
              <w:left w:w="60" w:type="dxa"/>
              <w:bottom w:w="20" w:type="dxa"/>
              <w:right w:w="60" w:type="dxa"/>
            </w:tcMar>
            <w:vAlign w:val="top"/>
          </w:tcPr>
          <w:p>
            <w:pPr>
              <w:spacing w:after="10" w:before="0" w:line="240" w:lineRule="auto"/>
            </w:pPr>
            <w:r>
              <w:rPr>
                <w:sz w:val="17"/>
              </w:rPr>
              <w:t>Saves a draft. Admin or super admin.</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POST /vat-return/returns/:id/finalize</w:t>
            </w:r>
          </w:p>
        </w:tc>
        <w:tc>
          <w:tcPr>
            <w:tcW w:type="dxa" w:w="5449"/>
            <w:tcMar>
              <w:top w:w="20" w:type="dxa"/>
              <w:left w:w="60" w:type="dxa"/>
              <w:bottom w:w="20" w:type="dxa"/>
              <w:right w:w="60" w:type="dxa"/>
            </w:tcMar>
            <w:vAlign w:val="top"/>
          </w:tcPr>
          <w:p>
            <w:pPr>
              <w:spacing w:after="10" w:before="0" w:line="240" w:lineRule="auto"/>
            </w:pPr>
            <w:r>
              <w:rPr>
                <w:sz w:val="17"/>
              </w:rPr>
              <w:t>body { allowUnclassified }</w:t>
            </w:r>
          </w:p>
        </w:tc>
        <w:tc>
          <w:tcPr>
            <w:tcW w:type="dxa" w:w="4540"/>
            <w:tcMar>
              <w:top w:w="20" w:type="dxa"/>
              <w:left w:w="60" w:type="dxa"/>
              <w:bottom w:w="20" w:type="dxa"/>
              <w:right w:w="60" w:type="dxa"/>
            </w:tcMar>
            <w:vAlign w:val="top"/>
          </w:tcPr>
          <w:p>
            <w:pPr>
              <w:spacing w:after="10" w:before="0" w:line="240" w:lineRule="auto"/>
            </w:pPr>
            <w:r>
              <w:rPr>
                <w:sz w:val="17"/>
              </w:rPr>
              <w:t>Admin or super admin.</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POST /vat-return/returns/:id/file</w:t>
            </w:r>
          </w:p>
        </w:tc>
        <w:tc>
          <w:tcPr>
            <w:tcW w:type="dxa" w:w="5449"/>
            <w:tcMar>
              <w:top w:w="20" w:type="dxa"/>
              <w:left w:w="60" w:type="dxa"/>
              <w:bottom w:w="20" w:type="dxa"/>
              <w:right w:w="60" w:type="dxa"/>
            </w:tcMar>
            <w:vAlign w:val="top"/>
          </w:tcPr>
          <w:p>
            <w:pPr>
              <w:spacing w:after="10" w:before="0" w:line="240" w:lineRule="auto"/>
            </w:pPr>
            <w:r>
              <w:rPr>
                <w:sz w:val="17"/>
              </w:rPr>
              <w:t>body { reference, filedOn }</w:t>
            </w:r>
          </w:p>
        </w:tc>
        <w:tc>
          <w:tcPr>
            <w:tcW w:type="dxa" w:w="4540"/>
            <w:tcMar>
              <w:top w:w="20" w:type="dxa"/>
              <w:left w:w="60" w:type="dxa"/>
              <w:bottom w:w="20" w:type="dxa"/>
              <w:right w:w="60" w:type="dxa"/>
            </w:tcMar>
            <w:vAlign w:val="top"/>
          </w:tcPr>
          <w:p>
            <w:pPr>
              <w:spacing w:after="10" w:before="0" w:line="240" w:lineRule="auto"/>
            </w:pPr>
            <w:r>
              <w:rPr>
                <w:sz w:val="17"/>
              </w:rPr>
              <w:t>Admin or super admin.</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DELETE /vat-return/returns/:id</w:t>
            </w:r>
          </w:p>
        </w:tc>
        <w:tc>
          <w:tcPr>
            <w:tcW w:type="dxa" w:w="5449"/>
            <w:tcMar>
              <w:top w:w="20" w:type="dxa"/>
              <w:left w:w="60" w:type="dxa"/>
              <w:bottom w:w="20" w:type="dxa"/>
              <w:right w:w="60" w:type="dxa"/>
            </w:tcMar>
            <w:vAlign w:val="top"/>
          </w:tcPr>
          <w:p>
            <w:pPr>
              <w:spacing w:after="10" w:before="0" w:line="240" w:lineRule="auto"/>
            </w:pPr>
            <w:r>
              <w:rPr>
                <w:sz w:val="17"/>
              </w:rPr>
              <w:t>id</w:t>
            </w:r>
          </w:p>
        </w:tc>
        <w:tc>
          <w:tcPr>
            <w:tcW w:type="dxa" w:w="4540"/>
            <w:tcMar>
              <w:top w:w="20" w:type="dxa"/>
              <w:left w:w="60" w:type="dxa"/>
              <w:bottom w:w="20" w:type="dxa"/>
              <w:right w:w="60" w:type="dxa"/>
            </w:tcMar>
            <w:vAlign w:val="top"/>
          </w:tcPr>
          <w:p>
            <w:pPr>
              <w:spacing w:after="10" w:before="0" w:line="240" w:lineRule="auto"/>
            </w:pPr>
            <w:r>
              <w:rPr>
                <w:sz w:val="17"/>
              </w:rPr>
              <w:t>Drafts only.</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/reports/vat, /reports/vat/:id; POST /reports/vat/:id/finalize, /submit; DELETE /reports/vat/:id</w:t>
            </w:r>
          </w:p>
        </w:tc>
        <w:tc>
          <w:tcPr>
            <w:tcW w:type="dxa" w:w="5449"/>
            <w:tcMar>
              <w:top w:w="20" w:type="dxa"/>
              <w:left w:w="60" w:type="dxa"/>
              <w:bottom w:w="20" w:type="dxa"/>
              <w:right w:w="60" w:type="dxa"/>
            </w:tcMar>
            <w:vAlign w:val="top"/>
          </w:tcPr>
          <w:p>
            <w:pPr>
              <w:spacing w:after="10" w:before="0" w:line="240" w:lineRule="auto"/>
            </w:pPr>
            <w:r>
              <w:rPr>
                <w:sz w:val="17"/>
              </w:rPr>
              <w:t>id</w:t>
            </w:r>
          </w:p>
        </w:tc>
        <w:tc>
          <w:tcPr>
            <w:tcW w:type="dxa" w:w="4540"/>
            <w:tcMar>
              <w:top w:w="20" w:type="dxa"/>
              <w:left w:w="60" w:type="dxa"/>
              <w:bottom w:w="20" w:type="dxa"/>
              <w:right w:w="60" w:type="dxa"/>
            </w:tcMar>
            <w:vAlign w:val="top"/>
          </w:tcPr>
          <w:p>
            <w:pPr>
              <w:spacing w:after="10" w:before="0" w:line="240" w:lineRule="auto"/>
            </w:pPr>
            <w:r>
              <w:rPr>
                <w:sz w:val="17"/>
              </w:rPr>
              <w:t>Legacy VATReport collection, no longer written (not the VAT return); not used for filing.</w:t>
            </w:r>
          </w:p>
        </w:tc>
      </w:tr>
    </w:tbl>
    <w:p>
      <w:pPr>
        <w:spacing w:after="0" w:before="0"/>
        <w:rPr>
          <w:sz w:val="6"/>
        </w:rPr>
      </w:pPr>
    </w:p>
    <w:p>
      <w:pPr>
        <w:pStyle w:val="Heading2"/>
      </w:pPr>
      <w:r>
        <w:t>A.3 Stock reports</w:t>
      </w:r>
    </w:p>
    <w:p>
      <w:pPr>
        <w:pStyle w:val="Caption"/>
      </w:pPr>
      <w:r>
        <w:t>Table 71. Stock reports and write-off</w:t>
      </w:r>
    </w:p>
    <w:tbl>
      <w:tblPr>
        <w:tblW w:type="dxa" w:w="14529"/>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540"/>
        <w:gridCol w:w="5448"/>
        <w:gridCol w:w="4540"/>
      </w:tblGrid>
      <w:tr>
        <w:trPr>
          <w:tblHeader w:val="true"/>
          <w:cantSplit w:val="true"/>
        </w:trPr>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Method and path</w:t>
            </w:r>
          </w:p>
        </w:tc>
        <w:tc>
          <w:tcPr>
            <w:tcW w:type="dxa" w:w="5449"/>
            <w:shd w:val="clear" w:color="auto" w:fill="1F3A5F"/>
            <w:tcMar>
              <w:top w:w="20" w:type="dxa"/>
              <w:left w:w="60" w:type="dxa"/>
              <w:bottom w:w="20" w:type="dxa"/>
              <w:right w:w="60" w:type="dxa"/>
            </w:tcMar>
            <w:vAlign w:val="center"/>
          </w:tcPr>
          <w:p>
            <w:pPr>
              <w:spacing w:after="10" w:before="0" w:line="240" w:lineRule="auto"/>
            </w:pPr>
            <w:r>
              <w:rPr>
                <w:b/>
                <w:color w:val="FFFFFF"/>
                <w:sz w:val="17"/>
              </w:rPr>
              <w:t>Parameters</w:t>
            </w:r>
          </w:p>
        </w:tc>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Notes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/stock-reports/valuation</w:t>
            </w:r>
          </w:p>
        </w:tc>
        <w:tc>
          <w:tcPr>
            <w:tcW w:type="dxa" w:w="5449"/>
            <w:tcMar>
              <w:top w:w="20" w:type="dxa"/>
              <w:left w:w="60" w:type="dxa"/>
              <w:bottom w:w="20" w:type="dxa"/>
              <w:right w:w="60" w:type="dxa"/>
            </w:tcMar>
            <w:vAlign w:val="top"/>
          </w:tcPr>
          <w:p>
            <w:pPr>
              <w:spacing w:after="10" w:before="0" w:line="240" w:lineRule="auto"/>
            </w:pPr>
            <w:r>
              <w:rPr>
                <w:sz w:val="17"/>
              </w:rPr>
              <w:t>asOn, categoryId, search, groupBy = item or category, includeZero</w:t>
            </w:r>
          </w:p>
        </w:tc>
        <w:tc>
          <w:tcPr>
            <w:tcW w:type="dxa" w:w="4540"/>
            <w:tcMar>
              <w:top w:w="20" w:type="dxa"/>
              <w:left w:w="60" w:type="dxa"/>
              <w:bottom w:w="20" w:type="dxa"/>
              <w:right w:w="60" w:type="dxa"/>
            </w:tcMar>
            <w:vAlign w:val="top"/>
          </w:tcPr>
          <w:p>
            <w:pPr>
              <w:spacing w:after="10" w:before="0" w:line="240" w:lineRule="auto"/>
            </w:pPr>
            <w:r>
              <w:rPr>
                <w:sz w:val="17"/>
              </w:rPr>
              <w:t>With the Inventory reconciliation.</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/stock-reports/movement</w:t>
            </w:r>
          </w:p>
        </w:tc>
        <w:tc>
          <w:tcPr>
            <w:tcW w:type="dxa" w:w="5449"/>
            <w:tcMar>
              <w:top w:w="20" w:type="dxa"/>
              <w:left w:w="60" w:type="dxa"/>
              <w:bottom w:w="20" w:type="dxa"/>
              <w:right w:w="60" w:type="dxa"/>
            </w:tcMar>
            <w:vAlign w:val="top"/>
          </w:tcPr>
          <w:p>
            <w:pPr>
              <w:spacing w:after="10" w:before="0" w:line="240" w:lineRule="auto"/>
            </w:pPr>
            <w:r>
              <w:rPr>
                <w:sz w:val="17"/>
              </w:rPr>
              <w:t>from, to, categoryId, search, includeZero</w:t>
            </w:r>
          </w:p>
        </w:tc>
        <w:tc>
          <w:tcPr>
            <w:tcW w:type="dxa" w:w="4540"/>
            <w:tcMar>
              <w:top w:w="20" w:type="dxa"/>
              <w:left w:w="60" w:type="dxa"/>
              <w:bottom w:w="20" w:type="dxa"/>
              <w:right w:w="60" w:type="dxa"/>
            </w:tcMar>
            <w:vAlign w:val="top"/>
          </w:tcPr>
          <w:p>
            <w:pPr>
              <w:spacing w:after="10" w:before="0" w:line="240" w:lineRule="auto"/>
            </w:pP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/stock-reports/item-ledger</w:t>
            </w:r>
          </w:p>
        </w:tc>
        <w:tc>
          <w:tcPr>
            <w:tcW w:type="dxa" w:w="5449"/>
            <w:tcMar>
              <w:top w:w="20" w:type="dxa"/>
              <w:left w:w="60" w:type="dxa"/>
              <w:bottom w:w="20" w:type="dxa"/>
              <w:right w:w="60" w:type="dxa"/>
            </w:tcMar>
            <w:vAlign w:val="top"/>
          </w:tcPr>
          <w:p>
            <w:pPr>
              <w:spacing w:after="10" w:before="0" w:line="240" w:lineRule="auto"/>
            </w:pPr>
            <w:r>
              <w:rPr>
                <w:sz w:val="17"/>
              </w:rPr>
              <w:t>itemId, from, to</w:t>
            </w:r>
          </w:p>
        </w:tc>
        <w:tc>
          <w:tcPr>
            <w:tcW w:type="dxa" w:w="4540"/>
            <w:tcMar>
              <w:top w:w="20" w:type="dxa"/>
              <w:left w:w="60" w:type="dxa"/>
              <w:bottom w:w="20" w:type="dxa"/>
              <w:right w:w="60" w:type="dxa"/>
            </w:tcMar>
            <w:vAlign w:val="top"/>
          </w:tcPr>
          <w:p>
            <w:pPr>
              <w:spacing w:after="10" w:before="0" w:line="240" w:lineRule="auto"/>
            </w:pPr>
            <w:r>
              <w:rPr>
                <w:sz w:val="17"/>
              </w:rPr>
              <w:t>Up to 5,000 rows.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/stock-reports/sales-analysis</w:t>
            </w:r>
          </w:p>
        </w:tc>
        <w:tc>
          <w:tcPr>
            <w:tcW w:type="dxa" w:w="5449"/>
            <w:tcMar>
              <w:top w:w="20" w:type="dxa"/>
              <w:left w:w="60" w:type="dxa"/>
              <w:bottom w:w="20" w:type="dxa"/>
              <w:right w:w="60" w:type="dxa"/>
            </w:tcMar>
            <w:vAlign w:val="top"/>
          </w:tcPr>
          <w:p>
            <w:pPr>
              <w:spacing w:after="10" w:before="0" w:line="240" w:lineRule="auto"/>
            </w:pPr>
            <w:r>
              <w:rPr>
                <w:sz w:val="17"/>
              </w:rPr>
              <w:t>from, to, groupBy = item, category or customer; direction = sales or purchases; categoryId, search</w:t>
            </w:r>
          </w:p>
        </w:tc>
        <w:tc>
          <w:tcPr>
            <w:tcW w:type="dxa" w:w="4540"/>
            <w:tcMar>
              <w:top w:w="20" w:type="dxa"/>
              <w:left w:w="60" w:type="dxa"/>
              <w:bottom w:w="20" w:type="dxa"/>
              <w:right w:w="60" w:type="dxa"/>
            </w:tcMar>
            <w:vAlign w:val="top"/>
          </w:tcPr>
          <w:p>
            <w:pPr>
              <w:spacing w:after="10" w:before="0" w:line="240" w:lineRule="auto"/>
            </w:pP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/stock-reports/expiry; /slow-moving; /reorder; /lookups</w:t>
            </w:r>
          </w:p>
        </w:tc>
        <w:tc>
          <w:tcPr>
            <w:tcW w:type="dxa" w:w="5449"/>
            <w:tcMar>
              <w:top w:w="20" w:type="dxa"/>
              <w:left w:w="60" w:type="dxa"/>
              <w:bottom w:w="20" w:type="dxa"/>
              <w:right w:w="60" w:type="dxa"/>
            </w:tcMar>
            <w:vAlign w:val="top"/>
          </w:tcPr>
          <w:p>
            <w:pPr>
              <w:spacing w:after="10" w:before="0" w:line="240" w:lineRule="auto"/>
            </w:pPr>
            <w:r>
              <w:rPr>
                <w:sz w:val="17"/>
              </w:rPr>
              <w:t>withinDays (0 to 3,650); days (1 to 3,650); categoryId, search</w:t>
            </w:r>
          </w:p>
        </w:tc>
        <w:tc>
          <w:tcPr>
            <w:tcW w:type="dxa" w:w="4540"/>
            <w:tcMar>
              <w:top w:w="20" w:type="dxa"/>
              <w:left w:w="60" w:type="dxa"/>
              <w:bottom w:w="20" w:type="dxa"/>
              <w:right w:w="60" w:type="dxa"/>
            </w:tcMar>
            <w:vAlign w:val="top"/>
          </w:tcPr>
          <w:p>
            <w:pPr>
              <w:spacing w:after="10" w:before="0" w:line="240" w:lineRule="auto"/>
            </w:pPr>
            <w:r>
              <w:rPr>
                <w:sz w:val="17"/>
              </w:rPr>
              <w:t>Lookups gives items and categories for the filters.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/batches; POST /batches/:id/write-off</w:t>
            </w:r>
          </w:p>
        </w:tc>
        <w:tc>
          <w:tcPr>
            <w:tcW w:type="dxa" w:w="5449"/>
            <w:tcMar>
              <w:top w:w="20" w:type="dxa"/>
              <w:left w:w="60" w:type="dxa"/>
              <w:bottom w:w="20" w:type="dxa"/>
              <w:right w:w="60" w:type="dxa"/>
            </w:tcMar>
            <w:vAlign w:val="top"/>
          </w:tcPr>
          <w:p>
            <w:pPr>
              <w:spacing w:after="10" w:before="0" w:line="240" w:lineRule="auto"/>
            </w:pPr>
            <w:r>
              <w:rPr>
                <w:sz w:val="17"/>
              </w:rPr>
              <w:t>stockId, status, expiringWithinDays; body { qty, reason = expiry or damage, note }</w:t>
            </w:r>
          </w:p>
        </w:tc>
        <w:tc>
          <w:tcPr>
            <w:tcW w:type="dxa" w:w="4540"/>
            <w:tcMar>
              <w:top w:w="20" w:type="dxa"/>
              <w:left w:w="60" w:type="dxa"/>
              <w:bottom w:w="20" w:type="dxa"/>
              <w:right w:w="60" w:type="dxa"/>
            </w:tcMar>
            <w:vAlign w:val="top"/>
          </w:tcPr>
          <w:p>
            <w:pPr>
              <w:spacing w:after="10" w:before="0" w:line="240" w:lineRule="auto"/>
            </w:pPr>
            <w:r>
              <w:rPr>
                <w:sz w:val="17"/>
              </w:rPr>
              <w:t>Write-off: super admin, admin or manager.</w:t>
            </w:r>
          </w:p>
        </w:tc>
      </w:tr>
    </w:tbl>
    <w:p>
      <w:pPr>
        <w:spacing w:after="0" w:before="0"/>
        <w:rPr>
          <w:sz w:val="6"/>
        </w:rPr>
      </w:pPr>
    </w:p>
    <w:p>
      <w:pPr>
        <w:pStyle w:val="Heading2"/>
      </w:pPr>
      <w:r>
        <w:t>A.4 IFRS statements, dashboard and currencies</w:t>
      </w:r>
    </w:p>
    <w:p>
      <w:pPr>
        <w:pStyle w:val="Caption"/>
      </w:pPr>
      <w:r>
        <w:t>Table 72. IFRS, dashboard and currencies</w:t>
      </w:r>
    </w:p>
    <w:tbl>
      <w:tblPr>
        <w:tblW w:type="dxa" w:w="14529"/>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4540"/>
        <w:gridCol w:w="5448"/>
        <w:gridCol w:w="4540"/>
      </w:tblGrid>
      <w:tr>
        <w:trPr>
          <w:tblHeader w:val="true"/>
          <w:cantSplit w:val="true"/>
        </w:trPr>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Method and path</w:t>
            </w:r>
          </w:p>
        </w:tc>
        <w:tc>
          <w:tcPr>
            <w:tcW w:type="dxa" w:w="5449"/>
            <w:shd w:val="clear" w:color="auto" w:fill="1F3A5F"/>
            <w:tcMar>
              <w:top w:w="20" w:type="dxa"/>
              <w:left w:w="60" w:type="dxa"/>
              <w:bottom w:w="20" w:type="dxa"/>
              <w:right w:w="60" w:type="dxa"/>
            </w:tcMar>
            <w:vAlign w:val="center"/>
          </w:tcPr>
          <w:p>
            <w:pPr>
              <w:spacing w:after="10" w:before="0" w:line="240" w:lineRule="auto"/>
            </w:pPr>
            <w:r>
              <w:rPr>
                <w:b/>
                <w:color w:val="FFFFFF"/>
                <w:sz w:val="17"/>
              </w:rPr>
              <w:t>Parameters</w:t>
            </w:r>
          </w:p>
        </w:tc>
        <w:tc>
          <w:tcPr>
            <w:tcW w:type="dxa" w:w="4540"/>
            <w:shd w:val="clear" w:color="auto" w:fill="1F3A5F"/>
            <w:tcMar>
              <w:top w:w="20" w:type="dxa"/>
              <w:left w:w="60" w:type="dxa"/>
              <w:bottom w:w="20" w:type="dxa"/>
              <w:right w:w="60" w:type="dxa"/>
            </w:tcMar>
            <w:vAlign w:val="center"/>
          </w:tcPr>
          <w:p>
            <w:pPr>
              <w:spacing w:after="10" w:before="0" w:line="240" w:lineRule="auto"/>
            </w:pPr>
            <w:r>
              <w:rPr>
                <w:b/>
                <w:color w:val="FFFFFF"/>
                <w:sz w:val="17"/>
              </w:rPr>
              <w:t>Notes</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/ifrs/financial-position; /profit-or-loss; /changes-in-equity; /cash-flows; /notes</w:t>
            </w:r>
          </w:p>
        </w:tc>
        <w:tc>
          <w:tcPr>
            <w:tcW w:type="dxa" w:w="5449"/>
            <w:tcMar>
              <w:top w:w="20" w:type="dxa"/>
              <w:left w:w="60" w:type="dxa"/>
              <w:bottom w:w="20" w:type="dxa"/>
              <w:right w:w="60" w:type="dxa"/>
            </w:tcMar>
            <w:vAlign w:val="top"/>
          </w:tcPr>
          <w:p>
            <w:pPr>
              <w:spacing w:after="10" w:before="0" w:line="240" w:lineRule="auto"/>
            </w:pPr>
            <w:r>
              <w:rPr>
                <w:sz w:val="17"/>
              </w:rPr>
              <w:t>asAt (position and notes) or from and to; from; compare = prior-year, prior-period, none</w:t>
            </w:r>
          </w:p>
        </w:tc>
        <w:tc>
          <w:tcPr>
            <w:tcW w:type="dxa" w:w="4540"/>
            <w:tcMar>
              <w:top w:w="20" w:type="dxa"/>
              <w:left w:w="60" w:type="dxa"/>
              <w:bottom w:w="20" w:type="dxa"/>
              <w:right w:w="60" w:type="dxa"/>
            </w:tcMar>
            <w:vAlign w:val="top"/>
          </w:tcPr>
          <w:p>
            <w:pPr>
              <w:spacing w:after="10" w:before="0" w:line="240" w:lineRule="auto"/>
            </w:pPr>
            <w:r>
              <w:rPr>
                <w:sz w:val="17"/>
              </w:rPr>
              <w:t>Cash flows: indirect method.</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/dashboard-summary, /analytics, /sales, /inventory, /reports</w:t>
            </w:r>
          </w:p>
        </w:tc>
        <w:tc>
          <w:tcPr>
            <w:tcW w:type="dxa" w:w="5449"/>
            <w:tcMar>
              <w:top w:w="20" w:type="dxa"/>
              <w:left w:w="60" w:type="dxa"/>
              <w:bottom w:w="20" w:type="dxa"/>
              <w:right w:w="60" w:type="dxa"/>
            </w:tcMar>
            <w:vAlign w:val="top"/>
          </w:tcPr>
          <w:p>
            <w:pPr>
              <w:spacing w:after="10" w:before="0" w:line="240" w:lineRule="auto"/>
            </w:pPr>
            <w:r>
              <w:rPr>
                <w:sz w:val="17"/>
              </w:rPr>
              <w:t>period = week, month, quarter; or month = YYYY-MM; or from and to</w:t>
            </w:r>
          </w:p>
        </w:tc>
        <w:tc>
          <w:tcPr>
            <w:tcW w:type="dxa" w:w="4540"/>
            <w:tcMar>
              <w:top w:w="20" w:type="dxa"/>
              <w:left w:w="60" w:type="dxa"/>
              <w:bottom w:w="20" w:type="dxa"/>
              <w:right w:w="60" w:type="dxa"/>
            </w:tcMar>
            <w:vAlign w:val="top"/>
          </w:tcPr>
          <w:p>
            <w:pPr>
              <w:spacing w:after="10" w:before="0" w:line="240" w:lineRule="auto"/>
            </w:pPr>
            <w:r>
              <w:rPr>
                <w:sz w:val="17"/>
              </w:rPr>
              <w:t>One part per tab.</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POST /currencies; GET /currencies/rate; GET /currencies/register; GET, PUT /currencies/settings</w:t>
            </w:r>
          </w:p>
        </w:tc>
        <w:tc>
          <w:tcPr>
            <w:tcW w:type="dxa" w:w="5449"/>
            <w:tcMar>
              <w:top w:w="20" w:type="dxa"/>
              <w:left w:w="60" w:type="dxa"/>
              <w:bottom w:w="20" w:type="dxa"/>
              <w:right w:w="60" w:type="dxa"/>
            </w:tcMar>
            <w:vAlign w:val="top"/>
          </w:tcPr>
          <w:p>
            <w:pPr>
              <w:spacing w:after="10" w:before="0" w:line="240" w:lineRule="auto"/>
            </w:pPr>
            <w:r>
              <w:rPr>
                <w:sz w:val="17"/>
              </w:rPr>
              <w:t>rate: code, date; register: from, to, currency, type = receipt or payment; settings body { fxTolerancePercent }</w:t>
            </w:r>
          </w:p>
        </w:tc>
        <w:tc>
          <w:tcPr>
            <w:tcW w:type="dxa" w:w="4540"/>
            <w:tcMar>
              <w:top w:w="20" w:type="dxa"/>
              <w:left w:w="60" w:type="dxa"/>
              <w:bottom w:w="20" w:type="dxa"/>
              <w:right w:w="60" w:type="dxa"/>
            </w:tcMar>
            <w:vAlign w:val="top"/>
          </w:tcPr>
          <w:p>
            <w:pPr>
              <w:spacing w:after="10" w:before="0" w:line="240" w:lineRule="auto"/>
            </w:pPr>
            <w:r>
              <w:rPr>
                <w:sz w:val="17"/>
              </w:rPr>
              <w:t>Create and settings changes need admin or super admin.</w:t>
            </w:r>
          </w:p>
        </w:tc>
      </w:tr>
      <w:tr>
        <w:trPr>
          <w:cantSplit w:val="true"/>
        </w:trPr>
        <w:tc>
          <w:tcPr>
            <w:tcW w:type="dxa" w:w="4540"/>
            <w:tcMar>
              <w:top w:w="20" w:type="dxa"/>
              <w:left w:w="60" w:type="dxa"/>
              <w:bottom w:w="20" w:type="dxa"/>
              <w:right w:w="60" w:type="dxa"/>
            </w:tcMar>
            <w:vAlign w:val="top"/>
          </w:tcPr>
          <w:p>
            <w:pPr>
              <w:spacing w:after="10" w:before="0" w:line="240" w:lineRule="auto"/>
            </w:pPr>
            <w:r>
              <w:rPr>
                <w:sz w:val="17"/>
              </w:rPr>
              <w:t>GET, POST /currencies/:code/rates; PUT, DELETE /currencies/:code</w:t>
            </w:r>
          </w:p>
        </w:tc>
        <w:tc>
          <w:tcPr>
            <w:tcW w:type="dxa" w:w="5449"/>
            <w:tcMar>
              <w:top w:w="20" w:type="dxa"/>
              <w:left w:w="60" w:type="dxa"/>
              <w:bottom w:w="20" w:type="dxa"/>
              <w:right w:w="60" w:type="dxa"/>
            </w:tcMar>
            <w:vAlign w:val="top"/>
          </w:tcPr>
          <w:p>
            <w:pPr>
              <w:spacing w:after="10" w:before="0" w:line="240" w:lineRule="auto"/>
            </w:pPr>
            <w:r>
              <w:rPr>
                <w:sz w:val="17"/>
              </w:rPr>
              <w:t>rate body { rate, effectiveDate, source, note }; update body { name, symbol, decimals, isActive }</w:t>
            </w:r>
          </w:p>
        </w:tc>
        <w:tc>
          <w:tcPr>
            <w:tcW w:type="dxa" w:w="4540"/>
            <w:tcMar>
              <w:top w:w="20" w:type="dxa"/>
              <w:left w:w="60" w:type="dxa"/>
              <w:bottom w:w="20" w:type="dxa"/>
              <w:right w:w="60" w:type="dxa"/>
            </w:tcMar>
            <w:vAlign w:val="top"/>
          </w:tcPr>
          <w:p>
            <w:pPr>
              <w:spacing w:after="10" w:before="0" w:line="240" w:lineRule="auto"/>
            </w:pPr>
            <w:r>
              <w:rPr>
                <w:sz w:val="17"/>
              </w:rPr>
              <w:t>Same-day correction replaces; a used currency cannot be deleted.</w:t>
            </w:r>
          </w:p>
        </w:tc>
      </w:tr>
    </w:tbl>
    <w:p>
      <w:pPr>
        <w:spacing w:after="0" w:before="0"/>
        <w:rPr>
          <w:sz w:val="6"/>
        </w:rPr>
      </w:pPr>
    </w:p>
    <w:p>
      <w:pPr>
        <w:pStyle w:val="Heading2"/>
      </w:pPr>
      <w:r>
        <w:t>A.5 Setup and posting (the calls that feed the reports)</w:t>
      </w:r>
    </w:p>
    <w:p>
      <w:pPr>
        <w:pStyle w:val="Caption"/>
      </w:pPr>
      <w:r>
        <w:t>Table 73. Setup and posting</w:t>
      </w:r>
    </w:p>
    <w:tbl>
      <w:tblPr>
        <w:tblW w:type="dxa" w:w="14529"/>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5145"/>
        <w:gridCol w:w="5145"/>
        <w:gridCol w:w="4237"/>
      </w:tblGrid>
      <w:tr>
        <w:trPr>
          <w:tblHeader w:val="true"/>
          <w:cantSplit w:val="true"/>
        </w:trPr>
        <w:tc>
          <w:tcPr>
            <w:tcW w:type="dxa" w:w="5146"/>
            <w:shd w:val="clear" w:color="auto" w:fill="1F3A5F"/>
            <w:tcMar>
              <w:top w:w="20" w:type="dxa"/>
              <w:left w:w="60" w:type="dxa"/>
              <w:bottom w:w="20" w:type="dxa"/>
              <w:right w:w="60" w:type="dxa"/>
            </w:tcMar>
            <w:vAlign w:val="center"/>
          </w:tcPr>
          <w:p>
            <w:pPr>
              <w:spacing w:after="10" w:before="0" w:line="240" w:lineRule="auto"/>
            </w:pPr>
            <w:r>
              <w:rPr>
                <w:b/>
                <w:color w:val="FFFFFF"/>
                <w:sz w:val="17"/>
              </w:rPr>
              <w:t>Method and path</w:t>
            </w:r>
          </w:p>
        </w:tc>
        <w:tc>
          <w:tcPr>
            <w:tcW w:type="dxa" w:w="5146"/>
            <w:shd w:val="clear" w:color="auto" w:fill="1F3A5F"/>
            <w:tcMar>
              <w:top w:w="20" w:type="dxa"/>
              <w:left w:w="60" w:type="dxa"/>
              <w:bottom w:w="20" w:type="dxa"/>
              <w:right w:w="60" w:type="dxa"/>
            </w:tcMar>
            <w:vAlign w:val="center"/>
          </w:tcPr>
          <w:p>
            <w:pPr>
              <w:spacing w:after="10" w:before="0" w:line="240" w:lineRule="auto"/>
            </w:pPr>
            <w:r>
              <w:rPr>
                <w:b/>
                <w:color w:val="FFFFFF"/>
                <w:sz w:val="17"/>
              </w:rPr>
              <w:t>Parameters</w:t>
            </w:r>
          </w:p>
        </w:tc>
        <w:tc>
          <w:tcPr>
            <w:tcW w:type="dxa" w:w="4238"/>
            <w:shd w:val="clear" w:color="auto" w:fill="1F3A5F"/>
            <w:tcMar>
              <w:top w:w="20" w:type="dxa"/>
              <w:left w:w="60" w:type="dxa"/>
              <w:bottom w:w="20" w:type="dxa"/>
              <w:right w:w="60" w:type="dxa"/>
            </w:tcMar>
            <w:vAlign w:val="center"/>
          </w:tcPr>
          <w:p>
            <w:pPr>
              <w:spacing w:after="10" w:before="0" w:line="240" w:lineRule="auto"/>
            </w:pPr>
            <w:r>
              <w:rPr>
                <w:b/>
                <w:color w:val="FFFFFF"/>
                <w:sz w:val="17"/>
              </w:rPr>
              <w:t>Notes</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GET, PUT /accounting/account-configuration</w:t>
            </w:r>
          </w:p>
        </w:tc>
        <w:tc>
          <w:tcPr>
            <w:tcW w:type="dxa" w:w="5146"/>
            <w:tcMar>
              <w:top w:w="20" w:type="dxa"/>
              <w:left w:w="60" w:type="dxa"/>
              <w:bottom w:w="20" w:type="dxa"/>
              <w:right w:w="60" w:type="dxa"/>
            </w:tcMar>
            <w:vAlign w:val="top"/>
          </w:tcPr>
          <w:p>
            <w:pPr>
              <w:spacing w:after="10" w:before="0" w:line="240" w:lineRule="auto"/>
            </w:pPr>
            <w:r>
              <w:rPr>
                <w:sz w:val="17"/>
              </w:rPr>
              <w:t>PUT body { mappings: [{ configKey, targetAccount or targetGroup }] }</w:t>
            </w:r>
          </w:p>
        </w:tc>
        <w:tc>
          <w:tcPr>
            <w:tcW w:type="dxa" w:w="4238"/>
            <w:tcMar>
              <w:top w:w="20" w:type="dxa"/>
              <w:left w:w="60" w:type="dxa"/>
              <w:bottom w:w="20" w:type="dxa"/>
              <w:right w:w="60" w:type="dxa"/>
            </w:tcMar>
            <w:vAlign w:val="top"/>
          </w:tcPr>
          <w:p>
            <w:pPr>
              <w:spacing w:after="10" w:before="0" w:line="240" w:lineRule="auto"/>
            </w:pPr>
            <w:r>
              <w:rPr>
                <w:sz w:val="17"/>
              </w:rPr>
              <w:t>The posting map. PUT: admin or super admin.</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GET /accounting/account-configuration/readiness; PUT /account-configuration/posting</w:t>
            </w:r>
          </w:p>
        </w:tc>
        <w:tc>
          <w:tcPr>
            <w:tcW w:type="dxa" w:w="5146"/>
            <w:tcMar>
              <w:top w:w="20" w:type="dxa"/>
              <w:left w:w="60" w:type="dxa"/>
              <w:bottom w:w="20" w:type="dxa"/>
              <w:right w:w="60" w:type="dxa"/>
            </w:tcMar>
            <w:vAlign w:val="top"/>
          </w:tcPr>
          <w:p>
            <w:pPr>
              <w:spacing w:after="10" w:before="0" w:line="240" w:lineRule="auto"/>
            </w:pPr>
            <w:r>
              <w:rPr>
                <w:sz w:val="17"/>
              </w:rPr>
              <w:t>PUT body { enabled }</w:t>
            </w:r>
          </w:p>
        </w:tc>
        <w:tc>
          <w:tcPr>
            <w:tcW w:type="dxa" w:w="4238"/>
            <w:tcMar>
              <w:top w:w="20" w:type="dxa"/>
              <w:left w:w="60" w:type="dxa"/>
              <w:bottom w:w="20" w:type="dxa"/>
              <w:right w:w="60" w:type="dxa"/>
            </w:tcMar>
            <w:vAlign w:val="top"/>
          </w:tcPr>
          <w:p>
            <w:pPr>
              <w:spacing w:after="10" w:before="0" w:line="240" w:lineRule="auto"/>
            </w:pPr>
            <w:r>
              <w:rPr>
                <w:sz w:val="17"/>
              </w:rPr>
              <w:t>Mappable keys, mapped, missing; the switch (runs the catch-up when turned on).</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GET, POST /accounting/fiscal-years; POST /:id/close, /:id/reopen</w:t>
            </w:r>
          </w:p>
        </w:tc>
        <w:tc>
          <w:tcPr>
            <w:tcW w:type="dxa" w:w="5146"/>
            <w:tcMar>
              <w:top w:w="20" w:type="dxa"/>
              <w:left w:w="60" w:type="dxa"/>
              <w:bottom w:w="20" w:type="dxa"/>
              <w:right w:w="60" w:type="dxa"/>
            </w:tcMar>
            <w:vAlign w:val="top"/>
          </w:tcPr>
          <w:p>
            <w:pPr>
              <w:spacing w:after="10" w:before="0" w:line="240" w:lineRule="auto"/>
            </w:pPr>
            <w:r>
              <w:rPr>
                <w:sz w:val="17"/>
              </w:rPr>
              <w:t>code, startDate, endDate</w:t>
            </w:r>
          </w:p>
        </w:tc>
        <w:tc>
          <w:tcPr>
            <w:tcW w:type="dxa" w:w="4238"/>
            <w:tcMar>
              <w:top w:w="20" w:type="dxa"/>
              <w:left w:w="60" w:type="dxa"/>
              <w:bottom w:w="20" w:type="dxa"/>
              <w:right w:w="60" w:type="dxa"/>
            </w:tcMar>
            <w:vAlign w:val="top"/>
          </w:tcPr>
          <w:p>
            <w:pPr>
              <w:spacing w:after="10" w:before="0" w:line="240" w:lineRule="auto"/>
            </w:pPr>
            <w:r>
              <w:rPr>
                <w:sz w:val="17"/>
              </w:rPr>
              <w:t>Period lock.</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GET /accounting/number-series; GET, PUT /accounting/settings; GET, POST, PUT /accounting/tax-codes</w:t>
            </w:r>
          </w:p>
        </w:tc>
        <w:tc>
          <w:tcPr>
            <w:tcW w:type="dxa" w:w="5146"/>
            <w:tcMar>
              <w:top w:w="20" w:type="dxa"/>
              <w:left w:w="60" w:type="dxa"/>
              <w:bottom w:w="20" w:type="dxa"/>
              <w:right w:w="60" w:type="dxa"/>
            </w:tcMar>
            <w:vAlign w:val="top"/>
          </w:tcPr>
          <w:p>
            <w:pPr>
              <w:spacing w:after="10" w:before="0" w:line="240" w:lineRule="auto"/>
            </w:pPr>
            <w:r>
              <w:rPr>
                <w:sz w:val="17"/>
              </w:rPr>
              <w:t>settings: creditControl, returnWindowDays, requireReturnLink, fiscalYearStartMonth, profile</w:t>
            </w:r>
          </w:p>
        </w:tc>
        <w:tc>
          <w:tcPr>
            <w:tcW w:type="dxa" w:w="4238"/>
            <w:tcMar>
              <w:top w:w="20" w:type="dxa"/>
              <w:left w:w="60" w:type="dxa"/>
              <w:bottom w:w="20" w:type="dxa"/>
              <w:right w:w="60" w:type="dxa"/>
            </w:tcMar>
            <w:vAlign w:val="top"/>
          </w:tcPr>
          <w:p>
            <w:pPr>
              <w:spacing w:after="10" w:before="0" w:line="240" w:lineRule="auto"/>
            </w:pPr>
            <w:r>
              <w:rPr>
                <w:sz w:val="17"/>
              </w:rPr>
              <w:t>Counters, company settings, tax codes.</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POST /transactions/transactions; PATCH /transactions/transactions/:id/process; DELETE /transactions/transactions/:id</w:t>
            </w:r>
          </w:p>
        </w:tc>
        <w:tc>
          <w:tcPr>
            <w:tcW w:type="dxa" w:w="5146"/>
            <w:tcMar>
              <w:top w:w="20" w:type="dxa"/>
              <w:left w:w="60" w:type="dxa"/>
              <w:bottom w:w="20" w:type="dxa"/>
              <w:right w:w="60" w:type="dxa"/>
            </w:tcMar>
            <w:vAlign w:val="top"/>
          </w:tcPr>
          <w:p>
            <w:pPr>
              <w:spacing w:after="10" w:before="0" w:line="240" w:lineRule="auto"/>
            </w:pPr>
            <w:r>
              <w:rPr>
                <w:sz w:val="17"/>
              </w:rPr>
              <w:t>type, partyId, partyType, items, charges, discount, date, returnOf; process body { action = approve, reject, cancel; riskAck_limit_party_credit }</w:t>
            </w:r>
          </w:p>
        </w:tc>
        <w:tc>
          <w:tcPr>
            <w:tcW w:type="dxa" w:w="4238"/>
            <w:tcMar>
              <w:top w:w="20" w:type="dxa"/>
              <w:left w:w="60" w:type="dxa"/>
              <w:bottom w:w="20" w:type="dxa"/>
              <w:right w:w="60" w:type="dxa"/>
            </w:tcMar>
            <w:vAlign w:val="top"/>
          </w:tcPr>
          <w:p>
            <w:pPr>
              <w:spacing w:after="10" w:before="0" w:line="240" w:lineRule="auto"/>
            </w:pPr>
            <w:r>
              <w:rPr>
                <w:sz w:val="17"/>
              </w:rPr>
              <w:t>Draft (priced by the server), approval, reversal.</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POST /vouchers/vouchers; PUT, DELETE /vouchers/vouchers/:id; PATCH /vouchers/vouchers/:id/approve</w:t>
            </w:r>
          </w:p>
        </w:tc>
        <w:tc>
          <w:tcPr>
            <w:tcW w:type="dxa" w:w="5146"/>
            <w:tcMar>
              <w:top w:w="20" w:type="dxa"/>
              <w:left w:w="60" w:type="dxa"/>
              <w:bottom w:w="20" w:type="dxa"/>
              <w:right w:w="60" w:type="dxa"/>
            </w:tcMar>
            <w:vAlign w:val="top"/>
          </w:tcPr>
          <w:p>
            <w:pPr>
              <w:spacing w:after="10" w:before="0" w:line="240" w:lineRule="auto"/>
            </w:pPr>
            <w:r>
              <w:rPr>
                <w:sz w:val="17"/>
              </w:rPr>
              <w:t>voucherType and the fields of that type; forceUpdate</w:t>
            </w:r>
          </w:p>
        </w:tc>
        <w:tc>
          <w:tcPr>
            <w:tcW w:type="dxa" w:w="4238"/>
            <w:tcMar>
              <w:top w:w="20" w:type="dxa"/>
              <w:left w:w="60" w:type="dxa"/>
              <w:bottom w:w="20" w:type="dxa"/>
              <w:right w:w="60" w:type="dxa"/>
            </w:tcMar>
            <w:vAlign w:val="top"/>
          </w:tcPr>
          <w:p>
            <w:pPr>
              <w:spacing w:after="10" w:before="0" w:line="240" w:lineRule="auto"/>
            </w:pPr>
            <w:r>
              <w:rPr>
                <w:sz w:val="17"/>
              </w:rPr>
              <w:t>Receipt, payment, journal, contra, expense, debit_note, credit_note. Edit reverses and reposts.</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GET /banking/cheques; POST /banking/cheques/:id/clear, /bounce, /cancel</w:t>
            </w:r>
          </w:p>
        </w:tc>
        <w:tc>
          <w:tcPr>
            <w:tcW w:type="dxa" w:w="5146"/>
            <w:tcMar>
              <w:top w:w="20" w:type="dxa"/>
              <w:left w:w="60" w:type="dxa"/>
              <w:bottom w:w="20" w:type="dxa"/>
              <w:right w:w="60" w:type="dxa"/>
            </w:tcMar>
            <w:vAlign w:val="top"/>
          </w:tcPr>
          <w:p>
            <w:pPr>
              <w:spacing w:after="10" w:before="0" w:line="240" w:lineRule="auto"/>
            </w:pPr>
            <w:r>
              <w:rPr>
                <w:sz w:val="17"/>
              </w:rPr>
              <w:t>clearedOn, note; reason, on</w:t>
            </w:r>
          </w:p>
        </w:tc>
        <w:tc>
          <w:tcPr>
            <w:tcW w:type="dxa" w:w="4238"/>
            <w:tcMar>
              <w:top w:w="20" w:type="dxa"/>
              <w:left w:w="60" w:type="dxa"/>
              <w:bottom w:w="20" w:type="dxa"/>
              <w:right w:w="60" w:type="dxa"/>
            </w:tcMar>
            <w:vAlign w:val="top"/>
          </w:tcPr>
          <w:p>
            <w:pPr>
              <w:spacing w:after="10" w:before="0" w:line="240" w:lineRule="auto"/>
            </w:pPr>
            <w:r>
              <w:rPr>
                <w:sz w:val="17"/>
              </w:rPr>
              <w:t>Cheque register.</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GET /opening-balances/summary; PUT /go-live; GET, POST, DELETE /accounts, /parties, /stock</w:t>
            </w:r>
          </w:p>
        </w:tc>
        <w:tc>
          <w:tcPr>
            <w:tcW w:type="dxa" w:w="5146"/>
            <w:tcMar>
              <w:top w:w="20" w:type="dxa"/>
              <w:left w:w="60" w:type="dxa"/>
              <w:bottom w:w="20" w:type="dxa"/>
              <w:right w:w="60" w:type="dxa"/>
            </w:tcMar>
            <w:vAlign w:val="top"/>
          </w:tcPr>
          <w:p>
            <w:pPr>
              <w:spacing w:after="10" w:before="0" w:line="240" w:lineRule="auto"/>
            </w:pPr>
            <w:r>
              <w:rPr>
                <w:sz w:val="17"/>
              </w:rPr>
              <w:t>date, lines or rows</w:t>
            </w:r>
          </w:p>
        </w:tc>
        <w:tc>
          <w:tcPr>
            <w:tcW w:type="dxa" w:w="4238"/>
            <w:tcMar>
              <w:top w:w="20" w:type="dxa"/>
              <w:left w:w="60" w:type="dxa"/>
              <w:bottom w:w="20" w:type="dxa"/>
              <w:right w:w="60" w:type="dxa"/>
            </w:tcMar>
            <w:vAlign w:val="top"/>
          </w:tcPr>
          <w:p>
            <w:pPr>
              <w:spacing w:after="10" w:before="0" w:line="240" w:lineRule="auto"/>
            </w:pPr>
            <w:r>
              <w:rPr>
                <w:sz w:val="17"/>
              </w:rPr>
              <w:t>Go-live set-up.</w:t>
            </w:r>
          </w:p>
        </w:tc>
      </w:tr>
      <w:tr>
        <w:trPr>
          <w:cantSplit w:val="true"/>
        </w:trPr>
        <w:tc>
          <w:tcPr>
            <w:tcW w:type="dxa" w:w="5146"/>
            <w:tcMar>
              <w:top w:w="20" w:type="dxa"/>
              <w:left w:w="60" w:type="dxa"/>
              <w:bottom w:w="20" w:type="dxa"/>
              <w:right w:w="60" w:type="dxa"/>
            </w:tcMar>
            <w:vAlign w:val="top"/>
          </w:tcPr>
          <w:p>
            <w:pPr>
              <w:spacing w:after="10" w:before="0" w:line="240" w:lineRule="auto"/>
            </w:pPr>
            <w:r>
              <w:rPr>
                <w:sz w:val="17"/>
              </w:rPr>
              <w:t>PUT /stock/stock/:id; PATCH /stock/stock/:id/quantity; POST /inventory/inventory</w:t>
            </w:r>
          </w:p>
        </w:tc>
        <w:tc>
          <w:tcPr>
            <w:tcW w:type="dxa" w:w="5146"/>
            <w:tcMar>
              <w:top w:w="20" w:type="dxa"/>
              <w:left w:w="60" w:type="dxa"/>
              <w:bottom w:w="20" w:type="dxa"/>
              <w:right w:w="60" w:type="dxa"/>
            </w:tcMar>
            <w:vAlign w:val="top"/>
          </w:tcPr>
          <w:p>
            <w:pPr>
              <w:spacing w:after="10" w:before="0" w:line="240" w:lineRule="auto"/>
            </w:pPr>
            <w:r>
              <w:rPr>
                <w:sz w:val="17"/>
              </w:rPr>
              <w:t>currentStock (and purchasePrice as the cost of a gain); quantity; stockId (item code), quantity (signed change), eventType, referenceNumber, unitCost, batchNumber, expiryDate</w:t>
            </w:r>
          </w:p>
        </w:tc>
        <w:tc>
          <w:tcPr>
            <w:tcW w:type="dxa" w:w="4238"/>
            <w:tcMar>
              <w:top w:w="20" w:type="dxa"/>
              <w:left w:w="60" w:type="dxa"/>
              <w:bottom w:w="20" w:type="dxa"/>
              <w:right w:w="60" w:type="dxa"/>
            </w:tcMar>
            <w:vAlign w:val="top"/>
          </w:tcPr>
          <w:p>
            <w:pPr>
              <w:spacing w:after="10" w:before="0" w:line="240" w:lineRule="auto"/>
            </w:pPr>
            <w:r>
              <w:rPr>
                <w:sz w:val="17"/>
              </w:rPr>
              <w:t>Manual stock adjustment: costed, batched and posted when posting is on.</w:t>
            </w:r>
          </w:p>
        </w:tc>
      </w:tr>
    </w:tbl>
    <w:p>
      <w:pPr>
        <w:spacing w:after="0" w:before="0"/>
        <w:rPr>
          <w:sz w:val="6"/>
        </w:rPr>
      </w:pPr>
    </w:p>
    <w:p>
      <w:pPr>
        <w:spacing w:after="0" w:before="0" w:lineRule="exact" w:line="20"/>
        <w:sectPr>
          <w:headerReference w:type="default" r:id="rId15"/>
          <w:footerReference w:type="default" r:id="rId16"/>
          <w:pgSz w:w="16834" w:h="11909" w:orient="landscape"/>
          <w:pgMar w:top="1224" w:right="1152" w:bottom="1152" w:left="1152" w:header="504" w:footer="504" w:gutter="0"/>
          <w:cols w:space="720"/>
          <w:docGrid w:linePitch="360"/>
        </w:sectPr>
      </w:pPr>
    </w:p>
    <w:p>
      <w:pPr>
        <w:pStyle w:val="Heading1"/>
        <w:pageBreakBefore/>
      </w:pPr>
      <w:r>
        <w:t>Appendix B Number series and document numbering</w:t>
      </w:r>
    </w:p>
    <w:p>
      <w:r>
        <w:t>Numbers are allocated by one routine (</w:t>
      </w:r>
      <w:r>
        <w:rPr>
          <w:rFonts w:ascii="Consolas" w:hAnsi="Consolas" w:eastAsia="Consolas"/>
        </w:rPr>
        <w:t>NumberSeriesService.allocate</w:t>
      </w:r>
      <w:r>
        <w:t xml:space="preserve">) with a single atomic increment per company, branch, series and fiscal year. The format is </w:t>
      </w:r>
      <w:r>
        <w:rPr>
          <w:rFonts w:ascii="Consolas" w:hAnsi="Consolas" w:eastAsia="Consolas"/>
        </w:rPr>
        <w:t>PREFIX-FY-NNNN</w:t>
      </w:r>
      <w:r>
        <w:t>, where FY is the code of the fiscal year that covers the document date, or, if no fiscal year is defined for that date, the Dubai calendar year, and NNNN is the counter padded to four digits. A counter restarts at 1 in each fiscal year.</w:t>
      </w:r>
    </w:p>
    <w:tbl>
      <w:tblPr>
        <w:tblW w:type="dxa" w:w="9604"/>
        <w:jc w:val="left"/>
        <w:tblLayout w:type="fixed"/>
        <w:tblLook w:firstColumn="1" w:firstRow="1" w:lastColumn="0" w:lastRow="0" w:noHBand="0" w:noVBand="1" w:val="04A0"/>
      </w:tblPr>
      <w:tblGrid>
        <w:gridCol w:w="9604"/>
      </w:tblGrid>
      <w:tr>
        <w:trPr>
          <w:cantSplit w:val="true"/>
        </w:trPr>
        <w:tc>
          <w:tcPr>
            <w:tcW w:type="dxa" w:w="9605"/>
            <w:shd w:val="clear" w:color="auto" w:fill="E4EBF5"/>
            <w:tcMar>
              <w:top w:w="70" w:type="dxa"/>
              <w:left w:w="140" w:type="dxa"/>
              <w:bottom w:w="70" w:type="dxa"/>
              <w:right w:w="120" w:type="dxa"/>
            </w:tcMar>
            <w:tcBorders>
              <w:left w:val="single" w:sz="24" w:space="0" w:color="1F3A5F"/>
              <w:top w:val="single" w:sz="4" w:space="0" w:color="B8BFCA"/>
              <w:bottom w:val="single" w:sz="4" w:space="0" w:color="B8BFCA"/>
              <w:right w:val="single" w:sz="4" w:space="0" w:color="B8BFCA"/>
            </w:tcBorders>
          </w:tcPr>
          <w:p>
            <w:pPr>
              <w:spacing w:after="40" w:line="252" w:lineRule="auto"/>
            </w:pPr>
            <w:r>
              <w:rPr>
                <w:b/>
                <w:color w:val="1F3A5F"/>
                <w:sz w:val="20"/>
              </w:rPr>
              <w:t xml:space="preserve">Rule. </w:t>
            </w:r>
            <w:r>
              <w:rPr>
                <w:sz w:val="20"/>
              </w:rPr>
              <w:t>Numbers are never reused. A save that is rolled back leaves a gap, never a duplicate. A number is allocated when the draft is saved, not when it is approved. The order form sends no number; if a client supplies one it is accepted only if it is unique.</w:t>
            </w:r>
          </w:p>
        </w:tc>
      </w:tr>
    </w:tbl>
    <w:p>
      <w:pPr>
        <w:spacing w:after="0" w:before="0"/>
        <w:rPr>
          <w:sz w:val="8"/>
        </w:rPr>
      </w:pPr>
    </w:p>
    <w:p>
      <w:pPr>
        <w:pStyle w:val="Caption"/>
      </w:pPr>
      <w:r>
        <w:t>Table 74. The 17 series (NumberSeriesService.SERIES)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1164"/>
        <w:gridCol w:w="1164"/>
        <w:gridCol w:w="3492"/>
        <w:gridCol w:w="2037"/>
        <w:gridCol w:w="1746"/>
      </w:tblGrid>
      <w:tr>
        <w:trPr>
          <w:tblHeader w:val="true"/>
          <w:cantSplit w:val="true"/>
        </w:trPr>
        <w:tc>
          <w:tcPr>
            <w:tcW w:type="dxa" w:w="1164"/>
            <w:shd w:val="clear" w:color="auto" w:fill="1F3A5F"/>
            <w:tcMar>
              <w:top w:w="20" w:type="dxa"/>
              <w:left w:w="60" w:type="dxa"/>
              <w:bottom w:w="20" w:type="dxa"/>
              <w:right w:w="60" w:type="dxa"/>
            </w:tcMar>
            <w:vAlign w:val="center"/>
          </w:tcPr>
          <w:p>
            <w:pPr>
              <w:spacing w:after="10" w:before="0" w:line="240" w:lineRule="auto"/>
            </w:pPr>
            <w:r>
              <w:rPr>
                <w:b/>
                <w:color w:val="FFFFFF"/>
                <w:sz w:val="17"/>
              </w:rPr>
              <w:t>Series</w:t>
            </w:r>
          </w:p>
        </w:tc>
        <w:tc>
          <w:tcPr>
            <w:tcW w:type="dxa" w:w="1164"/>
            <w:shd w:val="clear" w:color="auto" w:fill="1F3A5F"/>
            <w:tcMar>
              <w:top w:w="20" w:type="dxa"/>
              <w:left w:w="60" w:type="dxa"/>
              <w:bottom w:w="20" w:type="dxa"/>
              <w:right w:w="60" w:type="dxa"/>
            </w:tcMar>
            <w:vAlign w:val="center"/>
          </w:tcPr>
          <w:p>
            <w:pPr>
              <w:spacing w:after="10" w:before="0" w:line="240" w:lineRule="auto"/>
            </w:pPr>
            <w:r>
              <w:rPr>
                <w:b/>
                <w:color w:val="FFFFFF"/>
                <w:sz w:val="17"/>
              </w:rPr>
              <w:t>Prefix</w:t>
            </w:r>
          </w:p>
        </w:tc>
        <w:tc>
          <w:tcPr>
            <w:tcW w:type="dxa" w:w="3493"/>
            <w:shd w:val="clear" w:color="auto" w:fill="1F3A5F"/>
            <w:tcMar>
              <w:top w:w="20" w:type="dxa"/>
              <w:left w:w="60" w:type="dxa"/>
              <w:bottom w:w="20" w:type="dxa"/>
              <w:right w:w="60" w:type="dxa"/>
            </w:tcMar>
            <w:vAlign w:val="center"/>
          </w:tcPr>
          <w:p>
            <w:pPr>
              <w:spacing w:after="10" w:before="0" w:line="240" w:lineRule="auto"/>
            </w:pPr>
            <w:r>
              <w:rPr>
                <w:b/>
                <w:color w:val="FFFFFF"/>
                <w:sz w:val="17"/>
              </w:rPr>
              <w:t>Document</w:t>
            </w:r>
          </w:p>
        </w:tc>
        <w:tc>
          <w:tcPr>
            <w:tcW w:type="dxa" w:w="2037"/>
            <w:shd w:val="clear" w:color="auto" w:fill="1F3A5F"/>
            <w:tcMar>
              <w:top w:w="20" w:type="dxa"/>
              <w:left w:w="60" w:type="dxa"/>
              <w:bottom w:w="20" w:type="dxa"/>
              <w:right w:w="60" w:type="dxa"/>
            </w:tcMar>
            <w:vAlign w:val="center"/>
          </w:tcPr>
          <w:p>
            <w:pPr>
              <w:spacing w:after="10" w:before="0" w:line="240" w:lineRule="auto"/>
            </w:pPr>
            <w:r>
              <w:rPr>
                <w:b/>
                <w:color w:val="FFFFFF"/>
                <w:sz w:val="17"/>
              </w:rPr>
              <w:t>Allocated when</w:t>
            </w:r>
          </w:p>
        </w:tc>
        <w:tc>
          <w:tcPr>
            <w:tcW w:type="dxa" w:w="1746"/>
            <w:shd w:val="clear" w:color="auto" w:fill="1F3A5F"/>
            <w:tcMar>
              <w:top w:w="20" w:type="dxa"/>
              <w:left w:w="60" w:type="dxa"/>
              <w:bottom w:w="20" w:type="dxa"/>
              <w:right w:w="60" w:type="dxa"/>
            </w:tcMar>
            <w:vAlign w:val="center"/>
          </w:tcPr>
          <w:p>
            <w:pPr>
              <w:spacing w:after="10" w:before="0" w:line="240" w:lineRule="auto"/>
            </w:pPr>
            <w:r>
              <w:rPr>
                <w:b/>
                <w:color w:val="FFFFFF"/>
                <w:sz w:val="17"/>
              </w:rPr>
              <w:t>Example</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PO</w:t>
            </w:r>
          </w:p>
        </w:tc>
        <w:tc>
          <w:tcPr>
            <w:tcW w:type="dxa" w:w="1164"/>
            <w:tcMar>
              <w:top w:w="20" w:type="dxa"/>
              <w:left w:w="60" w:type="dxa"/>
              <w:bottom w:w="20" w:type="dxa"/>
              <w:right w:w="60" w:type="dxa"/>
            </w:tcMar>
            <w:vAlign w:val="top"/>
          </w:tcPr>
          <w:p>
            <w:pPr>
              <w:spacing w:after="10" w:before="0" w:line="240" w:lineRule="auto"/>
            </w:pPr>
            <w:r>
              <w:rPr>
                <w:sz w:val="17"/>
              </w:rPr>
              <w:t>PO</w:t>
            </w:r>
          </w:p>
        </w:tc>
        <w:tc>
          <w:tcPr>
            <w:tcW w:type="dxa" w:w="3493"/>
            <w:tcMar>
              <w:top w:w="20" w:type="dxa"/>
              <w:left w:w="60" w:type="dxa"/>
              <w:bottom w:w="20" w:type="dxa"/>
              <w:right w:w="60" w:type="dxa"/>
            </w:tcMar>
            <w:vAlign w:val="top"/>
          </w:tcPr>
          <w:p>
            <w:pPr>
              <w:spacing w:after="10" w:before="0" w:line="240" w:lineRule="auto"/>
            </w:pPr>
            <w:r>
              <w:rPr>
                <w:sz w:val="17"/>
              </w:rPr>
              <w:t>Purchase invoice</w:t>
            </w:r>
          </w:p>
        </w:tc>
        <w:tc>
          <w:tcPr>
            <w:tcW w:type="dxa" w:w="2037"/>
            <w:tcMar>
              <w:top w:w="20" w:type="dxa"/>
              <w:left w:w="60" w:type="dxa"/>
              <w:bottom w:w="20" w:type="dxa"/>
              <w:right w:w="60" w:type="dxa"/>
            </w:tcMar>
            <w:vAlign w:val="top"/>
          </w:tcPr>
          <w:p>
            <w:pPr>
              <w:spacing w:after="10" w:before="0" w:line="240" w:lineRule="auto"/>
            </w:pPr>
            <w:r>
              <w:rPr>
                <w:sz w:val="17"/>
              </w:rPr>
              <w:t>Draft saved</w:t>
            </w:r>
          </w:p>
        </w:tc>
        <w:tc>
          <w:tcPr>
            <w:tcW w:type="dxa" w:w="1746"/>
            <w:tcMar>
              <w:top w:w="20" w:type="dxa"/>
              <w:left w:w="60" w:type="dxa"/>
              <w:bottom w:w="20" w:type="dxa"/>
              <w:right w:w="60" w:type="dxa"/>
            </w:tcMar>
            <w:vAlign w:val="top"/>
          </w:tcPr>
          <w:p>
            <w:pPr>
              <w:spacing w:after="10" w:before="0" w:line="240" w:lineRule="auto"/>
            </w:pPr>
            <w:r>
              <w:rPr>
                <w:sz w:val="17"/>
              </w:rPr>
              <w:t>PO-2026-0001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SO</w:t>
            </w:r>
          </w:p>
        </w:tc>
        <w:tc>
          <w:tcPr>
            <w:tcW w:type="dxa" w:w="1164"/>
            <w:tcMar>
              <w:top w:w="20" w:type="dxa"/>
              <w:left w:w="60" w:type="dxa"/>
              <w:bottom w:w="20" w:type="dxa"/>
              <w:right w:w="60" w:type="dxa"/>
            </w:tcMar>
            <w:vAlign w:val="top"/>
          </w:tcPr>
          <w:p>
            <w:pPr>
              <w:spacing w:after="10" w:before="0" w:line="240" w:lineRule="auto"/>
            </w:pPr>
            <w:r>
              <w:rPr>
                <w:sz w:val="17"/>
              </w:rPr>
              <w:t>SO</w:t>
            </w:r>
          </w:p>
        </w:tc>
        <w:tc>
          <w:tcPr>
            <w:tcW w:type="dxa" w:w="3493"/>
            <w:tcMar>
              <w:top w:w="20" w:type="dxa"/>
              <w:left w:w="60" w:type="dxa"/>
              <w:bottom w:w="20" w:type="dxa"/>
              <w:right w:w="60" w:type="dxa"/>
            </w:tcMar>
            <w:vAlign w:val="top"/>
          </w:tcPr>
          <w:p>
            <w:pPr>
              <w:spacing w:after="10" w:before="0" w:line="240" w:lineRule="auto"/>
            </w:pPr>
            <w:r>
              <w:rPr>
                <w:sz w:val="17"/>
              </w:rPr>
              <w:t>Sales invoice</w:t>
            </w:r>
          </w:p>
        </w:tc>
        <w:tc>
          <w:tcPr>
            <w:tcW w:type="dxa" w:w="2037"/>
            <w:tcMar>
              <w:top w:w="20" w:type="dxa"/>
              <w:left w:w="60" w:type="dxa"/>
              <w:bottom w:w="20" w:type="dxa"/>
              <w:right w:w="60" w:type="dxa"/>
            </w:tcMar>
            <w:vAlign w:val="top"/>
          </w:tcPr>
          <w:p>
            <w:pPr>
              <w:spacing w:after="10" w:before="0" w:line="240" w:lineRule="auto"/>
            </w:pPr>
            <w:r>
              <w:rPr>
                <w:sz w:val="17"/>
              </w:rPr>
              <w:t>Draft saved</w:t>
            </w:r>
          </w:p>
        </w:tc>
        <w:tc>
          <w:tcPr>
            <w:tcW w:type="dxa" w:w="1746"/>
            <w:tcMar>
              <w:top w:w="20" w:type="dxa"/>
              <w:left w:w="60" w:type="dxa"/>
              <w:bottom w:w="20" w:type="dxa"/>
              <w:right w:w="60" w:type="dxa"/>
            </w:tcMar>
            <w:vAlign w:val="top"/>
          </w:tcPr>
          <w:p>
            <w:pPr>
              <w:spacing w:after="10" w:before="0" w:line="240" w:lineRule="auto"/>
            </w:pPr>
            <w:r>
              <w:rPr>
                <w:sz w:val="17"/>
              </w:rPr>
              <w:t>SO-2026-0001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PR</w:t>
            </w:r>
          </w:p>
        </w:tc>
        <w:tc>
          <w:tcPr>
            <w:tcW w:type="dxa" w:w="1164"/>
            <w:tcMar>
              <w:top w:w="20" w:type="dxa"/>
              <w:left w:w="60" w:type="dxa"/>
              <w:bottom w:w="20" w:type="dxa"/>
              <w:right w:w="60" w:type="dxa"/>
            </w:tcMar>
            <w:vAlign w:val="top"/>
          </w:tcPr>
          <w:p>
            <w:pPr>
              <w:spacing w:after="10" w:before="0" w:line="240" w:lineRule="auto"/>
            </w:pPr>
            <w:r>
              <w:rPr>
                <w:sz w:val="17"/>
              </w:rPr>
              <w:t>PR</w:t>
            </w:r>
          </w:p>
        </w:tc>
        <w:tc>
          <w:tcPr>
            <w:tcW w:type="dxa" w:w="3493"/>
            <w:tcMar>
              <w:top w:w="20" w:type="dxa"/>
              <w:left w:w="60" w:type="dxa"/>
              <w:bottom w:w="20" w:type="dxa"/>
              <w:right w:w="60" w:type="dxa"/>
            </w:tcMar>
            <w:vAlign w:val="top"/>
          </w:tcPr>
          <w:p>
            <w:pPr>
              <w:spacing w:after="10" w:before="0" w:line="240" w:lineRule="auto"/>
            </w:pPr>
            <w:r>
              <w:rPr>
                <w:sz w:val="17"/>
              </w:rPr>
              <w:t>Purchase return</w:t>
            </w:r>
          </w:p>
        </w:tc>
        <w:tc>
          <w:tcPr>
            <w:tcW w:type="dxa" w:w="2037"/>
            <w:tcMar>
              <w:top w:w="20" w:type="dxa"/>
              <w:left w:w="60" w:type="dxa"/>
              <w:bottom w:w="20" w:type="dxa"/>
              <w:right w:w="60" w:type="dxa"/>
            </w:tcMar>
            <w:vAlign w:val="top"/>
          </w:tcPr>
          <w:p>
            <w:pPr>
              <w:spacing w:after="10" w:before="0" w:line="240" w:lineRule="auto"/>
            </w:pPr>
            <w:r>
              <w:rPr>
                <w:sz w:val="17"/>
              </w:rPr>
              <w:t>Draft saved</w:t>
            </w:r>
          </w:p>
        </w:tc>
        <w:tc>
          <w:tcPr>
            <w:tcW w:type="dxa" w:w="1746"/>
            <w:tcMar>
              <w:top w:w="20" w:type="dxa"/>
              <w:left w:w="60" w:type="dxa"/>
              <w:bottom w:w="20" w:type="dxa"/>
              <w:right w:w="60" w:type="dxa"/>
            </w:tcMar>
            <w:vAlign w:val="top"/>
          </w:tcPr>
          <w:p>
            <w:pPr>
              <w:spacing w:after="10" w:before="0" w:line="240" w:lineRule="auto"/>
            </w:pPr>
            <w:r>
              <w:rPr>
                <w:sz w:val="17"/>
              </w:rPr>
              <w:t>PR-2026-0001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SR</w:t>
            </w:r>
          </w:p>
        </w:tc>
        <w:tc>
          <w:tcPr>
            <w:tcW w:type="dxa" w:w="1164"/>
            <w:tcMar>
              <w:top w:w="20" w:type="dxa"/>
              <w:left w:w="60" w:type="dxa"/>
              <w:bottom w:w="20" w:type="dxa"/>
              <w:right w:w="60" w:type="dxa"/>
            </w:tcMar>
            <w:vAlign w:val="top"/>
          </w:tcPr>
          <w:p>
            <w:pPr>
              <w:spacing w:after="10" w:before="0" w:line="240" w:lineRule="auto"/>
            </w:pPr>
            <w:r>
              <w:rPr>
                <w:sz w:val="17"/>
              </w:rPr>
              <w:t>SR</w:t>
            </w:r>
          </w:p>
        </w:tc>
        <w:tc>
          <w:tcPr>
            <w:tcW w:type="dxa" w:w="3493"/>
            <w:tcMar>
              <w:top w:w="20" w:type="dxa"/>
              <w:left w:w="60" w:type="dxa"/>
              <w:bottom w:w="20" w:type="dxa"/>
              <w:right w:w="60" w:type="dxa"/>
            </w:tcMar>
            <w:vAlign w:val="top"/>
          </w:tcPr>
          <w:p>
            <w:pPr>
              <w:spacing w:after="10" w:before="0" w:line="240" w:lineRule="auto"/>
            </w:pPr>
            <w:r>
              <w:rPr>
                <w:sz w:val="17"/>
              </w:rPr>
              <w:t>Sales return</w:t>
            </w:r>
          </w:p>
        </w:tc>
        <w:tc>
          <w:tcPr>
            <w:tcW w:type="dxa" w:w="2037"/>
            <w:tcMar>
              <w:top w:w="20" w:type="dxa"/>
              <w:left w:w="60" w:type="dxa"/>
              <w:bottom w:w="20" w:type="dxa"/>
              <w:right w:w="60" w:type="dxa"/>
            </w:tcMar>
            <w:vAlign w:val="top"/>
          </w:tcPr>
          <w:p>
            <w:pPr>
              <w:spacing w:after="10" w:before="0" w:line="240" w:lineRule="auto"/>
            </w:pPr>
            <w:r>
              <w:rPr>
                <w:sz w:val="17"/>
              </w:rPr>
              <w:t>Draft saved</w:t>
            </w:r>
          </w:p>
        </w:tc>
        <w:tc>
          <w:tcPr>
            <w:tcW w:type="dxa" w:w="1746"/>
            <w:tcMar>
              <w:top w:w="20" w:type="dxa"/>
              <w:left w:w="60" w:type="dxa"/>
              <w:bottom w:w="20" w:type="dxa"/>
              <w:right w:w="60" w:type="dxa"/>
            </w:tcMar>
            <w:vAlign w:val="top"/>
          </w:tcPr>
          <w:p>
            <w:pPr>
              <w:spacing w:after="10" w:before="0" w:line="240" w:lineRule="auto"/>
            </w:pPr>
            <w:r>
              <w:rPr>
                <w:sz w:val="17"/>
              </w:rPr>
              <w:t>SR-2026-0001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RV</w:t>
            </w:r>
          </w:p>
        </w:tc>
        <w:tc>
          <w:tcPr>
            <w:tcW w:type="dxa" w:w="1164"/>
            <w:tcMar>
              <w:top w:w="20" w:type="dxa"/>
              <w:left w:w="60" w:type="dxa"/>
              <w:bottom w:w="20" w:type="dxa"/>
              <w:right w:w="60" w:type="dxa"/>
            </w:tcMar>
            <w:vAlign w:val="top"/>
          </w:tcPr>
          <w:p>
            <w:pPr>
              <w:spacing w:after="10" w:before="0" w:line="240" w:lineRule="auto"/>
            </w:pPr>
            <w:r>
              <w:rPr>
                <w:sz w:val="17"/>
              </w:rPr>
              <w:t>RV</w:t>
            </w:r>
          </w:p>
        </w:tc>
        <w:tc>
          <w:tcPr>
            <w:tcW w:type="dxa" w:w="3493"/>
            <w:tcMar>
              <w:top w:w="20" w:type="dxa"/>
              <w:left w:w="60" w:type="dxa"/>
              <w:bottom w:w="20" w:type="dxa"/>
              <w:right w:w="60" w:type="dxa"/>
            </w:tcMar>
            <w:vAlign w:val="top"/>
          </w:tcPr>
          <w:p>
            <w:pPr>
              <w:spacing w:after="10" w:before="0" w:line="240" w:lineRule="auto"/>
            </w:pPr>
            <w:r>
              <w:rPr>
                <w:sz w:val="17"/>
              </w:rPr>
              <w:t>Receipt voucher</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RV-2026-0001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PV</w:t>
            </w:r>
          </w:p>
        </w:tc>
        <w:tc>
          <w:tcPr>
            <w:tcW w:type="dxa" w:w="1164"/>
            <w:tcMar>
              <w:top w:w="20" w:type="dxa"/>
              <w:left w:w="60" w:type="dxa"/>
              <w:bottom w:w="20" w:type="dxa"/>
              <w:right w:w="60" w:type="dxa"/>
            </w:tcMar>
            <w:vAlign w:val="top"/>
          </w:tcPr>
          <w:p>
            <w:pPr>
              <w:spacing w:after="10" w:before="0" w:line="240" w:lineRule="auto"/>
            </w:pPr>
            <w:r>
              <w:rPr>
                <w:sz w:val="17"/>
              </w:rPr>
              <w:t>PV</w:t>
            </w:r>
          </w:p>
        </w:tc>
        <w:tc>
          <w:tcPr>
            <w:tcW w:type="dxa" w:w="3493"/>
            <w:tcMar>
              <w:top w:w="20" w:type="dxa"/>
              <w:left w:w="60" w:type="dxa"/>
              <w:bottom w:w="20" w:type="dxa"/>
              <w:right w:w="60" w:type="dxa"/>
            </w:tcMar>
            <w:vAlign w:val="top"/>
          </w:tcPr>
          <w:p>
            <w:pPr>
              <w:spacing w:after="10" w:before="0" w:line="240" w:lineRule="auto"/>
            </w:pPr>
            <w:r>
              <w:rPr>
                <w:sz w:val="17"/>
              </w:rPr>
              <w:t>Payment voucher</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PV-2026-0001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JV</w:t>
            </w:r>
          </w:p>
        </w:tc>
        <w:tc>
          <w:tcPr>
            <w:tcW w:type="dxa" w:w="1164"/>
            <w:tcMar>
              <w:top w:w="20" w:type="dxa"/>
              <w:left w:w="60" w:type="dxa"/>
              <w:bottom w:w="20" w:type="dxa"/>
              <w:right w:w="60" w:type="dxa"/>
            </w:tcMar>
            <w:vAlign w:val="top"/>
          </w:tcPr>
          <w:p>
            <w:pPr>
              <w:spacing w:after="10" w:before="0" w:line="240" w:lineRule="auto"/>
            </w:pPr>
            <w:r>
              <w:rPr>
                <w:sz w:val="17"/>
              </w:rPr>
              <w:t>JV</w:t>
            </w:r>
          </w:p>
        </w:tc>
        <w:tc>
          <w:tcPr>
            <w:tcW w:type="dxa" w:w="3493"/>
            <w:tcMar>
              <w:top w:w="20" w:type="dxa"/>
              <w:left w:w="60" w:type="dxa"/>
              <w:bottom w:w="20" w:type="dxa"/>
              <w:right w:w="60" w:type="dxa"/>
            </w:tcMar>
            <w:vAlign w:val="top"/>
          </w:tcPr>
          <w:p>
            <w:pPr>
              <w:spacing w:after="10" w:before="0" w:line="240" w:lineRule="auto"/>
            </w:pPr>
            <w:r>
              <w:rPr>
                <w:sz w:val="17"/>
              </w:rPr>
              <w:t>Journal voucher</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JV-2026-0001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CV</w:t>
            </w:r>
          </w:p>
        </w:tc>
        <w:tc>
          <w:tcPr>
            <w:tcW w:type="dxa" w:w="1164"/>
            <w:tcMar>
              <w:top w:w="20" w:type="dxa"/>
              <w:left w:w="60" w:type="dxa"/>
              <w:bottom w:w="20" w:type="dxa"/>
              <w:right w:w="60" w:type="dxa"/>
            </w:tcMar>
            <w:vAlign w:val="top"/>
          </w:tcPr>
          <w:p>
            <w:pPr>
              <w:spacing w:after="10" w:before="0" w:line="240" w:lineRule="auto"/>
            </w:pPr>
            <w:r>
              <w:rPr>
                <w:sz w:val="17"/>
              </w:rPr>
              <w:t>CV</w:t>
            </w:r>
          </w:p>
        </w:tc>
        <w:tc>
          <w:tcPr>
            <w:tcW w:type="dxa" w:w="3493"/>
            <w:tcMar>
              <w:top w:w="20" w:type="dxa"/>
              <w:left w:w="60" w:type="dxa"/>
              <w:bottom w:w="20" w:type="dxa"/>
              <w:right w:w="60" w:type="dxa"/>
            </w:tcMar>
            <w:vAlign w:val="top"/>
          </w:tcPr>
          <w:p>
            <w:pPr>
              <w:spacing w:after="10" w:before="0" w:line="240" w:lineRule="auto"/>
            </w:pPr>
            <w:r>
              <w:rPr>
                <w:sz w:val="17"/>
              </w:rPr>
              <w:t>Contra voucher</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CV-2026-0001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EV</w:t>
            </w:r>
          </w:p>
        </w:tc>
        <w:tc>
          <w:tcPr>
            <w:tcW w:type="dxa" w:w="1164"/>
            <w:tcMar>
              <w:top w:w="20" w:type="dxa"/>
              <w:left w:w="60" w:type="dxa"/>
              <w:bottom w:w="20" w:type="dxa"/>
              <w:right w:w="60" w:type="dxa"/>
            </w:tcMar>
            <w:vAlign w:val="top"/>
          </w:tcPr>
          <w:p>
            <w:pPr>
              <w:spacing w:after="10" w:before="0" w:line="240" w:lineRule="auto"/>
            </w:pPr>
            <w:r>
              <w:rPr>
                <w:sz w:val="17"/>
              </w:rPr>
              <w:t>EV</w:t>
            </w:r>
          </w:p>
        </w:tc>
        <w:tc>
          <w:tcPr>
            <w:tcW w:type="dxa" w:w="3493"/>
            <w:tcMar>
              <w:top w:w="20" w:type="dxa"/>
              <w:left w:w="60" w:type="dxa"/>
              <w:bottom w:w="20" w:type="dxa"/>
              <w:right w:w="60" w:type="dxa"/>
            </w:tcMar>
            <w:vAlign w:val="top"/>
          </w:tcPr>
          <w:p>
            <w:pPr>
              <w:spacing w:after="10" w:before="0" w:line="240" w:lineRule="auto"/>
            </w:pPr>
            <w:r>
              <w:rPr>
                <w:sz w:val="17"/>
              </w:rPr>
              <w:t>Expense voucher</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EV-2026-0001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DN</w:t>
            </w:r>
          </w:p>
        </w:tc>
        <w:tc>
          <w:tcPr>
            <w:tcW w:type="dxa" w:w="1164"/>
            <w:tcMar>
              <w:top w:w="20" w:type="dxa"/>
              <w:left w:w="60" w:type="dxa"/>
              <w:bottom w:w="20" w:type="dxa"/>
              <w:right w:w="60" w:type="dxa"/>
            </w:tcMar>
            <w:vAlign w:val="top"/>
          </w:tcPr>
          <w:p>
            <w:pPr>
              <w:spacing w:after="10" w:before="0" w:line="240" w:lineRule="auto"/>
            </w:pPr>
            <w:r>
              <w:rPr>
                <w:sz w:val="17"/>
              </w:rPr>
              <w:t>DN</w:t>
            </w:r>
          </w:p>
        </w:tc>
        <w:tc>
          <w:tcPr>
            <w:tcW w:type="dxa" w:w="3493"/>
            <w:tcMar>
              <w:top w:w="20" w:type="dxa"/>
              <w:left w:w="60" w:type="dxa"/>
              <w:bottom w:w="20" w:type="dxa"/>
              <w:right w:w="60" w:type="dxa"/>
            </w:tcMar>
            <w:vAlign w:val="top"/>
          </w:tcPr>
          <w:p>
            <w:pPr>
              <w:spacing w:after="10" w:before="0" w:line="240" w:lineRule="auto"/>
            </w:pPr>
            <w:r>
              <w:rPr>
                <w:sz w:val="17"/>
              </w:rPr>
              <w:t>Debit note</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DN-2026-0001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CN</w:t>
            </w:r>
          </w:p>
        </w:tc>
        <w:tc>
          <w:tcPr>
            <w:tcW w:type="dxa" w:w="1164"/>
            <w:tcMar>
              <w:top w:w="20" w:type="dxa"/>
              <w:left w:w="60" w:type="dxa"/>
              <w:bottom w:w="20" w:type="dxa"/>
              <w:right w:w="60" w:type="dxa"/>
            </w:tcMar>
            <w:vAlign w:val="top"/>
          </w:tcPr>
          <w:p>
            <w:pPr>
              <w:spacing w:after="10" w:before="0" w:line="240" w:lineRule="auto"/>
            </w:pPr>
            <w:r>
              <w:rPr>
                <w:sz w:val="17"/>
              </w:rPr>
              <w:t>CN</w:t>
            </w:r>
          </w:p>
        </w:tc>
        <w:tc>
          <w:tcPr>
            <w:tcW w:type="dxa" w:w="3493"/>
            <w:tcMar>
              <w:top w:w="20" w:type="dxa"/>
              <w:left w:w="60" w:type="dxa"/>
              <w:bottom w:w="20" w:type="dxa"/>
              <w:right w:w="60" w:type="dxa"/>
            </w:tcMar>
            <w:vAlign w:val="top"/>
          </w:tcPr>
          <w:p>
            <w:pPr>
              <w:spacing w:after="10" w:before="0" w:line="240" w:lineRule="auto"/>
            </w:pPr>
            <w:r>
              <w:rPr>
                <w:sz w:val="17"/>
              </w:rPr>
              <w:t>Credit note</w:t>
            </w:r>
          </w:p>
        </w:tc>
        <w:tc>
          <w:tcPr>
            <w:tcW w:type="dxa" w:w="2037"/>
            <w:tcMar>
              <w:top w:w="20" w:type="dxa"/>
              <w:left w:w="60" w:type="dxa"/>
              <w:bottom w:w="20" w:type="dxa"/>
              <w:right w:w="60" w:type="dxa"/>
            </w:tcMar>
            <w:vAlign w:val="top"/>
          </w:tcPr>
          <w:p>
            <w:pPr>
              <w:spacing w:after="10" w:before="0" w:line="240" w:lineRule="auto"/>
            </w:pPr>
            <w:r>
              <w:rPr>
                <w:sz w:val="17"/>
              </w:rPr>
              <w:t>Voucher saved</w:t>
            </w:r>
          </w:p>
        </w:tc>
        <w:tc>
          <w:tcPr>
            <w:tcW w:type="dxa" w:w="1746"/>
            <w:tcMar>
              <w:top w:w="20" w:type="dxa"/>
              <w:left w:w="60" w:type="dxa"/>
              <w:bottom w:w="20" w:type="dxa"/>
              <w:right w:w="60" w:type="dxa"/>
            </w:tcMar>
            <w:vAlign w:val="top"/>
          </w:tcPr>
          <w:p>
            <w:pPr>
              <w:spacing w:after="10" w:before="0" w:line="240" w:lineRule="auto"/>
            </w:pPr>
            <w:r>
              <w:rPr>
                <w:sz w:val="17"/>
              </w:rPr>
              <w:t>CN-2026-0001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WO</w:t>
            </w:r>
          </w:p>
        </w:tc>
        <w:tc>
          <w:tcPr>
            <w:tcW w:type="dxa" w:w="1164"/>
            <w:tcMar>
              <w:top w:w="20" w:type="dxa"/>
              <w:left w:w="60" w:type="dxa"/>
              <w:bottom w:w="20" w:type="dxa"/>
              <w:right w:w="60" w:type="dxa"/>
            </w:tcMar>
            <w:vAlign w:val="top"/>
          </w:tcPr>
          <w:p>
            <w:pPr>
              <w:spacing w:after="10" w:before="0" w:line="240" w:lineRule="auto"/>
            </w:pPr>
            <w:r>
              <w:rPr>
                <w:sz w:val="17"/>
              </w:rPr>
              <w:t>WO</w:t>
            </w:r>
          </w:p>
        </w:tc>
        <w:tc>
          <w:tcPr>
            <w:tcW w:type="dxa" w:w="3493"/>
            <w:tcMar>
              <w:top w:w="20" w:type="dxa"/>
              <w:left w:w="60" w:type="dxa"/>
              <w:bottom w:w="20" w:type="dxa"/>
              <w:right w:w="60" w:type="dxa"/>
            </w:tcMar>
            <w:vAlign w:val="top"/>
          </w:tcPr>
          <w:p>
            <w:pPr>
              <w:spacing w:after="10" w:before="0" w:line="240" w:lineRule="auto"/>
            </w:pPr>
            <w:r>
              <w:rPr>
                <w:sz w:val="17"/>
              </w:rPr>
              <w:t>Stock write-off</w:t>
            </w:r>
          </w:p>
        </w:tc>
        <w:tc>
          <w:tcPr>
            <w:tcW w:type="dxa" w:w="2037"/>
            <w:tcMar>
              <w:top w:w="20" w:type="dxa"/>
              <w:left w:w="60" w:type="dxa"/>
              <w:bottom w:w="20" w:type="dxa"/>
              <w:right w:w="60" w:type="dxa"/>
            </w:tcMar>
            <w:vAlign w:val="top"/>
          </w:tcPr>
          <w:p>
            <w:pPr>
              <w:spacing w:after="10" w:before="0" w:line="240" w:lineRule="auto"/>
            </w:pPr>
            <w:r>
              <w:rPr>
                <w:sz w:val="17"/>
              </w:rPr>
              <w:t>Write-off made</w:t>
            </w:r>
          </w:p>
        </w:tc>
        <w:tc>
          <w:tcPr>
            <w:tcW w:type="dxa" w:w="1746"/>
            <w:tcMar>
              <w:top w:w="20" w:type="dxa"/>
              <w:left w:w="60" w:type="dxa"/>
              <w:bottom w:w="20" w:type="dxa"/>
              <w:right w:w="60" w:type="dxa"/>
            </w:tcMar>
            <w:vAlign w:val="top"/>
          </w:tcPr>
          <w:p>
            <w:pPr>
              <w:spacing w:after="10" w:before="0" w:line="240" w:lineRule="auto"/>
            </w:pPr>
            <w:r>
              <w:rPr>
                <w:sz w:val="17"/>
              </w:rPr>
              <w:t>WO-2026-0001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SA</w:t>
            </w:r>
          </w:p>
        </w:tc>
        <w:tc>
          <w:tcPr>
            <w:tcW w:type="dxa" w:w="1164"/>
            <w:tcMar>
              <w:top w:w="20" w:type="dxa"/>
              <w:left w:w="60" w:type="dxa"/>
              <w:bottom w:w="20" w:type="dxa"/>
              <w:right w:w="60" w:type="dxa"/>
            </w:tcMar>
            <w:vAlign w:val="top"/>
          </w:tcPr>
          <w:p>
            <w:pPr>
              <w:spacing w:after="10" w:before="0" w:line="240" w:lineRule="auto"/>
            </w:pPr>
            <w:r>
              <w:rPr>
                <w:sz w:val="17"/>
              </w:rPr>
              <w:t>SA</w:t>
            </w:r>
          </w:p>
        </w:tc>
        <w:tc>
          <w:tcPr>
            <w:tcW w:type="dxa" w:w="3493"/>
            <w:tcMar>
              <w:top w:w="20" w:type="dxa"/>
              <w:left w:w="60" w:type="dxa"/>
              <w:bottom w:w="20" w:type="dxa"/>
              <w:right w:w="60" w:type="dxa"/>
            </w:tcMar>
            <w:vAlign w:val="top"/>
          </w:tcPr>
          <w:p>
            <w:pPr>
              <w:spacing w:after="10" w:before="0" w:line="240" w:lineRule="auto"/>
            </w:pPr>
            <w:r>
              <w:rPr>
                <w:sz w:val="17"/>
              </w:rPr>
              <w:t>Manual stock adjustment</w:t>
            </w:r>
          </w:p>
        </w:tc>
        <w:tc>
          <w:tcPr>
            <w:tcW w:type="dxa" w:w="2037"/>
            <w:tcMar>
              <w:top w:w="20" w:type="dxa"/>
              <w:left w:w="60" w:type="dxa"/>
              <w:bottom w:w="20" w:type="dxa"/>
              <w:right w:w="60" w:type="dxa"/>
            </w:tcMar>
            <w:vAlign w:val="top"/>
          </w:tcPr>
          <w:p>
            <w:pPr>
              <w:spacing w:after="10" w:before="0" w:line="240" w:lineRule="auto"/>
            </w:pPr>
            <w:r>
              <w:rPr>
                <w:sz w:val="17"/>
              </w:rPr>
              <w:t>Adjustment made</w:t>
            </w:r>
          </w:p>
        </w:tc>
        <w:tc>
          <w:tcPr>
            <w:tcW w:type="dxa" w:w="1746"/>
            <w:tcMar>
              <w:top w:w="20" w:type="dxa"/>
              <w:left w:w="60" w:type="dxa"/>
              <w:bottom w:w="20" w:type="dxa"/>
              <w:right w:w="60" w:type="dxa"/>
            </w:tcMar>
            <w:vAlign w:val="top"/>
          </w:tcPr>
          <w:p>
            <w:pPr>
              <w:spacing w:after="10" w:before="0" w:line="240" w:lineRule="auto"/>
            </w:pPr>
            <w:r>
              <w:rPr>
                <w:sz w:val="17"/>
              </w:rPr>
              <w:t>SA-2026-0001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OBV</w:t>
            </w:r>
          </w:p>
        </w:tc>
        <w:tc>
          <w:tcPr>
            <w:tcW w:type="dxa" w:w="1164"/>
            <w:tcMar>
              <w:top w:w="20" w:type="dxa"/>
              <w:left w:w="60" w:type="dxa"/>
              <w:bottom w:w="20" w:type="dxa"/>
              <w:right w:w="60" w:type="dxa"/>
            </w:tcMar>
            <w:vAlign w:val="top"/>
          </w:tcPr>
          <w:p>
            <w:pPr>
              <w:spacing w:after="10" w:before="0" w:line="240" w:lineRule="auto"/>
            </w:pPr>
            <w:r>
              <w:rPr>
                <w:sz w:val="17"/>
              </w:rPr>
              <w:t>OBV</w:t>
            </w:r>
          </w:p>
        </w:tc>
        <w:tc>
          <w:tcPr>
            <w:tcW w:type="dxa" w:w="3493"/>
            <w:tcMar>
              <w:top w:w="20" w:type="dxa"/>
              <w:left w:w="60" w:type="dxa"/>
              <w:bottom w:w="20" w:type="dxa"/>
              <w:right w:w="60" w:type="dxa"/>
            </w:tcMar>
            <w:vAlign w:val="top"/>
          </w:tcPr>
          <w:p>
            <w:pPr>
              <w:spacing w:after="10" w:before="0" w:line="240" w:lineRule="auto"/>
            </w:pPr>
            <w:r>
              <w:rPr>
                <w:sz w:val="17"/>
              </w:rPr>
              <w:t>Opening balance voucher (accounts)</w:t>
            </w:r>
          </w:p>
        </w:tc>
        <w:tc>
          <w:tcPr>
            <w:tcW w:type="dxa" w:w="2037"/>
            <w:tcMar>
              <w:top w:w="20" w:type="dxa"/>
              <w:left w:w="60" w:type="dxa"/>
              <w:bottom w:w="20" w:type="dxa"/>
              <w:right w:w="60" w:type="dxa"/>
            </w:tcMar>
            <w:vAlign w:val="top"/>
          </w:tcPr>
          <w:p>
            <w:pPr>
              <w:spacing w:after="10" w:before="0" w:line="240" w:lineRule="auto"/>
            </w:pPr>
            <w:r>
              <w:rPr>
                <w:sz w:val="17"/>
              </w:rPr>
              <w:t>Posted</w:t>
            </w:r>
          </w:p>
        </w:tc>
        <w:tc>
          <w:tcPr>
            <w:tcW w:type="dxa" w:w="1746"/>
            <w:tcMar>
              <w:top w:w="20" w:type="dxa"/>
              <w:left w:w="60" w:type="dxa"/>
              <w:bottom w:w="20" w:type="dxa"/>
              <w:right w:w="60" w:type="dxa"/>
            </w:tcMar>
            <w:vAlign w:val="top"/>
          </w:tcPr>
          <w:p>
            <w:pPr>
              <w:spacing w:after="10" w:before="0" w:line="240" w:lineRule="auto"/>
            </w:pPr>
            <w:r>
              <w:rPr>
                <w:sz w:val="17"/>
              </w:rPr>
              <w:t>OBV-2026-0001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OSI</w:t>
            </w:r>
          </w:p>
        </w:tc>
        <w:tc>
          <w:tcPr>
            <w:tcW w:type="dxa" w:w="1164"/>
            <w:tcMar>
              <w:top w:w="20" w:type="dxa"/>
              <w:left w:w="60" w:type="dxa"/>
              <w:bottom w:w="20" w:type="dxa"/>
              <w:right w:w="60" w:type="dxa"/>
            </w:tcMar>
            <w:vAlign w:val="top"/>
          </w:tcPr>
          <w:p>
            <w:pPr>
              <w:spacing w:after="10" w:before="0" w:line="240" w:lineRule="auto"/>
            </w:pPr>
            <w:r>
              <w:rPr>
                <w:sz w:val="17"/>
              </w:rPr>
              <w:t>OSI</w:t>
            </w:r>
          </w:p>
        </w:tc>
        <w:tc>
          <w:tcPr>
            <w:tcW w:type="dxa" w:w="3493"/>
            <w:tcMar>
              <w:top w:w="20" w:type="dxa"/>
              <w:left w:w="60" w:type="dxa"/>
              <w:bottom w:w="20" w:type="dxa"/>
              <w:right w:w="60" w:type="dxa"/>
            </w:tcMar>
            <w:vAlign w:val="top"/>
          </w:tcPr>
          <w:p>
            <w:pPr>
              <w:spacing w:after="10" w:before="0" w:line="240" w:lineRule="auto"/>
            </w:pPr>
            <w:r>
              <w:rPr>
                <w:sz w:val="17"/>
              </w:rPr>
              <w:t>Opening sales invoice</w:t>
            </w:r>
          </w:p>
        </w:tc>
        <w:tc>
          <w:tcPr>
            <w:tcW w:type="dxa" w:w="2037"/>
            <w:tcMar>
              <w:top w:w="20" w:type="dxa"/>
              <w:left w:w="60" w:type="dxa"/>
              <w:bottom w:w="20" w:type="dxa"/>
              <w:right w:w="60" w:type="dxa"/>
            </w:tcMar>
            <w:vAlign w:val="top"/>
          </w:tcPr>
          <w:p>
            <w:pPr>
              <w:spacing w:after="10" w:before="0" w:line="240" w:lineRule="auto"/>
            </w:pPr>
            <w:r>
              <w:rPr>
                <w:sz w:val="17"/>
              </w:rPr>
              <w:t>Posted</w:t>
            </w:r>
          </w:p>
        </w:tc>
        <w:tc>
          <w:tcPr>
            <w:tcW w:type="dxa" w:w="1746"/>
            <w:tcMar>
              <w:top w:w="20" w:type="dxa"/>
              <w:left w:w="60" w:type="dxa"/>
              <w:bottom w:w="20" w:type="dxa"/>
              <w:right w:w="60" w:type="dxa"/>
            </w:tcMar>
            <w:vAlign w:val="top"/>
          </w:tcPr>
          <w:p>
            <w:pPr>
              <w:spacing w:after="10" w:before="0" w:line="240" w:lineRule="auto"/>
            </w:pPr>
            <w:r>
              <w:rPr>
                <w:sz w:val="17"/>
              </w:rPr>
              <w:t>OSI-2026-0001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OPI</w:t>
            </w:r>
          </w:p>
        </w:tc>
        <w:tc>
          <w:tcPr>
            <w:tcW w:type="dxa" w:w="1164"/>
            <w:tcMar>
              <w:top w:w="20" w:type="dxa"/>
              <w:left w:w="60" w:type="dxa"/>
              <w:bottom w:w="20" w:type="dxa"/>
              <w:right w:w="60" w:type="dxa"/>
            </w:tcMar>
            <w:vAlign w:val="top"/>
          </w:tcPr>
          <w:p>
            <w:pPr>
              <w:spacing w:after="10" w:before="0" w:line="240" w:lineRule="auto"/>
            </w:pPr>
            <w:r>
              <w:rPr>
                <w:sz w:val="17"/>
              </w:rPr>
              <w:t>OPI</w:t>
            </w:r>
          </w:p>
        </w:tc>
        <w:tc>
          <w:tcPr>
            <w:tcW w:type="dxa" w:w="3493"/>
            <w:tcMar>
              <w:top w:w="20" w:type="dxa"/>
              <w:left w:w="60" w:type="dxa"/>
              <w:bottom w:w="20" w:type="dxa"/>
              <w:right w:w="60" w:type="dxa"/>
            </w:tcMar>
            <w:vAlign w:val="top"/>
          </w:tcPr>
          <w:p>
            <w:pPr>
              <w:spacing w:after="10" w:before="0" w:line="240" w:lineRule="auto"/>
            </w:pPr>
            <w:r>
              <w:rPr>
                <w:sz w:val="17"/>
              </w:rPr>
              <w:t>Opening purchase invoice</w:t>
            </w:r>
          </w:p>
        </w:tc>
        <w:tc>
          <w:tcPr>
            <w:tcW w:type="dxa" w:w="2037"/>
            <w:tcMar>
              <w:top w:w="20" w:type="dxa"/>
              <w:left w:w="60" w:type="dxa"/>
              <w:bottom w:w="20" w:type="dxa"/>
              <w:right w:w="60" w:type="dxa"/>
            </w:tcMar>
            <w:vAlign w:val="top"/>
          </w:tcPr>
          <w:p>
            <w:pPr>
              <w:spacing w:after="10" w:before="0" w:line="240" w:lineRule="auto"/>
            </w:pPr>
            <w:r>
              <w:rPr>
                <w:sz w:val="17"/>
              </w:rPr>
              <w:t>Posted</w:t>
            </w:r>
          </w:p>
        </w:tc>
        <w:tc>
          <w:tcPr>
            <w:tcW w:type="dxa" w:w="1746"/>
            <w:tcMar>
              <w:top w:w="20" w:type="dxa"/>
              <w:left w:w="60" w:type="dxa"/>
              <w:bottom w:w="20" w:type="dxa"/>
              <w:right w:w="60" w:type="dxa"/>
            </w:tcMar>
            <w:vAlign w:val="top"/>
          </w:tcPr>
          <w:p>
            <w:pPr>
              <w:spacing w:after="10" w:before="0" w:line="240" w:lineRule="auto"/>
            </w:pPr>
            <w:r>
              <w:rPr>
                <w:sz w:val="17"/>
              </w:rPr>
              <w:t>OPI-2026-0001</w:t>
            </w:r>
          </w:p>
        </w:tc>
      </w:tr>
      <w:tr>
        <w:trPr>
          <w:cantSplit w:val="true"/>
        </w:trPr>
        <w:tc>
          <w:tcPr>
            <w:tcW w:type="dxa" w:w="1164"/>
            <w:tcMar>
              <w:top w:w="20" w:type="dxa"/>
              <w:left w:w="60" w:type="dxa"/>
              <w:bottom w:w="20" w:type="dxa"/>
              <w:right w:w="60" w:type="dxa"/>
            </w:tcMar>
            <w:vAlign w:val="top"/>
          </w:tcPr>
          <w:p>
            <w:pPr>
              <w:spacing w:after="10" w:before="0" w:line="240" w:lineRule="auto"/>
            </w:pPr>
            <w:r>
              <w:rPr>
                <w:b/>
                <w:sz w:val="17"/>
              </w:rPr>
              <w:t>OST</w:t>
            </w:r>
          </w:p>
        </w:tc>
        <w:tc>
          <w:tcPr>
            <w:tcW w:type="dxa" w:w="1164"/>
            <w:tcMar>
              <w:top w:w="20" w:type="dxa"/>
              <w:left w:w="60" w:type="dxa"/>
              <w:bottom w:w="20" w:type="dxa"/>
              <w:right w:w="60" w:type="dxa"/>
            </w:tcMar>
            <w:vAlign w:val="top"/>
          </w:tcPr>
          <w:p>
            <w:pPr>
              <w:spacing w:after="10" w:before="0" w:line="240" w:lineRule="auto"/>
            </w:pPr>
            <w:r>
              <w:rPr>
                <w:sz w:val="17"/>
              </w:rPr>
              <w:t>OST</w:t>
            </w:r>
          </w:p>
        </w:tc>
        <w:tc>
          <w:tcPr>
            <w:tcW w:type="dxa" w:w="3493"/>
            <w:tcMar>
              <w:top w:w="20" w:type="dxa"/>
              <w:left w:w="60" w:type="dxa"/>
              <w:bottom w:w="20" w:type="dxa"/>
              <w:right w:w="60" w:type="dxa"/>
            </w:tcMar>
            <w:vAlign w:val="top"/>
          </w:tcPr>
          <w:p>
            <w:pPr>
              <w:spacing w:after="10" w:before="0" w:line="240" w:lineRule="auto"/>
            </w:pPr>
            <w:r>
              <w:rPr>
                <w:sz w:val="17"/>
              </w:rPr>
              <w:t>Opening stock voucher</w:t>
            </w:r>
          </w:p>
        </w:tc>
        <w:tc>
          <w:tcPr>
            <w:tcW w:type="dxa" w:w="2037"/>
            <w:tcMar>
              <w:top w:w="20" w:type="dxa"/>
              <w:left w:w="60" w:type="dxa"/>
              <w:bottom w:w="20" w:type="dxa"/>
              <w:right w:w="60" w:type="dxa"/>
            </w:tcMar>
            <w:vAlign w:val="top"/>
          </w:tcPr>
          <w:p>
            <w:pPr>
              <w:spacing w:after="10" w:before="0" w:line="240" w:lineRule="auto"/>
            </w:pPr>
            <w:r>
              <w:rPr>
                <w:sz w:val="17"/>
              </w:rPr>
              <w:t>Posted</w:t>
            </w:r>
          </w:p>
        </w:tc>
        <w:tc>
          <w:tcPr>
            <w:tcW w:type="dxa" w:w="1746"/>
            <w:tcMar>
              <w:top w:w="20" w:type="dxa"/>
              <w:left w:w="60" w:type="dxa"/>
              <w:bottom w:w="20" w:type="dxa"/>
              <w:right w:w="60" w:type="dxa"/>
            </w:tcMar>
            <w:vAlign w:val="top"/>
          </w:tcPr>
          <w:p>
            <w:pPr>
              <w:spacing w:after="10" w:before="0" w:line="240" w:lineRule="auto"/>
            </w:pPr>
            <w:r>
              <w:rPr>
                <w:sz w:val="17"/>
              </w:rPr>
              <w:t>OST-2026-0001</w:t>
            </w:r>
          </w:p>
        </w:tc>
      </w:tr>
    </w:tbl>
    <w:p>
      <w:pPr>
        <w:spacing w:after="0" w:before="0"/>
        <w:rPr>
          <w:sz w:val="6"/>
        </w:rPr>
      </w:pPr>
    </w:p>
    <w:p>
      <w:pPr>
        <w:pStyle w:val="Heading2"/>
      </w:pPr>
      <w:r>
        <w:t>B.1 Other identifiers</w:t>
      </w:r>
    </w:p>
    <w:p>
      <w:pPr>
        <w:pStyle w:val="Caption"/>
      </w:pPr>
      <w:r>
        <w:t>Table 75. Identifiers outside the number series</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910"/>
        <w:gridCol w:w="6694"/>
      </w:tblGrid>
      <w:tr>
        <w:trPr>
          <w:tblHeader w:val="true"/>
          <w:cantSplit w:val="true"/>
        </w:trPr>
        <w:tc>
          <w:tcPr>
            <w:tcW w:type="dxa" w:w="2911"/>
            <w:shd w:val="clear" w:color="auto" w:fill="1F3A5F"/>
            <w:tcMar>
              <w:top w:w="20" w:type="dxa"/>
              <w:left w:w="60" w:type="dxa"/>
              <w:bottom w:w="20" w:type="dxa"/>
              <w:right w:w="60" w:type="dxa"/>
            </w:tcMar>
            <w:vAlign w:val="center"/>
          </w:tcPr>
          <w:p>
            <w:pPr>
              <w:spacing w:after="10" w:before="0" w:line="240" w:lineRule="auto"/>
            </w:pPr>
            <w:r>
              <w:rPr>
                <w:b/>
                <w:color w:val="FFFFFF"/>
                <w:sz w:val="17"/>
              </w:rPr>
              <w:t>Identifier</w:t>
            </w:r>
          </w:p>
        </w:tc>
        <w:tc>
          <w:tcPr>
            <w:tcW w:type="dxa" w:w="6694"/>
            <w:shd w:val="clear" w:color="auto" w:fill="1F3A5F"/>
            <w:tcMar>
              <w:top w:w="20" w:type="dxa"/>
              <w:left w:w="60" w:type="dxa"/>
              <w:bottom w:w="20" w:type="dxa"/>
              <w:right w:w="60" w:type="dxa"/>
            </w:tcMar>
            <w:vAlign w:val="center"/>
          </w:tcPr>
          <w:p>
            <w:pPr>
              <w:spacing w:after="10" w:before="0" w:line="240" w:lineRule="auto"/>
            </w:pPr>
            <w:r>
              <w:rPr>
                <w:b/>
                <w:color w:val="FFFFFF"/>
                <w:sz w:val="17"/>
              </w:rPr>
              <w:t>Format and rule</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Ledger account code</w:t>
            </w:r>
          </w:p>
        </w:tc>
        <w:tc>
          <w:tcPr>
            <w:tcW w:type="dxa" w:w="6694"/>
            <w:tcMar>
              <w:top w:w="20" w:type="dxa"/>
              <w:left w:w="60" w:type="dxa"/>
              <w:bottom w:w="20" w:type="dxa"/>
              <w:right w:w="60" w:type="dxa"/>
            </w:tcMar>
            <w:vAlign w:val="top"/>
          </w:tcPr>
          <w:p>
            <w:pPr>
              <w:spacing w:after="10" w:before="0" w:line="240" w:lineRule="auto"/>
            </w:pPr>
            <w:r>
              <w:rPr>
                <w:sz w:val="17"/>
              </w:rPr>
              <w:t>Group prefix + four digits from a counter kept on the group (AR0001). The counter never goes below the highest code already in the group.</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Account opening voucher</w:t>
            </w:r>
          </w:p>
        </w:tc>
        <w:tc>
          <w:tcPr>
            <w:tcW w:type="dxa" w:w="6694"/>
            <w:tcMar>
              <w:top w:w="20" w:type="dxa"/>
              <w:left w:w="60" w:type="dxa"/>
              <w:bottom w:w="20" w:type="dxa"/>
              <w:right w:w="60" w:type="dxa"/>
            </w:tcMar>
            <w:vAlign w:val="top"/>
          </w:tcPr>
          <w:p>
            <w:pPr>
              <w:spacing w:after="10" w:before="0" w:line="240" w:lineRule="auto"/>
            </w:pPr>
            <w:r>
              <w:rPr>
                <w:rFonts w:ascii="Consolas" w:hAnsi="Consolas" w:eastAsia="Consolas"/>
                <w:sz w:val="16"/>
              </w:rPr>
              <w:t>OB-&lt;account code&gt;</w:t>
            </w:r>
            <w:r>
              <w:rPr>
                <w:sz w:val="17"/>
              </w:rPr>
              <w:t xml:space="preserve"> (voucher type 'opening'); not from a series.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Cheque clearing</w:t>
            </w:r>
          </w:p>
        </w:tc>
        <w:tc>
          <w:tcPr>
            <w:tcW w:type="dxa" w:w="6694"/>
            <w:tcMar>
              <w:top w:w="20" w:type="dxa"/>
              <w:left w:w="60" w:type="dxa"/>
              <w:bottom w:w="20" w:type="dxa"/>
              <w:right w:w="60" w:type="dxa"/>
            </w:tcMar>
            <w:vAlign w:val="top"/>
          </w:tcPr>
          <w:p>
            <w:pPr>
              <w:spacing w:after="10" w:before="0" w:line="240" w:lineRule="auto"/>
            </w:pPr>
            <w:r>
              <w:rPr>
                <w:sz w:val="17"/>
              </w:rPr>
              <w:t>Reuses the voucher number of the receipt or payment; voucher type 'cheque_clearance'.</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Batch number</w:t>
            </w:r>
          </w:p>
        </w:tc>
        <w:tc>
          <w:tcPr>
            <w:tcW w:type="dxa" w:w="6694"/>
            <w:tcMar>
              <w:top w:w="20" w:type="dxa"/>
              <w:left w:w="60" w:type="dxa"/>
              <w:bottom w:w="20" w:type="dxa"/>
              <w:right w:w="60" w:type="dxa"/>
            </w:tcMar>
            <w:vAlign w:val="top"/>
          </w:tcPr>
          <w:p>
            <w:pPr>
              <w:spacing w:after="10" w:before="0" w:line="240" w:lineRule="auto"/>
            </w:pPr>
            <w:r>
              <w:rPr>
                <w:sz w:val="17"/>
              </w:rPr>
              <w:t xml:space="preserve">The number typed on the line; otherwise </w:t>
            </w:r>
            <w:r>
              <w:rPr>
                <w:rFonts w:ascii="Consolas" w:hAnsi="Consolas" w:eastAsia="Consolas"/>
                <w:sz w:val="16"/>
              </w:rPr>
              <w:t>&lt;document number&gt;-&lt;line&gt;</w:t>
            </w:r>
            <w:r>
              <w:rPr>
                <w:sz w:val="17"/>
              </w:rPr>
              <w:t xml:space="preserve">; an unlinked return uses </w:t>
            </w:r>
            <w:r>
              <w:rPr>
                <w:rFonts w:ascii="Consolas" w:hAnsi="Consolas" w:eastAsia="Consolas"/>
                <w:sz w:val="16"/>
              </w:rPr>
              <w:t>&lt;document number&gt;-R&lt;line&gt;</w:t>
            </w:r>
            <w:r>
              <w:rPr>
                <w:sz w:val="17"/>
              </w:rPr>
              <w:t>.</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Reversal reference (stock)</w:t>
            </w:r>
          </w:p>
        </w:tc>
        <w:tc>
          <w:tcPr>
            <w:tcW w:type="dxa" w:w="6694"/>
            <w:tcMar>
              <w:top w:w="20" w:type="dxa"/>
              <w:left w:w="60" w:type="dxa"/>
              <w:bottom w:w="20" w:type="dxa"/>
              <w:right w:w="60" w:type="dxa"/>
            </w:tcMar>
            <w:vAlign w:val="top"/>
          </w:tcPr>
          <w:p>
            <w:pPr>
              <w:spacing w:after="10" w:before="0" w:line="240" w:lineRule="auto"/>
            </w:pPr>
            <w:r>
              <w:rPr>
                <w:rFonts w:ascii="Consolas" w:hAnsi="Consolas" w:eastAsia="Consolas"/>
                <w:sz w:val="16"/>
              </w:rPr>
              <w:t>REV-&lt;document number&gt;</w:t>
            </w:r>
            <w:r>
              <w:rPr>
                <w:sz w:val="17"/>
              </w:rPr>
              <w:t>; the original movement and the reversal row are both ignored by the stock reports.</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VAT return</w:t>
            </w:r>
          </w:p>
        </w:tc>
        <w:tc>
          <w:tcPr>
            <w:tcW w:type="dxa" w:w="6694"/>
            <w:tcMar>
              <w:top w:w="20" w:type="dxa"/>
              <w:left w:w="60" w:type="dxa"/>
              <w:bottom w:w="20" w:type="dxa"/>
              <w:right w:w="60" w:type="dxa"/>
            </w:tcMar>
            <w:vAlign w:val="top"/>
          </w:tcPr>
          <w:p>
            <w:pPr>
              <w:spacing w:after="10" w:before="0" w:line="240" w:lineRule="auto"/>
            </w:pPr>
            <w:r>
              <w:rPr>
                <w:rFonts w:ascii="Consolas" w:hAnsi="Consolas" w:eastAsia="Consolas"/>
                <w:sz w:val="16"/>
              </w:rPr>
              <w:t>VAT-&lt;from&gt;..&lt;to&gt;</w:t>
            </w:r>
            <w:r>
              <w:rPr>
                <w:sz w:val="17"/>
              </w:rPr>
              <w:t xml:space="preserve"> (for example VAT-2026-07-01..2026-09-30). It is the key of a saved return.</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Customer and vendor codes</w:t>
            </w:r>
          </w:p>
        </w:tc>
        <w:tc>
          <w:tcPr>
            <w:tcW w:type="dxa" w:w="6694"/>
            <w:tcMar>
              <w:top w:w="20" w:type="dxa"/>
              <w:left w:w="60" w:type="dxa"/>
              <w:bottom w:w="20" w:type="dxa"/>
              <w:right w:w="60" w:type="dxa"/>
            </w:tcMar>
            <w:vAlign w:val="top"/>
          </w:tcPr>
          <w:p>
            <w:pPr>
              <w:spacing w:after="10" w:before="0" w:line="240" w:lineRule="auto"/>
            </w:pPr>
            <w:r>
              <w:rPr>
                <w:sz w:val="17"/>
              </w:rPr>
              <w:t>A separate year-based counter (model Sequence) that reuses the numbers of deleted parties. Trade documents and vouchers deliberately do not use it.</w:t>
            </w:r>
          </w:p>
        </w:tc>
      </w:tr>
      <w:tr>
        <w:trPr>
          <w:cantSplit w:val="true"/>
        </w:trPr>
        <w:tc>
          <w:tcPr>
            <w:tcW w:type="dxa" w:w="2911"/>
            <w:tcMar>
              <w:top w:w="20" w:type="dxa"/>
              <w:left w:w="60" w:type="dxa"/>
              <w:bottom w:w="20" w:type="dxa"/>
              <w:right w:w="60" w:type="dxa"/>
            </w:tcMar>
            <w:vAlign w:val="top"/>
          </w:tcPr>
          <w:p>
            <w:pPr>
              <w:spacing w:after="10" w:before="0" w:line="240" w:lineRule="auto"/>
            </w:pPr>
            <w:r>
              <w:rPr>
                <w:b/>
                <w:sz w:val="17"/>
              </w:rPr>
              <w:t>Item code</w:t>
            </w:r>
          </w:p>
        </w:tc>
        <w:tc>
          <w:tcPr>
            <w:tcW w:type="dxa" w:w="6694"/>
            <w:tcMar>
              <w:top w:w="20" w:type="dxa"/>
              <w:left w:w="60" w:type="dxa"/>
              <w:bottom w:w="20" w:type="dxa"/>
              <w:right w:w="60" w:type="dxa"/>
            </w:tcMar>
            <w:vAlign w:val="top"/>
          </w:tcPr>
          <w:p>
            <w:pPr>
              <w:spacing w:after="10" w:before="0" w:line="240" w:lineRule="auto"/>
            </w:pPr>
            <w:r>
              <w:rPr>
                <w:sz w:val="17"/>
              </w:rPr>
              <w:t>Three letters of the item name and a four-digit random number, generated when the item is created (a typed code is not used).</w:t>
            </w:r>
          </w:p>
        </w:tc>
      </w:tr>
    </w:tbl>
    <w:p>
      <w:pPr>
        <w:spacing w:after="0" w:before="0"/>
        <w:rPr>
          <w:sz w:val="6"/>
        </w:rPr>
      </w:pPr>
    </w:p>
    <w:p>
      <w:pPr>
        <w:pStyle w:val="Heading1"/>
        <w:pageBreakBefore/>
      </w:pPr>
      <w:r>
        <w:t>Appendix C Glossary</w:t>
      </w:r>
    </w:p>
    <w:p>
      <w:pPr>
        <w:pStyle w:val="Caption"/>
      </w:pPr>
      <w:r>
        <w:t>Table 76. Glossary</w:t>
      </w:r>
    </w:p>
    <w:tbl>
      <w:tblPr>
        <w:tblW w:type="dxa" w:w="9604"/>
        <w:jc w:val="left"/>
        <w:tblLayout w:type="fixed"/>
        <w:tblLook w:firstColumn="1" w:firstRow="1" w:lastColumn="0" w:lastRow="0" w:noHBand="0" w:noVBand="1" w:val="04A0"/>
        <w:tblBorders>
          <w:top w:val="single" w:sz="4" w:space="0" w:color="B8BFCA"/>
          <w:left w:val="single" w:sz="4" w:space="0" w:color="B8BFCA"/>
          <w:bottom w:val="single" w:sz="4" w:space="0" w:color="B8BFCA"/>
          <w:right w:val="single" w:sz="4" w:space="0" w:color="B8BFCA"/>
          <w:insideH w:val="single" w:sz="4" w:space="0" w:color="B8BFCA"/>
          <w:insideV w:val="single" w:sz="4" w:space="0" w:color="B8BFCA"/>
        </w:tblBorders>
      </w:tblPr>
      <w:tblGrid>
        <w:gridCol w:w="2619"/>
        <w:gridCol w:w="6985"/>
      </w:tblGrid>
      <w:tr>
        <w:trPr>
          <w:tblHeader w:val="true"/>
          <w:cantSplit w:val="true"/>
        </w:trPr>
        <w:tc>
          <w:tcPr>
            <w:tcW w:type="dxa" w:w="2619"/>
            <w:shd w:val="clear" w:color="auto" w:fill="1F3A5F"/>
            <w:tcMar>
              <w:top w:w="20" w:type="dxa"/>
              <w:left w:w="60" w:type="dxa"/>
              <w:bottom w:w="20" w:type="dxa"/>
              <w:right w:w="60" w:type="dxa"/>
            </w:tcMar>
            <w:vAlign w:val="center"/>
          </w:tcPr>
          <w:p>
            <w:pPr>
              <w:spacing w:after="10" w:before="0" w:line="240" w:lineRule="auto"/>
            </w:pPr>
            <w:r>
              <w:rPr>
                <w:b/>
                <w:color w:val="FFFFFF"/>
                <w:sz w:val="17"/>
              </w:rPr>
              <w:t>Term</w:t>
            </w:r>
          </w:p>
        </w:tc>
        <w:tc>
          <w:tcPr>
            <w:tcW w:type="dxa" w:w="6985"/>
            <w:shd w:val="clear" w:color="auto" w:fill="1F3A5F"/>
            <w:tcMar>
              <w:top w:w="20" w:type="dxa"/>
              <w:left w:w="60" w:type="dxa"/>
              <w:bottom w:w="20" w:type="dxa"/>
              <w:right w:w="60" w:type="dxa"/>
            </w:tcMar>
            <w:vAlign w:val="center"/>
          </w:tcPr>
          <w:p>
            <w:pPr>
              <w:spacing w:after="10" w:before="0" w:line="240" w:lineRule="auto"/>
            </w:pPr>
            <w:r>
              <w:rPr>
                <w:b/>
                <w:color w:val="FFFFFF"/>
                <w:sz w:val="17"/>
              </w:rPr>
              <w:t>Meaning in this document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Account group</w:t>
            </w:r>
          </w:p>
        </w:tc>
        <w:tc>
          <w:tcPr>
            <w:tcW w:type="dxa" w:w="6985"/>
            <w:tcMar>
              <w:top w:w="20" w:type="dxa"/>
              <w:left w:w="60" w:type="dxa"/>
              <w:bottom w:w="20" w:type="dxa"/>
              <w:right w:w="60" w:type="dxa"/>
            </w:tcMar>
            <w:vAlign w:val="top"/>
          </w:tcPr>
          <w:p>
            <w:pPr>
              <w:spacing w:after="10" w:before="0" w:line="240" w:lineRule="auto"/>
            </w:pPr>
            <w:r>
              <w:rPr>
                <w:sz w:val="17"/>
              </w:rPr>
              <w:t>A node in the chart tree. It has a category, a prefix for account codes and may have a parent group.</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Advance</w:t>
            </w:r>
          </w:p>
        </w:tc>
        <w:tc>
          <w:tcPr>
            <w:tcW w:type="dxa" w:w="6985"/>
            <w:tcMar>
              <w:top w:w="20" w:type="dxa"/>
              <w:left w:w="60" w:type="dxa"/>
              <w:bottom w:w="20" w:type="dxa"/>
              <w:right w:w="60" w:type="dxa"/>
            </w:tcMar>
            <w:vAlign w:val="top"/>
          </w:tcPr>
          <w:p>
            <w:pPr>
              <w:spacing w:after="10" w:before="0" w:line="240" w:lineRule="auto"/>
            </w:pPr>
            <w:r>
              <w:rPr>
                <w:sz w:val="17"/>
              </w:rPr>
              <w:t>Money received from a customer or paid to a vendor that is not set against an invoice. Held on a separate party account.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Allocation</w:t>
            </w:r>
          </w:p>
        </w:tc>
        <w:tc>
          <w:tcPr>
            <w:tcW w:type="dxa" w:w="6985"/>
            <w:tcMar>
              <w:top w:w="20" w:type="dxa"/>
              <w:left w:w="60" w:type="dxa"/>
              <w:bottom w:w="20" w:type="dxa"/>
              <w:right w:w="60" w:type="dxa"/>
            </w:tcMar>
            <w:vAlign w:val="top"/>
          </w:tcPr>
          <w:p>
            <w:pPr>
              <w:spacing w:after="10" w:before="0" w:line="240" w:lineRule="auto"/>
            </w:pPr>
            <w:r>
              <w:rPr>
                <w:sz w:val="17"/>
              </w:rPr>
              <w:t>Setting part of a receipt or payment against an invoice, which reduces the invoice's outstanding amount.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Approved</w:t>
            </w:r>
          </w:p>
        </w:tc>
        <w:tc>
          <w:tcPr>
            <w:tcW w:type="dxa" w:w="6985"/>
            <w:tcMar>
              <w:top w:w="20" w:type="dxa"/>
              <w:left w:w="60" w:type="dxa"/>
              <w:bottom w:w="20" w:type="dxa"/>
              <w:right w:w="60" w:type="dxa"/>
            </w:tcMar>
            <w:vAlign w:val="top"/>
          </w:tcPr>
          <w:p>
            <w:pPr>
              <w:spacing w:after="10" w:before="0" w:line="240" w:lineRule="auto"/>
            </w:pPr>
            <w:r>
              <w:rPr>
                <w:sz w:val="17"/>
              </w:rPr>
              <w:t>A trade document that has been approved and so has moved stock and posted to the ledger. Also a voucher that has been posted.</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Box</w:t>
            </w:r>
          </w:p>
        </w:tc>
        <w:tc>
          <w:tcPr>
            <w:tcW w:type="dxa" w:w="6985"/>
            <w:tcMar>
              <w:top w:w="20" w:type="dxa"/>
              <w:left w:w="60" w:type="dxa"/>
              <w:bottom w:w="20" w:type="dxa"/>
              <w:right w:w="60" w:type="dxa"/>
            </w:tcMar>
            <w:vAlign w:val="top"/>
          </w:tcPr>
          <w:p>
            <w:pPr>
              <w:spacing w:after="10" w:before="0" w:line="240" w:lineRule="auto"/>
            </w:pPr>
            <w:r>
              <w:rPr>
                <w:sz w:val="17"/>
              </w:rPr>
              <w:t>A numbered field of the UAE VAT return (form VAT 201).</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Category</w:t>
            </w:r>
          </w:p>
        </w:tc>
        <w:tc>
          <w:tcPr>
            <w:tcW w:type="dxa" w:w="6985"/>
            <w:tcMar>
              <w:top w:w="20" w:type="dxa"/>
              <w:left w:w="60" w:type="dxa"/>
              <w:bottom w:w="20" w:type="dxa"/>
              <w:right w:w="60" w:type="dxa"/>
            </w:tcMar>
            <w:vAlign w:val="top"/>
          </w:tcPr>
          <w:p>
            <w:pPr>
              <w:spacing w:after="10" w:before="0" w:line="240" w:lineRule="auto"/>
            </w:pPr>
            <w:r>
              <w:rPr>
                <w:sz w:val="17"/>
              </w:rPr>
              <w:t>ASSET, LIABILITY, EQUITY, INCOME or EXPENSE: decides which side of the account is its natural balance.</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Configuration key</w:t>
            </w:r>
          </w:p>
        </w:tc>
        <w:tc>
          <w:tcPr>
            <w:tcW w:type="dxa" w:w="6985"/>
            <w:tcMar>
              <w:top w:w="20" w:type="dxa"/>
              <w:left w:w="60" w:type="dxa"/>
              <w:bottom w:w="20" w:type="dxa"/>
              <w:right w:w="60" w:type="dxa"/>
            </w:tcMar>
            <w:vAlign w:val="top"/>
          </w:tcPr>
          <w:p>
            <w:pPr>
              <w:spacing w:after="10" w:before="0" w:line="240" w:lineRule="auto"/>
            </w:pPr>
            <w:r>
              <w:rPr>
                <w:sz w:val="17"/>
              </w:rPr>
              <w:t xml:space="preserve">The name by which posting code asks for an account or group, for example </w:t>
            </w:r>
            <w:r>
              <w:rPr>
                <w:rFonts w:ascii="Consolas" w:hAnsi="Consolas" w:eastAsia="Consolas"/>
                <w:sz w:val="16"/>
              </w:rPr>
              <w:t>vat-sales</w:t>
            </w:r>
            <w:r>
              <w:rPr>
                <w:sz w:val="17"/>
              </w:rPr>
              <w: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Cost of goods</w:t>
            </w:r>
          </w:p>
        </w:tc>
        <w:tc>
          <w:tcPr>
            <w:tcW w:type="dxa" w:w="6985"/>
            <w:tcMar>
              <w:top w:w="20" w:type="dxa"/>
              <w:left w:w="60" w:type="dxa"/>
              <w:bottom w:w="20" w:type="dxa"/>
              <w:right w:w="60" w:type="dxa"/>
            </w:tcMar>
            <w:vAlign w:val="top"/>
          </w:tcPr>
          <w:p>
            <w:pPr>
              <w:spacing w:after="10" w:before="0" w:line="240" w:lineRule="auto"/>
            </w:pPr>
            <w:r>
              <w:rPr>
                <w:sz w:val="17"/>
              </w:rPr>
              <w:t>The cost of the stock that left on a sale, at the average cost at that moment.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Dubai day</w:t>
            </w:r>
          </w:p>
        </w:tc>
        <w:tc>
          <w:tcPr>
            <w:tcW w:type="dxa" w:w="6985"/>
            <w:tcMar>
              <w:top w:w="20" w:type="dxa"/>
              <w:left w:w="60" w:type="dxa"/>
              <w:bottom w:w="20" w:type="dxa"/>
              <w:right w:w="60" w:type="dxa"/>
            </w:tcMar>
            <w:vAlign w:val="top"/>
          </w:tcPr>
          <w:p>
            <w:pPr>
              <w:spacing w:after="10" w:before="0" w:line="240" w:lineRule="auto"/>
            </w:pPr>
            <w:r>
              <w:rPr>
                <w:sz w:val="17"/>
              </w:rPr>
              <w:t>A calendar day in UTC+4, from 00:00:00.000 to 23:59:59.999.</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FEFO</w:t>
            </w:r>
          </w:p>
        </w:tc>
        <w:tc>
          <w:tcPr>
            <w:tcW w:type="dxa" w:w="6985"/>
            <w:tcMar>
              <w:top w:w="20" w:type="dxa"/>
              <w:left w:w="60" w:type="dxa"/>
              <w:bottom w:w="20" w:type="dxa"/>
              <w:right w:w="60" w:type="dxa"/>
            </w:tcMar>
            <w:vAlign w:val="top"/>
          </w:tcPr>
          <w:p>
            <w:pPr>
              <w:spacing w:after="10" w:before="0" w:line="240" w:lineRule="auto"/>
            </w:pPr>
            <w:r>
              <w:rPr>
                <w:sz w:val="17"/>
              </w:rPr>
              <w:t>First expiry, first out: batches with the earliest expiry are used first.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Fiscal year</w:t>
            </w:r>
          </w:p>
        </w:tc>
        <w:tc>
          <w:tcPr>
            <w:tcW w:type="dxa" w:w="6985"/>
            <w:tcMar>
              <w:top w:w="20" w:type="dxa"/>
              <w:left w:w="60" w:type="dxa"/>
              <w:bottom w:w="20" w:type="dxa"/>
              <w:right w:w="60" w:type="dxa"/>
            </w:tcMar>
            <w:vAlign w:val="top"/>
          </w:tcPr>
          <w:p>
            <w:pPr>
              <w:spacing w:after="10" w:before="0" w:line="240" w:lineRule="auto"/>
            </w:pPr>
            <w:r>
              <w:rPr>
                <w:sz w:val="17"/>
              </w:rPr>
              <w:t>A period with a code, a start and an end date and a status (open or closed). A closed year accepts no postings.</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Group role</w:t>
            </w:r>
          </w:p>
        </w:tc>
        <w:tc>
          <w:tcPr>
            <w:tcW w:type="dxa" w:w="6985"/>
            <w:tcMar>
              <w:top w:w="20" w:type="dxa"/>
              <w:left w:w="60" w:type="dxa"/>
              <w:bottom w:w="20" w:type="dxa"/>
              <w:right w:w="60" w:type="dxa"/>
            </w:tcMar>
            <w:vAlign w:val="top"/>
          </w:tcPr>
          <w:p>
            <w:pPr>
              <w:spacing w:after="10" w:before="0" w:line="240" w:lineRule="auto"/>
            </w:pPr>
            <w:r>
              <w:rPr>
                <w:sz w:val="17"/>
              </w:rPr>
              <w:t>cash, bank, receivable, payable, creditCard or other: what an account group holds, worked out from the posting map.</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Implicit opening</w:t>
            </w:r>
          </w:p>
        </w:tc>
        <w:tc>
          <w:tcPr>
            <w:tcW w:type="dxa" w:w="6985"/>
            <w:tcMar>
              <w:top w:w="20" w:type="dxa"/>
              <w:left w:w="60" w:type="dxa"/>
              <w:bottom w:w="20" w:type="dxa"/>
              <w:right w:w="60" w:type="dxa"/>
            </w:tcMar>
            <w:vAlign w:val="top"/>
          </w:tcPr>
          <w:p>
            <w:pPr>
              <w:spacing w:after="10" w:before="0" w:line="240" w:lineRule="auto"/>
            </w:pPr>
            <w:r>
              <w:rPr>
                <w:sz w:val="17"/>
              </w:rPr>
              <w:t>Stock that existed before the first recorded movement of an item.</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Live entry or movement</w:t>
            </w:r>
          </w:p>
        </w:tc>
        <w:tc>
          <w:tcPr>
            <w:tcW w:type="dxa" w:w="6985"/>
            <w:tcMar>
              <w:top w:w="20" w:type="dxa"/>
              <w:left w:w="60" w:type="dxa"/>
              <w:bottom w:w="20" w:type="dxa"/>
              <w:right w:w="60" w:type="dxa"/>
            </w:tcMar>
            <w:vAlign w:val="top"/>
          </w:tcPr>
          <w:p>
            <w:pPr>
              <w:spacing w:after="10" w:before="0" w:line="240" w:lineRule="auto"/>
            </w:pPr>
            <w:r>
              <w:rPr>
                <w:sz w:val="17"/>
              </w:rPr>
              <w:t>One that has not been reversed and is not itself a reversal.</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Natural balance</w:t>
            </w:r>
          </w:p>
        </w:tc>
        <w:tc>
          <w:tcPr>
            <w:tcW w:type="dxa" w:w="6985"/>
            <w:tcMar>
              <w:top w:w="20" w:type="dxa"/>
              <w:left w:w="60" w:type="dxa"/>
              <w:bottom w:w="20" w:type="dxa"/>
              <w:right w:w="60" w:type="dxa"/>
            </w:tcMar>
            <w:vAlign w:val="top"/>
          </w:tcPr>
          <w:p>
            <w:pPr>
              <w:spacing w:after="10" w:before="0" w:line="240" w:lineRule="auto"/>
            </w:pPr>
            <w:r>
              <w:rPr>
                <w:sz w:val="17"/>
              </w:rPr>
              <w:t>Debit - credit for assets and expenses; credit - debit for liabilities, equity and income.</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Net (debit - credit)</w:t>
            </w:r>
          </w:p>
        </w:tc>
        <w:tc>
          <w:tcPr>
            <w:tcW w:type="dxa" w:w="6985"/>
            <w:tcMar>
              <w:top w:w="20" w:type="dxa"/>
              <w:left w:w="60" w:type="dxa"/>
              <w:bottom w:w="20" w:type="dxa"/>
              <w:right w:w="60" w:type="dxa"/>
            </w:tcMar>
            <w:vAlign w:val="top"/>
          </w:tcPr>
          <w:p>
            <w:pPr>
              <w:spacing w:after="10" w:before="0" w:line="240" w:lineRule="auto"/>
            </w:pPr>
            <w:r>
              <w:rPr>
                <w:sz w:val="17"/>
              </w:rPr>
              <w:t>The signed form used by reports that add debits and credits: positive is debit.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Opening Balance Equity</w:t>
            </w:r>
          </w:p>
        </w:tc>
        <w:tc>
          <w:tcPr>
            <w:tcW w:type="dxa" w:w="6985"/>
            <w:tcMar>
              <w:top w:w="20" w:type="dxa"/>
              <w:left w:w="60" w:type="dxa"/>
              <w:bottom w:w="20" w:type="dxa"/>
              <w:right w:w="60" w:type="dxa"/>
            </w:tcMar>
            <w:vAlign w:val="top"/>
          </w:tcPr>
          <w:p>
            <w:pPr>
              <w:spacing w:after="10" w:before="0" w:line="240" w:lineRule="auto"/>
            </w:pPr>
            <w:r>
              <w:rPr>
                <w:sz w:val="17"/>
              </w:rPr>
              <w:t>The equity account against which all opening balances are posted.</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Outstanding amount</w:t>
            </w:r>
          </w:p>
        </w:tc>
        <w:tc>
          <w:tcPr>
            <w:tcW w:type="dxa" w:w="6985"/>
            <w:tcMar>
              <w:top w:w="20" w:type="dxa"/>
              <w:left w:w="60" w:type="dxa"/>
              <w:bottom w:w="20" w:type="dxa"/>
              <w:right w:w="60" w:type="dxa"/>
            </w:tcMar>
            <w:vAlign w:val="top"/>
          </w:tcPr>
          <w:p>
            <w:pPr>
              <w:spacing w:after="10" w:before="0" w:line="240" w:lineRule="auto"/>
            </w:pPr>
            <w:r>
              <w:rPr>
                <w:sz w:val="17"/>
              </w:rPr>
              <w:t>Total of an invoice less what has been set against it.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Posting map</w:t>
            </w:r>
          </w:p>
        </w:tc>
        <w:tc>
          <w:tcPr>
            <w:tcW w:type="dxa" w:w="6985"/>
            <w:tcMar>
              <w:top w:w="20" w:type="dxa"/>
              <w:left w:w="60" w:type="dxa"/>
              <w:bottom w:w="20" w:type="dxa"/>
              <w:right w:w="60" w:type="dxa"/>
            </w:tcMar>
            <w:vAlign w:val="top"/>
          </w:tcPr>
          <w:p>
            <w:pPr>
              <w:spacing w:after="10" w:before="0" w:line="240" w:lineRule="auto"/>
            </w:pPr>
            <w:r>
              <w:rPr>
                <w:sz w:val="17"/>
              </w:rPr>
              <w:t>The company's choice of account or group for each configuration key.</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Posting switch</w:t>
            </w:r>
          </w:p>
        </w:tc>
        <w:tc>
          <w:tcPr>
            <w:tcW w:type="dxa" w:w="6985"/>
            <w:tcMar>
              <w:top w:w="20" w:type="dxa"/>
              <w:left w:w="60" w:type="dxa"/>
              <w:bottom w:w="20" w:type="dxa"/>
              <w:right w:w="60" w:type="dxa"/>
            </w:tcMar>
            <w:vAlign w:val="top"/>
          </w:tcPr>
          <w:p>
            <w:pPr>
              <w:spacing w:after="10" w:before="0" w:line="240" w:lineRule="auto"/>
            </w:pPr>
            <w:r>
              <w:rPr>
                <w:sz w:val="17"/>
              </w:rPr>
              <w:t>The company setting that lets trade documents post to the ledger.</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Reverse charge</w:t>
            </w:r>
          </w:p>
        </w:tc>
        <w:tc>
          <w:tcPr>
            <w:tcW w:type="dxa" w:w="6985"/>
            <w:tcMar>
              <w:top w:w="20" w:type="dxa"/>
              <w:left w:w="60" w:type="dxa"/>
              <w:bottom w:w="20" w:type="dxa"/>
              <w:right w:w="60" w:type="dxa"/>
            </w:tcMar>
            <w:vAlign w:val="top"/>
          </w:tcPr>
          <w:p>
            <w:pPr>
              <w:spacing w:after="10" w:before="0" w:line="240" w:lineRule="auto"/>
            </w:pPr>
            <w:r>
              <w:rPr>
                <w:sz w:val="17"/>
              </w:rPr>
              <w:t>A VAT mechanism where the buyer accounts for the VAT; reported in boxes 3 and 10.</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Reversed</w:t>
            </w:r>
          </w:p>
        </w:tc>
        <w:tc>
          <w:tcPr>
            <w:tcW w:type="dxa" w:w="6985"/>
            <w:tcMar>
              <w:top w:w="20" w:type="dxa"/>
              <w:left w:w="60" w:type="dxa"/>
              <w:bottom w:w="20" w:type="dxa"/>
              <w:right w:w="60" w:type="dxa"/>
            </w:tcMar>
            <w:vAlign w:val="top"/>
          </w:tcPr>
          <w:p>
            <w:pPr>
              <w:spacing w:after="10" w:before="0" w:line="240" w:lineRule="auto"/>
            </w:pPr>
            <w:r>
              <w:rPr>
                <w:sz w:val="17"/>
              </w:rPr>
              <w:t>An entry that has been cancelled by a mirror entry; ignored by reports.</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Round-off</w:t>
            </w:r>
          </w:p>
        </w:tc>
        <w:tc>
          <w:tcPr>
            <w:tcW w:type="dxa" w:w="6985"/>
            <w:tcMar>
              <w:top w:w="20" w:type="dxa"/>
              <w:left w:w="60" w:type="dxa"/>
              <w:bottom w:w="20" w:type="dxa"/>
              <w:right w:w="60" w:type="dxa"/>
            </w:tcMar>
            <w:vAlign w:val="top"/>
          </w:tcPr>
          <w:p>
            <w:pPr>
              <w:spacing w:after="10" w:before="0" w:line="240" w:lineRule="auto"/>
            </w:pPr>
            <w:r>
              <w:rPr>
                <w:sz w:val="17"/>
              </w:rPr>
              <w:t>A small difference between a document's computed total and its entered total, kept as an explicit amount.</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Tax code</w:t>
            </w:r>
          </w:p>
        </w:tc>
        <w:tc>
          <w:tcPr>
            <w:tcW w:type="dxa" w:w="6985"/>
            <w:tcMar>
              <w:top w:w="20" w:type="dxa"/>
              <w:left w:w="60" w:type="dxa"/>
              <w:bottom w:w="20" w:type="dxa"/>
              <w:right w:w="60" w:type="dxa"/>
            </w:tcMar>
            <w:vAlign w:val="top"/>
          </w:tcPr>
          <w:p>
            <w:pPr>
              <w:spacing w:after="10" w:before="0" w:line="240" w:lineRule="auto"/>
            </w:pPr>
            <w:r>
              <w:rPr>
                <w:sz w:val="17"/>
              </w:rPr>
              <w:t>A named tax treatment with a kind, a rate and an optional rate history.</w:t>
            </w:r>
          </w:p>
        </w:tc>
      </w:tr>
      <w:tr>
        <w:trPr>
          <w:cantSplit w:val="true"/>
        </w:trPr>
        <w:tc>
          <w:tcPr>
            <w:tcW w:type="dxa" w:w="2619"/>
            <w:tcMar>
              <w:top w:w="20" w:type="dxa"/>
              <w:left w:w="60" w:type="dxa"/>
              <w:bottom w:w="20" w:type="dxa"/>
              <w:right w:w="60" w:type="dxa"/>
            </w:tcMar>
            <w:vAlign w:val="top"/>
          </w:tcPr>
          <w:p>
            <w:pPr>
              <w:spacing w:after="10" w:before="0" w:line="240" w:lineRule="auto"/>
            </w:pPr>
            <w:r>
              <w:rPr>
                <w:b/>
                <w:sz w:val="17"/>
              </w:rPr>
              <w:t>Weighted-average cost</w:t>
            </w:r>
          </w:p>
        </w:tc>
        <w:tc>
          <w:tcPr>
            <w:tcW w:type="dxa" w:w="6985"/>
            <w:tcMar>
              <w:top w:w="20" w:type="dxa"/>
              <w:left w:w="60" w:type="dxa"/>
              <w:bottom w:w="20" w:type="dxa"/>
              <w:right w:w="60" w:type="dxa"/>
            </w:tcMar>
            <w:vAlign w:val="top"/>
          </w:tcPr>
          <w:p>
            <w:pPr>
              <w:spacing w:after="10" w:before="0" w:line="240" w:lineRule="auto"/>
            </w:pPr>
            <w:r>
              <w:rPr>
                <w:sz w:val="17"/>
              </w:rPr>
              <w:t>Total cost on hand divided by quantity on hand, recalculated on each purchase; a sale does not change it.</w:t>
            </w:r>
          </w:p>
        </w:tc>
      </w:tr>
    </w:tbl>
    <w:p>
      <w:pPr>
        <w:spacing w:after="0" w:before="0"/>
        <w:rPr>
          <w:sz w:val="6"/>
        </w:rPr>
      </w:pPr>
    </w:p>
    <w:sectPr w:rsidR="00FC693F" w:rsidRPr="0006063C" w:rsidSect="00034616">
      <w:headerReference w:type="default" r:id="rId17"/>
      <w:footerReference w:type="default" r:id="rId18"/>
      <w:pgSz w:w="11909" w:h="16834"/>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right"/>
      </w:tabs>
      <w:pBdr>
        <w:top w:val="single" w:sz="4" w:space="4" w:color="B8BFCA"/>
      </w:pBdr>
    </w:pPr>
    <w:r>
      <w:rPr>
        <w:color w:val="4B5563"/>
        <w:sz w:val="17"/>
      </w:rPr>
      <w:t>5 October 2026</w:t>
    </w:r>
    <w:r>
      <w:rPr>
        <w:color w:val="4B5563"/>
        <w:sz w:val="17"/>
      </w:rPr>
      <w:tab/>
      <w:t xml:space="preserve">Page </w:t>
    </w:r>
    <w:r>
      <w:rPr>
        <w:b w:val="0"/>
        <w:color w:val="4B5563"/>
        <w:sz w:val="17"/>
      </w:rPr>
      <w:fldChar w:fldCharType="begin"/>
    </w:r>
    <w:r>
      <w:rPr>
        <w:b w:val="0"/>
        <w:color w:val="4B5563"/>
        <w:sz w:val="17"/>
      </w:rPr>
      <w:instrText xml:space="preserve"> PAGE </w:instrText>
    </w:r>
    <w:r>
      <w:rPr>
        <w:b w:val="0"/>
        <w:color w:val="4B5563"/>
        <w:sz w:val="17"/>
      </w:rPr>
      <w:fldChar w:fldCharType="separate"/>
    </w:r>
    <w:r>
      <w:rPr>
        <w:b w:val="0"/>
        <w:color w:val="4B5563"/>
        <w:sz w:val="17"/>
      </w:rPr>
      <w:t>1</w:t>
    </w:r>
    <w:r>
      <w:rPr>
        <w:b w:val="0"/>
        <w:color w:val="4B5563"/>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30" w:val="right"/>
      </w:tabs>
      <w:pBdr>
        <w:top w:val="single" w:sz="4" w:space="4" w:color="B8BFCA"/>
      </w:pBdr>
    </w:pPr>
    <w:r>
      <w:rPr>
        <w:color w:val="4B5563"/>
        <w:sz w:val="17"/>
      </w:rPr>
      <w:t>5 October 2026</w:t>
    </w:r>
    <w:r>
      <w:rPr>
        <w:color w:val="4B5563"/>
        <w:sz w:val="17"/>
      </w:rPr>
      <w:tab/>
      <w:t xml:space="preserve">Page </w:t>
    </w:r>
    <w:r>
      <w:rPr>
        <w:b w:val="0"/>
        <w:color w:val="4B5563"/>
        <w:sz w:val="17"/>
      </w:rPr>
      <w:fldChar w:fldCharType="begin"/>
    </w:r>
    <w:r>
      <w:rPr>
        <w:b w:val="0"/>
        <w:color w:val="4B5563"/>
        <w:sz w:val="17"/>
      </w:rPr>
      <w:instrText xml:space="preserve"> PAGE </w:instrText>
    </w:r>
    <w:r>
      <w:rPr>
        <w:b w:val="0"/>
        <w:color w:val="4B5563"/>
        <w:sz w:val="17"/>
      </w:rPr>
      <w:fldChar w:fldCharType="separate"/>
    </w:r>
    <w:r>
      <w:rPr>
        <w:b w:val="0"/>
        <w:color w:val="4B5563"/>
        <w:sz w:val="17"/>
      </w:rPr>
      <w:t>1</w:t>
    </w:r>
    <w:r>
      <w:rPr>
        <w:b w:val="0"/>
        <w:color w:val="4B5563"/>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right"/>
      </w:tabs>
      <w:pBdr>
        <w:top w:val="single" w:sz="4" w:space="4" w:color="B8BFCA"/>
      </w:pBdr>
    </w:pPr>
    <w:r>
      <w:rPr>
        <w:color w:val="4B5563"/>
        <w:sz w:val="17"/>
      </w:rPr>
      <w:t>5 October 2026</w:t>
    </w:r>
    <w:r>
      <w:rPr>
        <w:color w:val="4B5563"/>
        <w:sz w:val="17"/>
      </w:rPr>
      <w:tab/>
      <w:t xml:space="preserve">Page </w:t>
    </w:r>
    <w:r>
      <w:rPr>
        <w:b w:val="0"/>
        <w:color w:val="4B5563"/>
        <w:sz w:val="17"/>
      </w:rPr>
      <w:fldChar w:fldCharType="begin"/>
    </w:r>
    <w:r>
      <w:rPr>
        <w:b w:val="0"/>
        <w:color w:val="4B5563"/>
        <w:sz w:val="17"/>
      </w:rPr>
      <w:instrText xml:space="preserve"> PAGE </w:instrText>
    </w:r>
    <w:r>
      <w:rPr>
        <w:b w:val="0"/>
        <w:color w:val="4B5563"/>
        <w:sz w:val="17"/>
      </w:rPr>
      <w:fldChar w:fldCharType="separate"/>
    </w:r>
    <w:r>
      <w:rPr>
        <w:b w:val="0"/>
        <w:color w:val="4B5563"/>
        <w:sz w:val="17"/>
      </w:rPr>
      <w:t>1</w:t>
    </w:r>
    <w:r>
      <w:rPr>
        <w:b w:val="0"/>
        <w:color w:val="4B5563"/>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30" w:val="right"/>
      </w:tabs>
      <w:pBdr>
        <w:top w:val="single" w:sz="4" w:space="4" w:color="B8BFCA"/>
      </w:pBdr>
    </w:pPr>
    <w:r>
      <w:rPr>
        <w:color w:val="4B5563"/>
        <w:sz w:val="17"/>
      </w:rPr>
      <w:t>5 October 2026</w:t>
    </w:r>
    <w:r>
      <w:rPr>
        <w:color w:val="4B5563"/>
        <w:sz w:val="17"/>
      </w:rPr>
      <w:tab/>
      <w:t xml:space="preserve">Page </w:t>
    </w:r>
    <w:r>
      <w:rPr>
        <w:b w:val="0"/>
        <w:color w:val="4B5563"/>
        <w:sz w:val="17"/>
      </w:rPr>
      <w:fldChar w:fldCharType="begin"/>
    </w:r>
    <w:r>
      <w:rPr>
        <w:b w:val="0"/>
        <w:color w:val="4B5563"/>
        <w:sz w:val="17"/>
      </w:rPr>
      <w:instrText xml:space="preserve"> PAGE </w:instrText>
    </w:r>
    <w:r>
      <w:rPr>
        <w:b w:val="0"/>
        <w:color w:val="4B5563"/>
        <w:sz w:val="17"/>
      </w:rPr>
      <w:fldChar w:fldCharType="separate"/>
    </w:r>
    <w:r>
      <w:rPr>
        <w:b w:val="0"/>
        <w:color w:val="4B5563"/>
        <w:sz w:val="17"/>
      </w:rPr>
      <w:t>1</w:t>
    </w:r>
    <w:r>
      <w:rPr>
        <w:b w:val="0"/>
        <w:color w:val="4B5563"/>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right"/>
      </w:tabs>
      <w:pBdr>
        <w:top w:val="single" w:sz="4" w:space="4" w:color="B8BFCA"/>
      </w:pBdr>
    </w:pPr>
    <w:r>
      <w:rPr>
        <w:color w:val="4B5563"/>
        <w:sz w:val="17"/>
      </w:rPr>
      <w:t>5 October 2026</w:t>
    </w:r>
    <w:r>
      <w:rPr>
        <w:color w:val="4B5563"/>
        <w:sz w:val="17"/>
      </w:rPr>
      <w:tab/>
      <w:t xml:space="preserve">Page </w:t>
    </w:r>
    <w:r>
      <w:rPr>
        <w:b w:val="0"/>
        <w:color w:val="4B5563"/>
        <w:sz w:val="17"/>
      </w:rPr>
      <w:fldChar w:fldCharType="begin"/>
    </w:r>
    <w:r>
      <w:rPr>
        <w:b w:val="0"/>
        <w:color w:val="4B5563"/>
        <w:sz w:val="17"/>
      </w:rPr>
      <w:instrText xml:space="preserve"> PAGE </w:instrText>
    </w:r>
    <w:r>
      <w:rPr>
        <w:b w:val="0"/>
        <w:color w:val="4B5563"/>
        <w:sz w:val="17"/>
      </w:rPr>
      <w:fldChar w:fldCharType="separate"/>
    </w:r>
    <w:r>
      <w:rPr>
        <w:b w:val="0"/>
        <w:color w:val="4B5563"/>
        <w:sz w:val="17"/>
      </w:rPr>
      <w:t>1</w:t>
    </w:r>
    <w:r>
      <w:rPr>
        <w:b w:val="0"/>
        <w:color w:val="4B5563"/>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05" w:val="right"/>
      </w:tabs>
      <w:pBdr>
        <w:bottom w:val="single" w:sz="4" w:space="4" w:color="B8BFCA"/>
      </w:pBdr>
    </w:pPr>
    <w:r>
      <w:rPr>
        <w:color w:val="4B5563"/>
        <w:sz w:val="17"/>
      </w:rPr>
      <w:t>Trade ERP - Reports Logic, Account Configuration Mapping and Posting Flows</w:t>
    </w:r>
    <w:r>
      <w:rPr>
        <w:color w:val="4B5563"/>
        <w:sz w:val="17"/>
      </w:rPr>
      <w:tab/>
      <w:t>Draft for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530" w:val="right"/>
      </w:tabs>
      <w:pBdr>
        <w:bottom w:val="single" w:sz="4" w:space="4" w:color="B8BFCA"/>
      </w:pBdr>
    </w:pPr>
    <w:r>
      <w:rPr>
        <w:color w:val="4B5563"/>
        <w:sz w:val="17"/>
      </w:rPr>
      <w:t>Trade ERP - Reports Logic, Account Configuration Mapping and Posting Flows</w:t>
    </w:r>
    <w:r>
      <w:rPr>
        <w:color w:val="4B5563"/>
        <w:sz w:val="17"/>
      </w:rPr>
      <w:tab/>
      <w:t>Draft for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05" w:val="right"/>
      </w:tabs>
      <w:pBdr>
        <w:bottom w:val="single" w:sz="4" w:space="4" w:color="B8BFCA"/>
      </w:pBdr>
    </w:pPr>
    <w:r>
      <w:rPr>
        <w:color w:val="4B5563"/>
        <w:sz w:val="17"/>
      </w:rPr>
      <w:t>Trade ERP - Reports Logic, Account Configuration Mapping and Posting Flows</w:t>
    </w:r>
    <w:r>
      <w:rPr>
        <w:color w:val="4B5563"/>
        <w:sz w:val="17"/>
      </w:rPr>
      <w:tab/>
      <w:t>Draft for review</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530" w:val="right"/>
      </w:tabs>
      <w:pBdr>
        <w:bottom w:val="single" w:sz="4" w:space="4" w:color="B8BFCA"/>
      </w:pBdr>
    </w:pPr>
    <w:r>
      <w:rPr>
        <w:color w:val="4B5563"/>
        <w:sz w:val="17"/>
      </w:rPr>
      <w:t>Trade ERP - Reports Logic, Account Configuration Mapping and Posting Flows</w:t>
    </w:r>
    <w:r>
      <w:rPr>
        <w:color w:val="4B5563"/>
        <w:sz w:val="17"/>
      </w:rPr>
      <w:tab/>
      <w:t>Draft for review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05" w:val="right"/>
      </w:tabs>
      <w:pBdr>
        <w:bottom w:val="single" w:sz="4" w:space="4" w:color="B8BFCA"/>
      </w:pBdr>
    </w:pPr>
    <w:r>
      <w:rPr>
        <w:color w:val="4B5563"/>
        <w:sz w:val="17"/>
      </w:rPr>
      <w:t>Trade ERP - Reports Logic, Account Configuration Mapping and Posting Flows</w:t>
    </w:r>
    <w:r>
      <w:rPr>
        <w:color w:val="4B5563"/>
        <w:sz w:val="17"/>
      </w:rPr>
      <w:tab/>
      <w:t>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Calibri" w:hAnsi="Calibri" w:eastAsia="Calibri" w:cs="Calibri"/>
      <w:color w:val="1B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4B5563"/>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4B5563"/>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i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Calibri" w:hAnsi="Calibri" w:eastAsia="Calibri" w:cs="Calibri"/>
      <w:b/>
      <w:bCs/>
      <w:i w:val="0"/>
      <w:color w:val="1F3A5F"/>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Calibri" w:hAnsi="Calibri" w:eastAsia="Calibri" w:cs="Calibri"/>
      <w:b/>
      <w:bCs/>
      <w:i w:val="0"/>
      <w:color w:val="1B24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eastAsia="Calibri" w:cs="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40"/>
    </w:pPr>
    <w:rPr>
      <w:rFonts w:ascii="Calibri" w:hAnsi="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605" w:val="right" w:leader="dot"/>
      </w:tabs>
      <w:spacing w:after="20" w:before="60"/>
      <w:ind w:left="0"/>
    </w:pPr>
    <w:rPr>
      <w:rFonts w:ascii="Calibri" w:hAnsi="Calibri"/>
      <w:b/>
      <w:sz w:val="20"/>
    </w:rPr>
  </w:style>
  <w:style w:type="paragraph" w:customStyle="1" w:styleId="TOC2">
    <w:name w:val="TOC 2"/>
    <w:basedOn w:val="Normal"/>
    <w:pPr>
      <w:tabs>
        <w:tab w:pos="9605" w:val="right" w:leader="dot"/>
      </w:tabs>
      <w:spacing w:after="20" w:before="0"/>
      <w:ind w:left="288"/>
    </w:pPr>
    <w:rPr>
      <w:rFonts w:ascii="Calibri" w:hAnsi="Calibri"/>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ERP - Reports Logic, Account Configuration Mapping and Posting Flows</dc:title>
  <dc:subject>Reports logic, account configuration mapping and posting flows</dc:subject>
  <dc:creator>Trade ERP</dc:creator>
  <cp:keywords>Trade ERP; posting map; reports; VAT; ledger</cp:keywords>
  <dc:description>Draft for review, 5 October 2026</dc:description>
  <cp:lastModifiedBy>Trade ERP</cp:lastModifiedBy>
  <cp:revision>1</cp:revision>
  <dcterms:created xsi:type="dcterms:W3CDTF">2026-10-05T09:00:00Z</dcterms:created>
  <dcterms:modified xsi:type="dcterms:W3CDTF">2026-10-05T09:00:00Z</dcterms:modified>
  <cp:category/>
</cp:coreProperties>
</file>