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B42318" w:sz="12" w:space="6"/>
          <w:bottom w:val="single" w:color="B42318" w:sz="12" w:space="6"/>
        </w:pBdr>
        <w:shd w:fill="FDECEA" w:color="auto" w:val="clear"/>
        <w:spacing w:after="360"/>
        <w:jc w:val="center"/>
      </w:pPr>
      <w:r>
        <w:rPr>
          <w:b/>
          <w:bCs/>
          <w:color w:val="B42318"/>
          <w:sz w:val="22"/>
          <w:szCs w:val="22"/>
        </w:rPr>
        <w:t xml:space="preserve">FOR TRAINING USE ONLY — FICTITIOUS DOCUMENT</w:t>
      </w:r>
      <w:r>
        <w:rPr>
          <w:color w:val="B42318"/>
          <w:sz w:val="18"/>
          <w:szCs w:val="18"/>
        </w:rPr>
        <w:br/>
        <w:t xml:space="preserve">This contract was invented for an AI training exercise. The parties, site, figures and terms are illustrative only and do not represent any real agreement. Do not rely on it for any commercial or legal purpose.</w:t>
      </w:r>
    </w:p>
    <w:p>
      <w:pPr>
        <w:spacing w:after="200" w:before="600"/>
        <w:jc w:val="center"/>
      </w:pPr>
      <w:r>
        <w:rPr>
          <w:b/>
          <w:bCs/>
          <w:color w:val="1F3864"/>
          <w:sz w:val="26"/>
          <w:szCs w:val="26"/>
        </w:rPr>
        <w:t xml:space="preserve">AGREEMENT FOR</w:t>
      </w:r>
    </w:p>
    <w:p>
      <w:pPr>
        <w:spacing w:after="360"/>
        <w:jc w:val="center"/>
      </w:pPr>
      <w:r>
        <w:rPr>
          <w:b/>
          <w:bCs/>
          <w:color w:val="1F3864"/>
          <w:sz w:val="36"/>
          <w:szCs w:val="36"/>
        </w:rPr>
        <w:t xml:space="preserve">CIVIL, STRUCTURAL AND BUILDING WORKS</w:t>
      </w:r>
    </w:p>
    <w:p>
      <w:pPr>
        <w:spacing w:after="80"/>
        <w:jc w:val="center"/>
      </w:pPr>
      <w:r>
        <w:rPr>
          <w:b/>
          <w:bCs/>
          <w:sz w:val="28"/>
          <w:szCs w:val="28"/>
        </w:rPr>
        <w:t xml:space="preserve">Process Building</w:t>
      </w:r>
    </w:p>
    <w:p>
      <w:pPr>
        <w:spacing w:after="80"/>
        <w:jc w:val="center"/>
      </w:pPr>
      <w:r>
        <w:rPr>
          <w:sz w:val="24"/>
          <w:szCs w:val="24"/>
        </w:rPr>
        <w:t xml:space="preserve">BepsiCo Manufacturing Facility Expansion</w:t>
      </w:r>
    </w:p>
    <w:p>
      <w:pPr>
        <w:spacing w:after="600"/>
        <w:jc w:val="center"/>
      </w:pPr>
      <w:r>
        <w:rPr>
          <w:sz w:val="24"/>
          <w:szCs w:val="24"/>
        </w:rPr>
        <w:t xml:space="preserve">MIDC Chakan Industrial Area, Phase II, Pune, Maharashtra</w:t>
      </w:r>
    </w:p>
    <w:p>
      <w:pPr>
        <w:spacing w:after="120"/>
        <w:jc w:val="center"/>
      </w:pPr>
      <w:r>
        <w:rPr>
          <w:i/>
          <w:iCs/>
          <w:sz w:val="22"/>
          <w:szCs w:val="22"/>
        </w:rPr>
        <w:t xml:space="preserve">between</w:t>
      </w:r>
    </w:p>
    <w:p>
      <w:pPr>
        <w:spacing w:after="60"/>
        <w:jc w:val="center"/>
      </w:pPr>
      <w:r>
        <w:rPr>
          <w:b/>
          <w:bCs/>
          <w:sz w:val="24"/>
          <w:szCs w:val="24"/>
        </w:rPr>
        <w:t xml:space="preserve">BEPSICO INDIA MANUFACTURING PRIVATE LIMITED</w:t>
      </w:r>
    </w:p>
    <w:p>
      <w:pPr>
        <w:spacing w:after="200"/>
        <w:jc w:val="center"/>
      </w:pPr>
      <w:r>
        <w:rPr>
          <w:sz w:val="22"/>
          <w:szCs w:val="22"/>
        </w:rPr>
        <w:t xml:space="preserve">(the "Employer")</w:t>
      </w:r>
    </w:p>
    <w:p>
      <w:pPr>
        <w:spacing w:after="120"/>
        <w:jc w:val="center"/>
      </w:pPr>
      <w:r>
        <w:rPr>
          <w:i/>
          <w:iCs/>
          <w:sz w:val="22"/>
          <w:szCs w:val="22"/>
        </w:rPr>
        <w:t xml:space="preserve">and</w:t>
      </w:r>
    </w:p>
    <w:p>
      <w:pPr>
        <w:spacing w:after="60"/>
        <w:jc w:val="center"/>
      </w:pPr>
      <w:r>
        <w:rPr>
          <w:b/>
          <w:bCs/>
          <w:sz w:val="24"/>
          <w:szCs w:val="24"/>
        </w:rPr>
        <w:t xml:space="preserve">ROHAN BUILDERS PRIVATE LIMITED</w:t>
      </w:r>
    </w:p>
    <w:p>
      <w:pPr>
        <w:spacing w:after="700"/>
        <w:jc w:val="center"/>
      </w:pPr>
      <w:r>
        <w:rPr>
          <w:sz w:val="22"/>
          <w:szCs w:val="22"/>
        </w:rPr>
        <w:t xml:space="preserve">(the "Contractor")</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3000"/>
        <w:gridCol w:w="6406"/>
      </w:tblGrid>
      <w:tr>
        <w:trPr>
          <w:cantSplit/>
          <w:tblHeader w:val="false"/>
        </w:trPr>
        <w:tc>
          <w:tcPr>
            <w:tcW w:type="dxa" w:w="3000"/>
            <w:shd w:fill="EEF2F9" w:color="auto" w:val="clear"/>
            <w:tcMar>
              <w:top w:type="dxa" w:w="70"/>
              <w:left w:type="dxa" w:w="110"/>
              <w:bottom w:type="dxa" w:w="70"/>
              <w:right w:type="dxa" w:w="110"/>
            </w:tcMar>
            <w:vAlign w:val="center"/>
          </w:tcPr>
          <w:p>
            <w:pPr>
              <w:spacing w:after="40"/>
              <w:jc w:val="left"/>
            </w:pPr>
            <w:r>
              <w:rPr>
                <w:b/>
                <w:bCs/>
                <w:sz w:val="19"/>
                <w:szCs w:val="19"/>
              </w:rPr>
              <w:t xml:space="preserve">Contract No.</w:t>
            </w:r>
          </w:p>
        </w:tc>
        <w:tc>
          <w:tcPr>
            <w:tcW w:type="dxa" w:w="6406"/>
            <w:tcMar>
              <w:top w:type="dxa" w:w="70"/>
              <w:left w:type="dxa" w:w="110"/>
              <w:bottom w:type="dxa" w:w="70"/>
              <w:right w:type="dxa" w:w="110"/>
            </w:tcMar>
            <w:vAlign w:val="center"/>
          </w:tcPr>
          <w:p>
            <w:pPr>
              <w:spacing w:after="40"/>
              <w:jc w:val="left"/>
            </w:pPr>
            <w:r>
              <w:rPr>
                <w:b w:val="false"/>
                <w:bCs w:val="false"/>
                <w:sz w:val="19"/>
                <w:szCs w:val="19"/>
              </w:rPr>
              <w:t xml:space="preserve">BPC/CHK/PB/2026/014</w:t>
            </w:r>
          </w:p>
        </w:tc>
      </w:tr>
      <w:tr>
        <w:trPr>
          <w:cantSplit/>
          <w:tblHeader w:val="false"/>
        </w:trPr>
        <w:tc>
          <w:tcPr>
            <w:tcW w:type="dxa" w:w="3000"/>
            <w:shd w:fill="EEF2F9" w:color="auto" w:val="clear"/>
            <w:tcMar>
              <w:top w:type="dxa" w:w="70"/>
              <w:left w:type="dxa" w:w="110"/>
              <w:bottom w:type="dxa" w:w="70"/>
              <w:right w:type="dxa" w:w="110"/>
            </w:tcMar>
            <w:vAlign w:val="center"/>
          </w:tcPr>
          <w:p>
            <w:pPr>
              <w:spacing w:after="40"/>
              <w:jc w:val="left"/>
            </w:pPr>
            <w:r>
              <w:rPr>
                <w:b/>
                <w:bCs/>
                <w:sz w:val="19"/>
                <w:szCs w:val="19"/>
              </w:rPr>
              <w:t xml:space="preserve">Date of Agreement</w:t>
            </w:r>
          </w:p>
        </w:tc>
        <w:tc>
          <w:tcPr>
            <w:tcW w:type="dxa" w:w="6406"/>
            <w:tcMar>
              <w:top w:type="dxa" w:w="70"/>
              <w:left w:type="dxa" w:w="110"/>
              <w:bottom w:type="dxa" w:w="70"/>
              <w:right w:type="dxa" w:w="110"/>
            </w:tcMar>
            <w:vAlign w:val="center"/>
          </w:tcPr>
          <w:p>
            <w:pPr>
              <w:spacing w:after="40"/>
              <w:jc w:val="left"/>
            </w:pPr>
            <w:r>
              <w:rPr>
                <w:b w:val="false"/>
                <w:bCs w:val="false"/>
                <w:sz w:val="19"/>
                <w:szCs w:val="19"/>
              </w:rPr>
              <w:t xml:space="preserve">12 March 2026</w:t>
            </w:r>
          </w:p>
        </w:tc>
      </w:tr>
      <w:tr>
        <w:trPr>
          <w:cantSplit/>
          <w:tblHeader w:val="false"/>
        </w:trPr>
        <w:tc>
          <w:tcPr>
            <w:tcW w:type="dxa" w:w="3000"/>
            <w:shd w:fill="EEF2F9" w:color="auto" w:val="clear"/>
            <w:tcMar>
              <w:top w:type="dxa" w:w="70"/>
              <w:left w:type="dxa" w:w="110"/>
              <w:bottom w:type="dxa" w:w="70"/>
              <w:right w:type="dxa" w:w="110"/>
            </w:tcMar>
            <w:vAlign w:val="center"/>
          </w:tcPr>
          <w:p>
            <w:pPr>
              <w:spacing w:after="40"/>
              <w:jc w:val="left"/>
            </w:pPr>
            <w:r>
              <w:rPr>
                <w:b/>
                <w:bCs/>
                <w:sz w:val="19"/>
                <w:szCs w:val="19"/>
              </w:rPr>
              <w:t xml:space="preserve">Letter of Award</w:t>
            </w:r>
          </w:p>
        </w:tc>
        <w:tc>
          <w:tcPr>
            <w:tcW w:type="dxa" w:w="6406"/>
            <w:tcMar>
              <w:top w:type="dxa" w:w="70"/>
              <w:left w:type="dxa" w:w="110"/>
              <w:bottom w:type="dxa" w:w="70"/>
              <w:right w:type="dxa" w:w="110"/>
            </w:tcMar>
            <w:vAlign w:val="center"/>
          </w:tcPr>
          <w:p>
            <w:pPr>
              <w:spacing w:after="40"/>
              <w:jc w:val="left"/>
            </w:pPr>
            <w:r>
              <w:rPr>
                <w:b w:val="false"/>
                <w:bCs w:val="false"/>
                <w:sz w:val="19"/>
                <w:szCs w:val="19"/>
              </w:rPr>
              <w:t xml:space="preserve">28 February 2026</w:t>
            </w:r>
          </w:p>
        </w:tc>
      </w:tr>
      <w:tr>
        <w:trPr>
          <w:cantSplit/>
          <w:tblHeader w:val="false"/>
        </w:trPr>
        <w:tc>
          <w:tcPr>
            <w:tcW w:type="dxa" w:w="3000"/>
            <w:shd w:fill="EEF2F9" w:color="auto" w:val="clear"/>
            <w:tcMar>
              <w:top w:type="dxa" w:w="70"/>
              <w:left w:type="dxa" w:w="110"/>
              <w:bottom w:type="dxa" w:w="70"/>
              <w:right w:type="dxa" w:w="110"/>
            </w:tcMar>
            <w:vAlign w:val="center"/>
          </w:tcPr>
          <w:p>
            <w:pPr>
              <w:spacing w:after="40"/>
              <w:jc w:val="left"/>
            </w:pPr>
            <w:r>
              <w:rPr>
                <w:b/>
                <w:bCs/>
                <w:sz w:val="19"/>
                <w:szCs w:val="19"/>
              </w:rPr>
              <w:t xml:space="preserve">Contract type</w:t>
            </w:r>
          </w:p>
        </w:tc>
        <w:tc>
          <w:tcPr>
            <w:tcW w:type="dxa" w:w="6406"/>
            <w:tcMar>
              <w:top w:type="dxa" w:w="70"/>
              <w:left w:type="dxa" w:w="110"/>
              <w:bottom w:type="dxa" w:w="70"/>
              <w:right w:type="dxa" w:w="110"/>
            </w:tcMar>
            <w:vAlign w:val="center"/>
          </w:tcPr>
          <w:p>
            <w:pPr>
              <w:spacing w:after="40"/>
              <w:jc w:val="left"/>
            </w:pPr>
            <w:r>
              <w:rPr>
                <w:b w:val="false"/>
                <w:bCs w:val="false"/>
                <w:sz w:val="19"/>
                <w:szCs w:val="19"/>
              </w:rPr>
              <w:t xml:space="preserve">Lump sum, firm price</w:t>
            </w:r>
          </w:p>
        </w:tc>
      </w:tr>
    </w:tbl>
    <w:p>
      <w:pPr>
        <w:pStyle w:val="Heading1"/>
        <w:pageBreakBefore/>
      </w:pPr>
      <w:r>
        <w:t xml:space="preserve">CONTRACT DATA</w:t>
      </w:r>
    </w:p>
    <w:p>
      <w:pPr>
        <w:spacing w:after="120" w:line="276"/>
        <w:jc w:val="both"/>
      </w:pPr>
      <w:r>
        <w:t xml:space="preserve">The following particulars summarise the key commercial terms. In case of conflict, the Clauses of this Agreement prevail.</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3300"/>
        <w:gridCol w:w="4606"/>
        <w:gridCol w:w="1500"/>
      </w:tblGrid>
      <w:tr>
        <w:trPr>
          <w:cantSplit/>
          <w:tblHeader/>
        </w:trPr>
        <w:tc>
          <w:tcPr>
            <w:tcW w:type="dxa" w:w="3300"/>
            <w:shd w:fill="D9E2F3" w:color="auto" w:val="clear"/>
            <w:tcMar>
              <w:top w:type="dxa" w:w="70"/>
              <w:left w:type="dxa" w:w="110"/>
              <w:bottom w:type="dxa" w:w="70"/>
              <w:right w:type="dxa" w:w="110"/>
            </w:tcMar>
            <w:vAlign w:val="center"/>
          </w:tcPr>
          <w:p>
            <w:pPr>
              <w:spacing w:after="40"/>
              <w:jc w:val="left"/>
            </w:pPr>
            <w:r>
              <w:rPr>
                <w:b/>
                <w:bCs/>
                <w:color w:val="1F3864"/>
                <w:sz w:val="19"/>
                <w:szCs w:val="19"/>
              </w:rPr>
              <w:t xml:space="preserve">Item</w:t>
            </w:r>
          </w:p>
        </w:tc>
        <w:tc>
          <w:tcPr>
            <w:tcW w:type="dxa" w:w="4606"/>
            <w:shd w:fill="D9E2F3" w:color="auto" w:val="clear"/>
            <w:tcMar>
              <w:top w:type="dxa" w:w="70"/>
              <w:left w:type="dxa" w:w="110"/>
              <w:bottom w:type="dxa" w:w="70"/>
              <w:right w:type="dxa" w:w="110"/>
            </w:tcMar>
            <w:vAlign w:val="center"/>
          </w:tcPr>
          <w:p>
            <w:pPr>
              <w:spacing w:after="40"/>
              <w:jc w:val="left"/>
            </w:pPr>
            <w:r>
              <w:rPr>
                <w:b/>
                <w:bCs/>
                <w:color w:val="1F3864"/>
                <w:sz w:val="19"/>
                <w:szCs w:val="19"/>
              </w:rPr>
              <w:t xml:space="preserve">Particulars</w:t>
            </w:r>
          </w:p>
        </w:tc>
        <w:tc>
          <w:tcPr>
            <w:tcW w:type="dxa" w:w="1500"/>
            <w:shd w:fill="D9E2F3" w:color="auto" w:val="clear"/>
            <w:tcMar>
              <w:top w:type="dxa" w:w="70"/>
              <w:left w:type="dxa" w:w="110"/>
              <w:bottom w:type="dxa" w:w="70"/>
              <w:right w:type="dxa" w:w="110"/>
            </w:tcMar>
            <w:vAlign w:val="center"/>
          </w:tcPr>
          <w:p>
            <w:pPr>
              <w:spacing w:after="40"/>
              <w:jc w:val="left"/>
            </w:pPr>
            <w:r>
              <w:rPr>
                <w:b/>
                <w:bCs/>
                <w:color w:val="1F3864"/>
                <w:sz w:val="19"/>
                <w:szCs w:val="19"/>
              </w:rPr>
              <w:t xml:space="preserve">Clause</w:t>
            </w:r>
          </w:p>
        </w:tc>
      </w:tr>
      <w:tr>
        <w:trPr>
          <w:cantSplit/>
          <w:tblHeader w:val="false"/>
        </w:trPr>
        <w:tc>
          <w:tcPr>
            <w:tcW w:type="dxa" w:w="3300"/>
            <w:tcMar>
              <w:top w:type="dxa" w:w="70"/>
              <w:left w:type="dxa" w:w="110"/>
              <w:bottom w:type="dxa" w:w="70"/>
              <w:right w:type="dxa" w:w="110"/>
            </w:tcMar>
            <w:vAlign w:val="center"/>
          </w:tcPr>
          <w:p>
            <w:pPr>
              <w:spacing w:after="40"/>
              <w:jc w:val="left"/>
            </w:pPr>
            <w:r>
              <w:rPr>
                <w:b w:val="false"/>
                <w:bCs w:val="false"/>
                <w:sz w:val="19"/>
                <w:szCs w:val="19"/>
              </w:rPr>
              <w:t xml:space="preserve">Employer</w:t>
            </w:r>
          </w:p>
        </w:tc>
        <w:tc>
          <w:tcPr>
            <w:tcW w:type="dxa" w:w="4606"/>
            <w:tcMar>
              <w:top w:type="dxa" w:w="70"/>
              <w:left w:type="dxa" w:w="110"/>
              <w:bottom w:type="dxa" w:w="70"/>
              <w:right w:type="dxa" w:w="110"/>
            </w:tcMar>
            <w:vAlign w:val="center"/>
          </w:tcPr>
          <w:p>
            <w:pPr>
              <w:spacing w:after="40"/>
              <w:jc w:val="left"/>
            </w:pPr>
            <w:r>
              <w:rPr>
                <w:b w:val="false"/>
                <w:bCs w:val="false"/>
                <w:sz w:val="19"/>
                <w:szCs w:val="19"/>
              </w:rPr>
              <w:t xml:space="preserve">BepsiCo India Manufacturing Private Limited</w:t>
            </w:r>
          </w:p>
        </w:tc>
        <w:tc>
          <w:tcPr>
            <w:tcW w:type="dxa" w:w="1500"/>
            <w:tcMar>
              <w:top w:type="dxa" w:w="70"/>
              <w:left w:type="dxa" w:w="110"/>
              <w:bottom w:type="dxa" w:w="70"/>
              <w:right w:type="dxa" w:w="110"/>
            </w:tcMar>
            <w:vAlign w:val="center"/>
          </w:tcPr>
          <w:p>
            <w:pPr>
              <w:spacing w:after="40"/>
              <w:jc w:val="left"/>
            </w:pPr>
            <w:r>
              <w:rPr>
                <w:b w:val="false"/>
                <w:bCs w:val="false"/>
                <w:sz w:val="19"/>
                <w:szCs w:val="19"/>
              </w:rPr>
              <w:t xml:space="preserve">—</w:t>
            </w:r>
          </w:p>
        </w:tc>
      </w:tr>
      <w:tr>
        <w:trPr>
          <w:cantSplit/>
          <w:tblHeader w:val="false"/>
        </w:trPr>
        <w:tc>
          <w:tcPr>
            <w:tcW w:type="dxa" w:w="3300"/>
            <w:tcMar>
              <w:top w:type="dxa" w:w="70"/>
              <w:left w:type="dxa" w:w="110"/>
              <w:bottom w:type="dxa" w:w="70"/>
              <w:right w:type="dxa" w:w="110"/>
            </w:tcMar>
            <w:vAlign w:val="center"/>
          </w:tcPr>
          <w:p>
            <w:pPr>
              <w:spacing w:after="40"/>
              <w:jc w:val="left"/>
            </w:pPr>
            <w:r>
              <w:rPr>
                <w:b w:val="false"/>
                <w:bCs w:val="false"/>
                <w:sz w:val="19"/>
                <w:szCs w:val="19"/>
              </w:rPr>
              <w:t xml:space="preserve">Contractor</w:t>
            </w:r>
          </w:p>
        </w:tc>
        <w:tc>
          <w:tcPr>
            <w:tcW w:type="dxa" w:w="4606"/>
            <w:tcMar>
              <w:top w:type="dxa" w:w="70"/>
              <w:left w:type="dxa" w:w="110"/>
              <w:bottom w:type="dxa" w:w="70"/>
              <w:right w:type="dxa" w:w="110"/>
            </w:tcMar>
            <w:vAlign w:val="center"/>
          </w:tcPr>
          <w:p>
            <w:pPr>
              <w:spacing w:after="40"/>
              <w:jc w:val="left"/>
            </w:pPr>
            <w:r>
              <w:rPr>
                <w:b w:val="false"/>
                <w:bCs w:val="false"/>
                <w:sz w:val="19"/>
                <w:szCs w:val="19"/>
              </w:rPr>
              <w:t xml:space="preserve">Rohan Builders Private Limited</w:t>
            </w:r>
          </w:p>
        </w:tc>
        <w:tc>
          <w:tcPr>
            <w:tcW w:type="dxa" w:w="1500"/>
            <w:tcMar>
              <w:top w:type="dxa" w:w="70"/>
              <w:left w:type="dxa" w:w="110"/>
              <w:bottom w:type="dxa" w:w="70"/>
              <w:right w:type="dxa" w:w="110"/>
            </w:tcMar>
            <w:vAlign w:val="center"/>
          </w:tcPr>
          <w:p>
            <w:pPr>
              <w:spacing w:after="40"/>
              <w:jc w:val="left"/>
            </w:pPr>
            <w:r>
              <w:rPr>
                <w:b w:val="false"/>
                <w:bCs w:val="false"/>
                <w:sz w:val="19"/>
                <w:szCs w:val="19"/>
              </w:rPr>
              <w:t xml:space="preserve">—</w:t>
            </w:r>
          </w:p>
        </w:tc>
      </w:tr>
      <w:tr>
        <w:trPr>
          <w:cantSplit/>
          <w:tblHeader w:val="false"/>
        </w:trPr>
        <w:tc>
          <w:tcPr>
            <w:tcW w:type="dxa" w:w="3300"/>
            <w:tcMar>
              <w:top w:type="dxa" w:w="70"/>
              <w:left w:type="dxa" w:w="110"/>
              <w:bottom w:type="dxa" w:w="70"/>
              <w:right w:type="dxa" w:w="110"/>
            </w:tcMar>
            <w:vAlign w:val="center"/>
          </w:tcPr>
          <w:p>
            <w:pPr>
              <w:spacing w:after="40"/>
              <w:jc w:val="left"/>
            </w:pPr>
            <w:r>
              <w:rPr>
                <w:b w:val="false"/>
                <w:bCs w:val="false"/>
                <w:sz w:val="19"/>
                <w:szCs w:val="19"/>
              </w:rPr>
              <w:t xml:space="preserve">Employer's Representative</w:t>
            </w:r>
          </w:p>
        </w:tc>
        <w:tc>
          <w:tcPr>
            <w:tcW w:type="dxa" w:w="4606"/>
            <w:tcMar>
              <w:top w:type="dxa" w:w="70"/>
              <w:left w:type="dxa" w:w="110"/>
              <w:bottom w:type="dxa" w:w="70"/>
              <w:right w:type="dxa" w:w="110"/>
            </w:tcMar>
            <w:vAlign w:val="center"/>
          </w:tcPr>
          <w:p>
            <w:pPr>
              <w:spacing w:after="40"/>
              <w:jc w:val="left"/>
            </w:pPr>
            <w:r>
              <w:rPr>
                <w:b w:val="false"/>
                <w:bCs w:val="false"/>
                <w:sz w:val="19"/>
                <w:szCs w:val="19"/>
              </w:rPr>
              <w:t xml:space="preserve">Project Director, BepsiCo Projects Division (or the appointed project management consultant)</w:t>
            </w:r>
          </w:p>
        </w:tc>
        <w:tc>
          <w:tcPr>
            <w:tcW w:type="dxa" w:w="1500"/>
            <w:tcMar>
              <w:top w:type="dxa" w:w="70"/>
              <w:left w:type="dxa" w:w="110"/>
              <w:bottom w:type="dxa" w:w="70"/>
              <w:right w:type="dxa" w:w="110"/>
            </w:tcMar>
            <w:vAlign w:val="center"/>
          </w:tcPr>
          <w:p>
            <w:pPr>
              <w:spacing w:after="40"/>
              <w:jc w:val="left"/>
            </w:pPr>
            <w:r>
              <w:rPr>
                <w:b w:val="false"/>
                <w:bCs w:val="false"/>
                <w:sz w:val="19"/>
                <w:szCs w:val="19"/>
              </w:rPr>
              <w:t xml:space="preserve">2.4</w:t>
            </w:r>
          </w:p>
        </w:tc>
      </w:tr>
      <w:tr>
        <w:trPr>
          <w:cantSplit/>
          <w:tblHeader w:val="false"/>
        </w:trPr>
        <w:tc>
          <w:tcPr>
            <w:tcW w:type="dxa" w:w="3300"/>
            <w:tcMar>
              <w:top w:type="dxa" w:w="70"/>
              <w:left w:type="dxa" w:w="110"/>
              <w:bottom w:type="dxa" w:w="70"/>
              <w:right w:type="dxa" w:w="110"/>
            </w:tcMar>
            <w:vAlign w:val="center"/>
          </w:tcPr>
          <w:p>
            <w:pPr>
              <w:spacing w:after="40"/>
              <w:jc w:val="left"/>
            </w:pPr>
            <w:r>
              <w:rPr>
                <w:b w:val="false"/>
                <w:bCs w:val="false"/>
                <w:sz w:val="19"/>
                <w:szCs w:val="19"/>
              </w:rPr>
              <w:t xml:space="preserve">Site</w:t>
            </w:r>
          </w:p>
        </w:tc>
        <w:tc>
          <w:tcPr>
            <w:tcW w:type="dxa" w:w="4606"/>
            <w:tcMar>
              <w:top w:type="dxa" w:w="70"/>
              <w:left w:type="dxa" w:w="110"/>
              <w:bottom w:type="dxa" w:w="70"/>
              <w:right w:type="dxa" w:w="110"/>
            </w:tcMar>
            <w:vAlign w:val="center"/>
          </w:tcPr>
          <w:p>
            <w:pPr>
              <w:spacing w:after="40"/>
              <w:jc w:val="left"/>
            </w:pPr>
            <w:r>
              <w:rPr>
                <w:b w:val="false"/>
                <w:bCs w:val="false"/>
                <w:sz w:val="19"/>
                <w:szCs w:val="19"/>
              </w:rPr>
              <w:t xml:space="preserve">Plot D-27, MIDC Chakan Industrial Area, Phase II, Pune 410501</w:t>
            </w:r>
          </w:p>
        </w:tc>
        <w:tc>
          <w:tcPr>
            <w:tcW w:type="dxa" w:w="1500"/>
            <w:tcMar>
              <w:top w:type="dxa" w:w="70"/>
              <w:left w:type="dxa" w:w="110"/>
              <w:bottom w:type="dxa" w:w="70"/>
              <w:right w:type="dxa" w:w="110"/>
            </w:tcMar>
            <w:vAlign w:val="center"/>
          </w:tcPr>
          <w:p>
            <w:pPr>
              <w:spacing w:after="40"/>
              <w:jc w:val="left"/>
            </w:pPr>
            <w:r>
              <w:rPr>
                <w:b w:val="false"/>
                <w:bCs w:val="false"/>
                <w:sz w:val="19"/>
                <w:szCs w:val="19"/>
              </w:rPr>
              <w:t xml:space="preserve">—</w:t>
            </w:r>
          </w:p>
        </w:tc>
      </w:tr>
      <w:tr>
        <w:trPr>
          <w:cantSplit/>
          <w:tblHeader w:val="false"/>
        </w:trPr>
        <w:tc>
          <w:tcPr>
            <w:tcW w:type="dxa" w:w="3300"/>
            <w:tcMar>
              <w:top w:type="dxa" w:w="70"/>
              <w:left w:type="dxa" w:w="110"/>
              <w:bottom w:type="dxa" w:w="70"/>
              <w:right w:type="dxa" w:w="110"/>
            </w:tcMar>
            <w:vAlign w:val="center"/>
          </w:tcPr>
          <w:p>
            <w:pPr>
              <w:spacing w:after="40"/>
              <w:jc w:val="left"/>
            </w:pPr>
            <w:r>
              <w:rPr>
                <w:b w:val="false"/>
                <w:bCs w:val="false"/>
                <w:sz w:val="19"/>
                <w:szCs w:val="19"/>
              </w:rPr>
              <w:t xml:space="preserve">Contract Price</w:t>
            </w:r>
          </w:p>
        </w:tc>
        <w:tc>
          <w:tcPr>
            <w:tcW w:type="dxa" w:w="4606"/>
            <w:tcMar>
              <w:top w:type="dxa" w:w="70"/>
              <w:left w:type="dxa" w:w="110"/>
              <w:bottom w:type="dxa" w:w="70"/>
              <w:right w:type="dxa" w:w="110"/>
            </w:tcMar>
            <w:vAlign w:val="center"/>
          </w:tcPr>
          <w:p>
            <w:pPr>
              <w:spacing w:after="40"/>
              <w:jc w:val="left"/>
            </w:pPr>
            <w:r>
              <w:rPr>
                <w:b w:val="false"/>
                <w:bCs w:val="false"/>
                <w:sz w:val="19"/>
                <w:szCs w:val="19"/>
              </w:rPr>
              <w:t xml:space="preserve">INR 148.60 Crore (INR 1,48,60,00,000), excluding GST</w:t>
            </w:r>
          </w:p>
        </w:tc>
        <w:tc>
          <w:tcPr>
            <w:tcW w:type="dxa" w:w="1500"/>
            <w:tcMar>
              <w:top w:type="dxa" w:w="70"/>
              <w:left w:type="dxa" w:w="110"/>
              <w:bottom w:type="dxa" w:w="70"/>
              <w:right w:type="dxa" w:w="110"/>
            </w:tcMar>
            <w:vAlign w:val="center"/>
          </w:tcPr>
          <w:p>
            <w:pPr>
              <w:spacing w:after="40"/>
              <w:jc w:val="left"/>
            </w:pPr>
            <w:r>
              <w:rPr>
                <w:b w:val="false"/>
                <w:bCs w:val="false"/>
                <w:sz w:val="19"/>
                <w:szCs w:val="19"/>
              </w:rPr>
              <w:t xml:space="preserve">3.1</w:t>
            </w:r>
          </w:p>
        </w:tc>
      </w:tr>
      <w:tr>
        <w:trPr>
          <w:cantSplit/>
          <w:tblHeader w:val="false"/>
        </w:trPr>
        <w:tc>
          <w:tcPr>
            <w:tcW w:type="dxa" w:w="3300"/>
            <w:tcMar>
              <w:top w:type="dxa" w:w="70"/>
              <w:left w:type="dxa" w:w="110"/>
              <w:bottom w:type="dxa" w:w="70"/>
              <w:right w:type="dxa" w:w="110"/>
            </w:tcMar>
            <w:vAlign w:val="center"/>
          </w:tcPr>
          <w:p>
            <w:pPr>
              <w:spacing w:after="40"/>
              <w:jc w:val="left"/>
            </w:pPr>
            <w:r>
              <w:rPr>
                <w:b w:val="false"/>
                <w:bCs w:val="false"/>
                <w:sz w:val="19"/>
                <w:szCs w:val="19"/>
              </w:rPr>
              <w:t xml:space="preserve">Price adjustment</w:t>
            </w:r>
          </w:p>
        </w:tc>
        <w:tc>
          <w:tcPr>
            <w:tcW w:type="dxa" w:w="4606"/>
            <w:tcMar>
              <w:top w:type="dxa" w:w="70"/>
              <w:left w:type="dxa" w:w="110"/>
              <w:bottom w:type="dxa" w:w="70"/>
              <w:right w:type="dxa" w:w="110"/>
            </w:tcMar>
            <w:vAlign w:val="center"/>
          </w:tcPr>
          <w:p>
            <w:pPr>
              <w:spacing w:after="40"/>
              <w:jc w:val="left"/>
            </w:pPr>
            <w:r>
              <w:rPr>
                <w:b w:val="false"/>
                <w:bCs w:val="false"/>
                <w:sz w:val="19"/>
                <w:szCs w:val="19"/>
              </w:rPr>
              <w:t xml:space="preserve">Reinforcement steel and cement only, beyond ±5% of the Base Date index</w:t>
            </w:r>
          </w:p>
        </w:tc>
        <w:tc>
          <w:tcPr>
            <w:tcW w:type="dxa" w:w="1500"/>
            <w:tcMar>
              <w:top w:type="dxa" w:w="70"/>
              <w:left w:type="dxa" w:w="110"/>
              <w:bottom w:type="dxa" w:w="70"/>
              <w:right w:type="dxa" w:w="110"/>
            </w:tcMar>
            <w:vAlign w:val="center"/>
          </w:tcPr>
          <w:p>
            <w:pPr>
              <w:spacing w:after="40"/>
              <w:jc w:val="left"/>
            </w:pPr>
            <w:r>
              <w:rPr>
                <w:b w:val="false"/>
                <w:bCs w:val="false"/>
                <w:sz w:val="19"/>
                <w:szCs w:val="19"/>
              </w:rPr>
              <w:t xml:space="preserve">3.3</w:t>
            </w:r>
          </w:p>
        </w:tc>
      </w:tr>
      <w:tr>
        <w:trPr>
          <w:cantSplit/>
          <w:tblHeader w:val="false"/>
        </w:trPr>
        <w:tc>
          <w:tcPr>
            <w:tcW w:type="dxa" w:w="3300"/>
            <w:tcMar>
              <w:top w:type="dxa" w:w="70"/>
              <w:left w:type="dxa" w:w="110"/>
              <w:bottom w:type="dxa" w:w="70"/>
              <w:right w:type="dxa" w:w="110"/>
            </w:tcMar>
            <w:vAlign w:val="center"/>
          </w:tcPr>
          <w:p>
            <w:pPr>
              <w:spacing w:after="40"/>
              <w:jc w:val="left"/>
            </w:pPr>
            <w:r>
              <w:rPr>
                <w:b w:val="false"/>
                <w:bCs w:val="false"/>
                <w:sz w:val="19"/>
                <w:szCs w:val="19"/>
              </w:rPr>
              <w:t xml:space="preserve">Base Date</w:t>
            </w:r>
          </w:p>
        </w:tc>
        <w:tc>
          <w:tcPr>
            <w:tcW w:type="dxa" w:w="4606"/>
            <w:tcMar>
              <w:top w:type="dxa" w:w="70"/>
              <w:left w:type="dxa" w:w="110"/>
              <w:bottom w:type="dxa" w:w="70"/>
              <w:right w:type="dxa" w:w="110"/>
            </w:tcMar>
            <w:vAlign w:val="center"/>
          </w:tcPr>
          <w:p>
            <w:pPr>
              <w:spacing w:after="40"/>
              <w:jc w:val="left"/>
            </w:pPr>
            <w:r>
              <w:rPr>
                <w:b w:val="false"/>
                <w:bCs w:val="false"/>
                <w:sz w:val="19"/>
                <w:szCs w:val="19"/>
              </w:rPr>
              <w:t xml:space="preserve">10 February 2026</w:t>
            </w:r>
          </w:p>
        </w:tc>
        <w:tc>
          <w:tcPr>
            <w:tcW w:type="dxa" w:w="1500"/>
            <w:tcMar>
              <w:top w:type="dxa" w:w="70"/>
              <w:left w:type="dxa" w:w="110"/>
              <w:bottom w:type="dxa" w:w="70"/>
              <w:right w:type="dxa" w:w="110"/>
            </w:tcMar>
            <w:vAlign w:val="center"/>
          </w:tcPr>
          <w:p>
            <w:pPr>
              <w:spacing w:after="40"/>
              <w:jc w:val="left"/>
            </w:pPr>
            <w:r>
              <w:rPr>
                <w:b w:val="false"/>
                <w:bCs w:val="false"/>
                <w:sz w:val="19"/>
                <w:szCs w:val="19"/>
              </w:rPr>
              <w:t xml:space="preserve">1.1(b)</w:t>
            </w:r>
          </w:p>
        </w:tc>
      </w:tr>
      <w:tr>
        <w:trPr>
          <w:cantSplit/>
          <w:tblHeader w:val="false"/>
        </w:trPr>
        <w:tc>
          <w:tcPr>
            <w:tcW w:type="dxa" w:w="3300"/>
            <w:tcMar>
              <w:top w:type="dxa" w:w="70"/>
              <w:left w:type="dxa" w:w="110"/>
              <w:bottom w:type="dxa" w:w="70"/>
              <w:right w:type="dxa" w:w="110"/>
            </w:tcMar>
            <w:vAlign w:val="center"/>
          </w:tcPr>
          <w:p>
            <w:pPr>
              <w:spacing w:after="40"/>
              <w:jc w:val="left"/>
            </w:pPr>
            <w:r>
              <w:rPr>
                <w:b w:val="false"/>
                <w:bCs w:val="false"/>
                <w:sz w:val="19"/>
                <w:szCs w:val="19"/>
              </w:rPr>
              <w:t xml:space="preserve">Commencement Date</w:t>
            </w:r>
          </w:p>
        </w:tc>
        <w:tc>
          <w:tcPr>
            <w:tcW w:type="dxa" w:w="4606"/>
            <w:tcMar>
              <w:top w:type="dxa" w:w="70"/>
              <w:left w:type="dxa" w:w="110"/>
              <w:bottom w:type="dxa" w:w="70"/>
              <w:right w:type="dxa" w:w="110"/>
            </w:tcMar>
            <w:vAlign w:val="center"/>
          </w:tcPr>
          <w:p>
            <w:pPr>
              <w:spacing w:after="40"/>
              <w:jc w:val="left"/>
            </w:pPr>
            <w:r>
              <w:rPr>
                <w:b w:val="false"/>
                <w:bCs w:val="false"/>
                <w:sz w:val="19"/>
                <w:szCs w:val="19"/>
              </w:rPr>
              <w:t xml:space="preserve">01 April 2026</w:t>
            </w:r>
          </w:p>
        </w:tc>
        <w:tc>
          <w:tcPr>
            <w:tcW w:type="dxa" w:w="1500"/>
            <w:tcMar>
              <w:top w:type="dxa" w:w="70"/>
              <w:left w:type="dxa" w:w="110"/>
              <w:bottom w:type="dxa" w:w="70"/>
              <w:right w:type="dxa" w:w="110"/>
            </w:tcMar>
            <w:vAlign w:val="center"/>
          </w:tcPr>
          <w:p>
            <w:pPr>
              <w:spacing w:after="40"/>
              <w:jc w:val="left"/>
            </w:pPr>
            <w:r>
              <w:rPr>
                <w:b w:val="false"/>
                <w:bCs w:val="false"/>
                <w:sz w:val="19"/>
                <w:szCs w:val="19"/>
              </w:rPr>
              <w:t xml:space="preserve">4.1</w:t>
            </w:r>
          </w:p>
        </w:tc>
      </w:tr>
      <w:tr>
        <w:trPr>
          <w:cantSplit/>
          <w:tblHeader w:val="false"/>
        </w:trPr>
        <w:tc>
          <w:tcPr>
            <w:tcW w:type="dxa" w:w="3300"/>
            <w:tcMar>
              <w:top w:type="dxa" w:w="70"/>
              <w:left w:type="dxa" w:w="110"/>
              <w:bottom w:type="dxa" w:w="70"/>
              <w:right w:type="dxa" w:w="110"/>
            </w:tcMar>
            <w:vAlign w:val="center"/>
          </w:tcPr>
          <w:p>
            <w:pPr>
              <w:spacing w:after="40"/>
              <w:jc w:val="left"/>
            </w:pPr>
            <w:r>
              <w:rPr>
                <w:b w:val="false"/>
                <w:bCs w:val="false"/>
                <w:sz w:val="19"/>
                <w:szCs w:val="19"/>
              </w:rPr>
              <w:t xml:space="preserve">M1 – Piling complete</w:t>
            </w:r>
          </w:p>
        </w:tc>
        <w:tc>
          <w:tcPr>
            <w:tcW w:type="dxa" w:w="4606"/>
            <w:tcMar>
              <w:top w:type="dxa" w:w="70"/>
              <w:left w:type="dxa" w:w="110"/>
              <w:bottom w:type="dxa" w:w="70"/>
              <w:right w:type="dxa" w:w="110"/>
            </w:tcMar>
            <w:vAlign w:val="center"/>
          </w:tcPr>
          <w:p>
            <w:pPr>
              <w:spacing w:after="40"/>
              <w:jc w:val="left"/>
            </w:pPr>
            <w:r>
              <w:rPr>
                <w:b w:val="false"/>
                <w:bCs w:val="false"/>
                <w:sz w:val="19"/>
                <w:szCs w:val="19"/>
              </w:rPr>
              <w:t xml:space="preserve">31 July 2026</w:t>
            </w:r>
          </w:p>
        </w:tc>
        <w:tc>
          <w:tcPr>
            <w:tcW w:type="dxa" w:w="1500"/>
            <w:tcMar>
              <w:top w:type="dxa" w:w="70"/>
              <w:left w:type="dxa" w:w="110"/>
              <w:bottom w:type="dxa" w:w="70"/>
              <w:right w:type="dxa" w:w="110"/>
            </w:tcMar>
            <w:vAlign w:val="center"/>
          </w:tcPr>
          <w:p>
            <w:pPr>
              <w:spacing w:after="40"/>
              <w:jc w:val="left"/>
            </w:pPr>
            <w:r>
              <w:rPr>
                <w:b w:val="false"/>
                <w:bCs w:val="false"/>
                <w:sz w:val="19"/>
                <w:szCs w:val="19"/>
              </w:rPr>
              <w:t xml:space="preserve">4.2</w:t>
            </w:r>
          </w:p>
        </w:tc>
      </w:tr>
      <w:tr>
        <w:trPr>
          <w:cantSplit/>
          <w:tblHeader w:val="false"/>
        </w:trPr>
        <w:tc>
          <w:tcPr>
            <w:tcW w:type="dxa" w:w="3300"/>
            <w:tcMar>
              <w:top w:type="dxa" w:w="70"/>
              <w:left w:type="dxa" w:w="110"/>
              <w:bottom w:type="dxa" w:w="70"/>
              <w:right w:type="dxa" w:w="110"/>
            </w:tcMar>
            <w:vAlign w:val="center"/>
          </w:tcPr>
          <w:p>
            <w:pPr>
              <w:spacing w:after="40"/>
              <w:jc w:val="left"/>
            </w:pPr>
            <w:r>
              <w:rPr>
                <w:b w:val="false"/>
                <w:bCs w:val="false"/>
                <w:sz w:val="19"/>
                <w:szCs w:val="19"/>
              </w:rPr>
              <w:t xml:space="preserve">M2 – Superstructure complete</w:t>
            </w:r>
          </w:p>
        </w:tc>
        <w:tc>
          <w:tcPr>
            <w:tcW w:type="dxa" w:w="4606"/>
            <w:tcMar>
              <w:top w:type="dxa" w:w="70"/>
              <w:left w:type="dxa" w:w="110"/>
              <w:bottom w:type="dxa" w:w="70"/>
              <w:right w:type="dxa" w:w="110"/>
            </w:tcMar>
            <w:vAlign w:val="center"/>
          </w:tcPr>
          <w:p>
            <w:pPr>
              <w:spacing w:after="40"/>
              <w:jc w:val="left"/>
            </w:pPr>
            <w:r>
              <w:rPr>
                <w:b w:val="false"/>
                <w:bCs w:val="false"/>
                <w:sz w:val="19"/>
                <w:szCs w:val="19"/>
              </w:rPr>
              <w:t xml:space="preserve">30 November 2026</w:t>
            </w:r>
          </w:p>
        </w:tc>
        <w:tc>
          <w:tcPr>
            <w:tcW w:type="dxa" w:w="1500"/>
            <w:tcMar>
              <w:top w:type="dxa" w:w="70"/>
              <w:left w:type="dxa" w:w="110"/>
              <w:bottom w:type="dxa" w:w="70"/>
              <w:right w:type="dxa" w:w="110"/>
            </w:tcMar>
            <w:vAlign w:val="center"/>
          </w:tcPr>
          <w:p>
            <w:pPr>
              <w:spacing w:after="40"/>
              <w:jc w:val="left"/>
            </w:pPr>
            <w:r>
              <w:rPr>
                <w:b w:val="false"/>
                <w:bCs w:val="false"/>
                <w:sz w:val="19"/>
                <w:szCs w:val="19"/>
              </w:rPr>
              <w:t xml:space="preserve">4.2</w:t>
            </w:r>
          </w:p>
        </w:tc>
      </w:tr>
      <w:tr>
        <w:trPr>
          <w:cantSplit/>
          <w:tblHeader w:val="false"/>
        </w:trPr>
        <w:tc>
          <w:tcPr>
            <w:tcW w:type="dxa" w:w="3300"/>
            <w:tcMar>
              <w:top w:type="dxa" w:w="70"/>
              <w:left w:type="dxa" w:w="110"/>
              <w:bottom w:type="dxa" w:w="70"/>
              <w:right w:type="dxa" w:w="110"/>
            </w:tcMar>
            <w:vAlign w:val="center"/>
          </w:tcPr>
          <w:p>
            <w:pPr>
              <w:spacing w:after="40"/>
              <w:jc w:val="left"/>
            </w:pPr>
            <w:r>
              <w:rPr>
                <w:b w:val="false"/>
                <w:bCs w:val="false"/>
                <w:sz w:val="19"/>
                <w:szCs w:val="19"/>
              </w:rPr>
              <w:t xml:space="preserve">M3 – Mechanical Completion</w:t>
            </w:r>
          </w:p>
        </w:tc>
        <w:tc>
          <w:tcPr>
            <w:tcW w:type="dxa" w:w="4606"/>
            <w:tcMar>
              <w:top w:type="dxa" w:w="70"/>
              <w:left w:type="dxa" w:w="110"/>
              <w:bottom w:type="dxa" w:w="70"/>
              <w:right w:type="dxa" w:w="110"/>
            </w:tcMar>
            <w:vAlign w:val="center"/>
          </w:tcPr>
          <w:p>
            <w:pPr>
              <w:spacing w:after="40"/>
              <w:jc w:val="left"/>
            </w:pPr>
            <w:r>
              <w:rPr>
                <w:b w:val="false"/>
                <w:bCs w:val="false"/>
                <w:sz w:val="19"/>
                <w:szCs w:val="19"/>
              </w:rPr>
              <w:t xml:space="preserve">15 February 2027</w:t>
            </w:r>
          </w:p>
        </w:tc>
        <w:tc>
          <w:tcPr>
            <w:tcW w:type="dxa" w:w="1500"/>
            <w:tcMar>
              <w:top w:type="dxa" w:w="70"/>
              <w:left w:type="dxa" w:w="110"/>
              <w:bottom w:type="dxa" w:w="70"/>
              <w:right w:type="dxa" w:w="110"/>
            </w:tcMar>
            <w:vAlign w:val="center"/>
          </w:tcPr>
          <w:p>
            <w:pPr>
              <w:spacing w:after="40"/>
              <w:jc w:val="left"/>
            </w:pPr>
            <w:r>
              <w:rPr>
                <w:b w:val="false"/>
                <w:bCs w:val="false"/>
                <w:sz w:val="19"/>
                <w:szCs w:val="19"/>
              </w:rPr>
              <w:t xml:space="preserve">4.2</w:t>
            </w:r>
          </w:p>
        </w:tc>
      </w:tr>
      <w:tr>
        <w:trPr>
          <w:cantSplit/>
          <w:tblHeader w:val="false"/>
        </w:trPr>
        <w:tc>
          <w:tcPr>
            <w:tcW w:type="dxa" w:w="3300"/>
            <w:tcMar>
              <w:top w:type="dxa" w:w="70"/>
              <w:left w:type="dxa" w:w="110"/>
              <w:bottom w:type="dxa" w:w="70"/>
              <w:right w:type="dxa" w:w="110"/>
            </w:tcMar>
            <w:vAlign w:val="center"/>
          </w:tcPr>
          <w:p>
            <w:pPr>
              <w:spacing w:after="40"/>
              <w:jc w:val="left"/>
            </w:pPr>
            <w:r>
              <w:rPr>
                <w:b w:val="false"/>
                <w:bCs w:val="false"/>
                <w:sz w:val="19"/>
                <w:szCs w:val="19"/>
              </w:rPr>
              <w:t xml:space="preserve">Taking Over</w:t>
            </w:r>
          </w:p>
        </w:tc>
        <w:tc>
          <w:tcPr>
            <w:tcW w:type="dxa" w:w="4606"/>
            <w:tcMar>
              <w:top w:type="dxa" w:w="70"/>
              <w:left w:type="dxa" w:w="110"/>
              <w:bottom w:type="dxa" w:w="70"/>
              <w:right w:type="dxa" w:w="110"/>
            </w:tcMar>
            <w:vAlign w:val="center"/>
          </w:tcPr>
          <w:p>
            <w:pPr>
              <w:spacing w:after="40"/>
              <w:jc w:val="left"/>
            </w:pPr>
            <w:r>
              <w:rPr>
                <w:b w:val="false"/>
                <w:bCs w:val="false"/>
                <w:sz w:val="19"/>
                <w:szCs w:val="19"/>
              </w:rPr>
              <w:t xml:space="preserve">31 March 2027</w:t>
            </w:r>
          </w:p>
        </w:tc>
        <w:tc>
          <w:tcPr>
            <w:tcW w:type="dxa" w:w="1500"/>
            <w:tcMar>
              <w:top w:type="dxa" w:w="70"/>
              <w:left w:type="dxa" w:w="110"/>
              <w:bottom w:type="dxa" w:w="70"/>
              <w:right w:type="dxa" w:w="110"/>
            </w:tcMar>
            <w:vAlign w:val="center"/>
          </w:tcPr>
          <w:p>
            <w:pPr>
              <w:spacing w:after="40"/>
              <w:jc w:val="left"/>
            </w:pPr>
            <w:r>
              <w:rPr>
                <w:b w:val="false"/>
                <w:bCs w:val="false"/>
                <w:sz w:val="19"/>
                <w:szCs w:val="19"/>
              </w:rPr>
              <w:t xml:space="preserve">4.2</w:t>
            </w:r>
          </w:p>
        </w:tc>
      </w:tr>
      <w:tr>
        <w:trPr>
          <w:cantSplit/>
          <w:tblHeader w:val="false"/>
        </w:trPr>
        <w:tc>
          <w:tcPr>
            <w:tcW w:type="dxa" w:w="3300"/>
            <w:tcMar>
              <w:top w:type="dxa" w:w="70"/>
              <w:left w:type="dxa" w:w="110"/>
              <w:bottom w:type="dxa" w:w="70"/>
              <w:right w:type="dxa" w:w="110"/>
            </w:tcMar>
            <w:vAlign w:val="center"/>
          </w:tcPr>
          <w:p>
            <w:pPr>
              <w:spacing w:after="40"/>
              <w:jc w:val="left"/>
            </w:pPr>
            <w:r>
              <w:rPr>
                <w:b w:val="false"/>
                <w:bCs w:val="false"/>
                <w:sz w:val="19"/>
                <w:szCs w:val="19"/>
              </w:rPr>
              <w:t xml:space="preserve">Delay damages (M3)</w:t>
            </w:r>
          </w:p>
        </w:tc>
        <w:tc>
          <w:tcPr>
            <w:tcW w:type="dxa" w:w="4606"/>
            <w:tcMar>
              <w:top w:type="dxa" w:w="70"/>
              <w:left w:type="dxa" w:w="110"/>
              <w:bottom w:type="dxa" w:w="70"/>
              <w:right w:type="dxa" w:w="110"/>
            </w:tcMar>
            <w:vAlign w:val="center"/>
          </w:tcPr>
          <w:p>
            <w:pPr>
              <w:spacing w:after="40"/>
              <w:jc w:val="left"/>
            </w:pPr>
            <w:r>
              <w:rPr>
                <w:b w:val="false"/>
                <w:bCs w:val="false"/>
                <w:sz w:val="19"/>
                <w:szCs w:val="19"/>
              </w:rPr>
              <w:t xml:space="preserve">0.5% of Contract Price per week; maximum 10% of Contract Price</w:t>
            </w:r>
          </w:p>
        </w:tc>
        <w:tc>
          <w:tcPr>
            <w:tcW w:type="dxa" w:w="1500"/>
            <w:tcMar>
              <w:top w:type="dxa" w:w="70"/>
              <w:left w:type="dxa" w:w="110"/>
              <w:bottom w:type="dxa" w:w="70"/>
              <w:right w:type="dxa" w:w="110"/>
            </w:tcMar>
            <w:vAlign w:val="center"/>
          </w:tcPr>
          <w:p>
            <w:pPr>
              <w:spacing w:after="40"/>
              <w:jc w:val="left"/>
            </w:pPr>
            <w:r>
              <w:rPr>
                <w:b w:val="false"/>
                <w:bCs w:val="false"/>
                <w:sz w:val="19"/>
                <w:szCs w:val="19"/>
              </w:rPr>
              <w:t xml:space="preserve">7.1, 7.2</w:t>
            </w:r>
          </w:p>
        </w:tc>
      </w:tr>
      <w:tr>
        <w:trPr>
          <w:cantSplit/>
          <w:tblHeader w:val="false"/>
        </w:trPr>
        <w:tc>
          <w:tcPr>
            <w:tcW w:type="dxa" w:w="3300"/>
            <w:tcMar>
              <w:top w:type="dxa" w:w="70"/>
              <w:left w:type="dxa" w:w="110"/>
              <w:bottom w:type="dxa" w:w="70"/>
              <w:right w:type="dxa" w:w="110"/>
            </w:tcMar>
            <w:vAlign w:val="center"/>
          </w:tcPr>
          <w:p>
            <w:pPr>
              <w:spacing w:after="40"/>
              <w:jc w:val="left"/>
            </w:pPr>
            <w:r>
              <w:rPr>
                <w:b w:val="false"/>
                <w:bCs w:val="false"/>
                <w:sz w:val="19"/>
                <w:szCs w:val="19"/>
              </w:rPr>
              <w:t xml:space="preserve">Interim delay damages (M2)</w:t>
            </w:r>
          </w:p>
        </w:tc>
        <w:tc>
          <w:tcPr>
            <w:tcW w:type="dxa" w:w="4606"/>
            <w:tcMar>
              <w:top w:type="dxa" w:w="70"/>
              <w:left w:type="dxa" w:w="110"/>
              <w:bottom w:type="dxa" w:w="70"/>
              <w:right w:type="dxa" w:w="110"/>
            </w:tcMar>
            <w:vAlign w:val="center"/>
          </w:tcPr>
          <w:p>
            <w:pPr>
              <w:spacing w:after="40"/>
              <w:jc w:val="left"/>
            </w:pPr>
            <w:r>
              <w:rPr>
                <w:b w:val="false"/>
                <w:bCs w:val="false"/>
                <w:sz w:val="19"/>
                <w:szCs w:val="19"/>
              </w:rPr>
              <w:t xml:space="preserve">0.1% of Contract Price per week</w:t>
            </w:r>
          </w:p>
        </w:tc>
        <w:tc>
          <w:tcPr>
            <w:tcW w:type="dxa" w:w="1500"/>
            <w:tcMar>
              <w:top w:type="dxa" w:w="70"/>
              <w:left w:type="dxa" w:w="110"/>
              <w:bottom w:type="dxa" w:w="70"/>
              <w:right w:type="dxa" w:w="110"/>
            </w:tcMar>
            <w:vAlign w:val="center"/>
          </w:tcPr>
          <w:p>
            <w:pPr>
              <w:spacing w:after="40"/>
              <w:jc w:val="left"/>
            </w:pPr>
            <w:r>
              <w:rPr>
                <w:b w:val="false"/>
                <w:bCs w:val="false"/>
                <w:sz w:val="19"/>
                <w:szCs w:val="19"/>
              </w:rPr>
              <w:t xml:space="preserve">7.3</w:t>
            </w:r>
          </w:p>
        </w:tc>
      </w:tr>
      <w:tr>
        <w:trPr>
          <w:cantSplit/>
          <w:tblHeader w:val="false"/>
        </w:trPr>
        <w:tc>
          <w:tcPr>
            <w:tcW w:type="dxa" w:w="3300"/>
            <w:tcMar>
              <w:top w:type="dxa" w:w="70"/>
              <w:left w:type="dxa" w:w="110"/>
              <w:bottom w:type="dxa" w:w="70"/>
              <w:right w:type="dxa" w:w="110"/>
            </w:tcMar>
            <w:vAlign w:val="center"/>
          </w:tcPr>
          <w:p>
            <w:pPr>
              <w:spacing w:after="40"/>
              <w:jc w:val="left"/>
            </w:pPr>
            <w:r>
              <w:rPr>
                <w:b w:val="false"/>
                <w:bCs w:val="false"/>
                <w:sz w:val="19"/>
                <w:szCs w:val="19"/>
              </w:rPr>
              <w:t xml:space="preserve">Mobilisation advance</w:t>
            </w:r>
          </w:p>
        </w:tc>
        <w:tc>
          <w:tcPr>
            <w:tcW w:type="dxa" w:w="4606"/>
            <w:tcMar>
              <w:top w:type="dxa" w:w="70"/>
              <w:left w:type="dxa" w:w="110"/>
              <w:bottom w:type="dxa" w:w="70"/>
              <w:right w:type="dxa" w:w="110"/>
            </w:tcMar>
            <w:vAlign w:val="center"/>
          </w:tcPr>
          <w:p>
            <w:pPr>
              <w:spacing w:after="40"/>
              <w:jc w:val="left"/>
            </w:pPr>
            <w:r>
              <w:rPr>
                <w:b w:val="false"/>
                <w:bCs w:val="false"/>
                <w:sz w:val="19"/>
                <w:szCs w:val="19"/>
              </w:rPr>
              <w:t xml:space="preserve">10% of Contract Price against bank guarantee; recovered at 12.5% of each bill</w:t>
            </w:r>
          </w:p>
        </w:tc>
        <w:tc>
          <w:tcPr>
            <w:tcW w:type="dxa" w:w="1500"/>
            <w:tcMar>
              <w:top w:type="dxa" w:w="70"/>
              <w:left w:type="dxa" w:w="110"/>
              <w:bottom w:type="dxa" w:w="70"/>
              <w:right w:type="dxa" w:w="110"/>
            </w:tcMar>
            <w:vAlign w:val="center"/>
          </w:tcPr>
          <w:p>
            <w:pPr>
              <w:spacing w:after="40"/>
              <w:jc w:val="left"/>
            </w:pPr>
            <w:r>
              <w:rPr>
                <w:b w:val="false"/>
                <w:bCs w:val="false"/>
                <w:sz w:val="19"/>
                <w:szCs w:val="19"/>
              </w:rPr>
              <w:t xml:space="preserve">9.1</w:t>
            </w:r>
          </w:p>
        </w:tc>
      </w:tr>
      <w:tr>
        <w:trPr>
          <w:cantSplit/>
          <w:tblHeader w:val="false"/>
        </w:trPr>
        <w:tc>
          <w:tcPr>
            <w:tcW w:type="dxa" w:w="3300"/>
            <w:tcMar>
              <w:top w:type="dxa" w:w="70"/>
              <w:left w:type="dxa" w:w="110"/>
              <w:bottom w:type="dxa" w:w="70"/>
              <w:right w:type="dxa" w:w="110"/>
            </w:tcMar>
            <w:vAlign w:val="center"/>
          </w:tcPr>
          <w:p>
            <w:pPr>
              <w:spacing w:after="40"/>
              <w:jc w:val="left"/>
            </w:pPr>
            <w:r>
              <w:rPr>
                <w:b w:val="false"/>
                <w:bCs w:val="false"/>
                <w:sz w:val="19"/>
                <w:szCs w:val="19"/>
              </w:rPr>
              <w:t xml:space="preserve">Payment period</w:t>
            </w:r>
          </w:p>
        </w:tc>
        <w:tc>
          <w:tcPr>
            <w:tcW w:type="dxa" w:w="4606"/>
            <w:tcMar>
              <w:top w:type="dxa" w:w="70"/>
              <w:left w:type="dxa" w:w="110"/>
              <w:bottom w:type="dxa" w:w="70"/>
              <w:right w:type="dxa" w:w="110"/>
            </w:tcMar>
            <w:vAlign w:val="center"/>
          </w:tcPr>
          <w:p>
            <w:pPr>
              <w:spacing w:after="40"/>
              <w:jc w:val="left"/>
            </w:pPr>
            <w:r>
              <w:rPr>
                <w:b w:val="false"/>
                <w:bCs w:val="false"/>
                <w:sz w:val="19"/>
                <w:szCs w:val="19"/>
              </w:rPr>
              <w:t xml:space="preserve">45 days from certification</w:t>
            </w:r>
          </w:p>
        </w:tc>
        <w:tc>
          <w:tcPr>
            <w:tcW w:type="dxa" w:w="1500"/>
            <w:tcMar>
              <w:top w:type="dxa" w:w="70"/>
              <w:left w:type="dxa" w:w="110"/>
              <w:bottom w:type="dxa" w:w="70"/>
              <w:right w:type="dxa" w:w="110"/>
            </w:tcMar>
            <w:vAlign w:val="center"/>
          </w:tcPr>
          <w:p>
            <w:pPr>
              <w:spacing w:after="40"/>
              <w:jc w:val="left"/>
            </w:pPr>
            <w:r>
              <w:rPr>
                <w:b w:val="false"/>
                <w:bCs w:val="false"/>
                <w:sz w:val="19"/>
                <w:szCs w:val="19"/>
              </w:rPr>
              <w:t xml:space="preserve">9.3</w:t>
            </w:r>
          </w:p>
        </w:tc>
      </w:tr>
      <w:tr>
        <w:trPr>
          <w:cantSplit/>
          <w:tblHeader w:val="false"/>
        </w:trPr>
        <w:tc>
          <w:tcPr>
            <w:tcW w:type="dxa" w:w="3300"/>
            <w:tcMar>
              <w:top w:type="dxa" w:w="70"/>
              <w:left w:type="dxa" w:w="110"/>
              <w:bottom w:type="dxa" w:w="70"/>
              <w:right w:type="dxa" w:w="110"/>
            </w:tcMar>
            <w:vAlign w:val="center"/>
          </w:tcPr>
          <w:p>
            <w:pPr>
              <w:spacing w:after="40"/>
              <w:jc w:val="left"/>
            </w:pPr>
            <w:r>
              <w:rPr>
                <w:b w:val="false"/>
                <w:bCs w:val="false"/>
                <w:sz w:val="19"/>
                <w:szCs w:val="19"/>
              </w:rPr>
              <w:t xml:space="preserve">Retention</w:t>
            </w:r>
          </w:p>
        </w:tc>
        <w:tc>
          <w:tcPr>
            <w:tcW w:type="dxa" w:w="4606"/>
            <w:tcMar>
              <w:top w:type="dxa" w:w="70"/>
              <w:left w:type="dxa" w:w="110"/>
              <w:bottom w:type="dxa" w:w="70"/>
              <w:right w:type="dxa" w:w="110"/>
            </w:tcMar>
            <w:vAlign w:val="center"/>
          </w:tcPr>
          <w:p>
            <w:pPr>
              <w:spacing w:after="40"/>
              <w:jc w:val="left"/>
            </w:pPr>
            <w:r>
              <w:rPr>
                <w:b w:val="false"/>
                <w:bCs w:val="false"/>
                <w:sz w:val="19"/>
                <w:szCs w:val="19"/>
              </w:rPr>
              <w:t xml:space="preserve">5% of each interim payment; 50% released at Taking Over</w:t>
            </w:r>
          </w:p>
        </w:tc>
        <w:tc>
          <w:tcPr>
            <w:tcW w:type="dxa" w:w="1500"/>
            <w:tcMar>
              <w:top w:type="dxa" w:w="70"/>
              <w:left w:type="dxa" w:w="110"/>
              <w:bottom w:type="dxa" w:w="70"/>
              <w:right w:type="dxa" w:w="110"/>
            </w:tcMar>
            <w:vAlign w:val="center"/>
          </w:tcPr>
          <w:p>
            <w:pPr>
              <w:spacing w:after="40"/>
              <w:jc w:val="left"/>
            </w:pPr>
            <w:r>
              <w:rPr>
                <w:b w:val="false"/>
                <w:bCs w:val="false"/>
                <w:sz w:val="19"/>
                <w:szCs w:val="19"/>
              </w:rPr>
              <w:t xml:space="preserve">10</w:t>
            </w:r>
          </w:p>
        </w:tc>
      </w:tr>
      <w:tr>
        <w:trPr>
          <w:cantSplit/>
          <w:tblHeader w:val="false"/>
        </w:trPr>
        <w:tc>
          <w:tcPr>
            <w:tcW w:type="dxa" w:w="3300"/>
            <w:tcMar>
              <w:top w:type="dxa" w:w="70"/>
              <w:left w:type="dxa" w:w="110"/>
              <w:bottom w:type="dxa" w:w="70"/>
              <w:right w:type="dxa" w:w="110"/>
            </w:tcMar>
            <w:vAlign w:val="center"/>
          </w:tcPr>
          <w:p>
            <w:pPr>
              <w:spacing w:after="40"/>
              <w:jc w:val="left"/>
            </w:pPr>
            <w:r>
              <w:rPr>
                <w:b w:val="false"/>
                <w:bCs w:val="false"/>
                <w:sz w:val="19"/>
                <w:szCs w:val="19"/>
              </w:rPr>
              <w:t xml:space="preserve">Performance security</w:t>
            </w:r>
          </w:p>
        </w:tc>
        <w:tc>
          <w:tcPr>
            <w:tcW w:type="dxa" w:w="4606"/>
            <w:tcMar>
              <w:top w:type="dxa" w:w="70"/>
              <w:left w:type="dxa" w:w="110"/>
              <w:bottom w:type="dxa" w:w="70"/>
              <w:right w:type="dxa" w:w="110"/>
            </w:tcMar>
            <w:vAlign w:val="center"/>
          </w:tcPr>
          <w:p>
            <w:pPr>
              <w:spacing w:after="40"/>
              <w:jc w:val="left"/>
            </w:pPr>
            <w:r>
              <w:rPr>
                <w:b w:val="false"/>
                <w:bCs w:val="false"/>
                <w:sz w:val="19"/>
                <w:szCs w:val="19"/>
              </w:rPr>
              <w:t xml:space="preserve">10% of Contract Price, valid until 90 days after the Defects Liability Period</w:t>
            </w:r>
          </w:p>
        </w:tc>
        <w:tc>
          <w:tcPr>
            <w:tcW w:type="dxa" w:w="1500"/>
            <w:tcMar>
              <w:top w:type="dxa" w:w="70"/>
              <w:left w:type="dxa" w:w="110"/>
              <w:bottom w:type="dxa" w:w="70"/>
              <w:right w:type="dxa" w:w="110"/>
            </w:tcMar>
            <w:vAlign w:val="center"/>
          </w:tcPr>
          <w:p>
            <w:pPr>
              <w:spacing w:after="40"/>
              <w:jc w:val="left"/>
            </w:pPr>
            <w:r>
              <w:rPr>
                <w:b w:val="false"/>
                <w:bCs w:val="false"/>
                <w:sz w:val="19"/>
                <w:szCs w:val="19"/>
              </w:rPr>
              <w:t xml:space="preserve">11</w:t>
            </w:r>
          </w:p>
        </w:tc>
      </w:tr>
      <w:tr>
        <w:trPr>
          <w:cantSplit/>
          <w:tblHeader w:val="false"/>
        </w:trPr>
        <w:tc>
          <w:tcPr>
            <w:tcW w:type="dxa" w:w="3300"/>
            <w:tcMar>
              <w:top w:type="dxa" w:w="70"/>
              <w:left w:type="dxa" w:w="110"/>
              <w:bottom w:type="dxa" w:w="70"/>
              <w:right w:type="dxa" w:w="110"/>
            </w:tcMar>
            <w:vAlign w:val="center"/>
          </w:tcPr>
          <w:p>
            <w:pPr>
              <w:spacing w:after="40"/>
              <w:jc w:val="left"/>
            </w:pPr>
            <w:r>
              <w:rPr>
                <w:b w:val="false"/>
                <w:bCs w:val="false"/>
                <w:sz w:val="19"/>
                <w:szCs w:val="19"/>
              </w:rPr>
              <w:t xml:space="preserve">Defects Liability Period</w:t>
            </w:r>
          </w:p>
        </w:tc>
        <w:tc>
          <w:tcPr>
            <w:tcW w:type="dxa" w:w="4606"/>
            <w:tcMar>
              <w:top w:type="dxa" w:w="70"/>
              <w:left w:type="dxa" w:w="110"/>
              <w:bottom w:type="dxa" w:w="70"/>
              <w:right w:type="dxa" w:w="110"/>
            </w:tcMar>
            <w:vAlign w:val="center"/>
          </w:tcPr>
          <w:p>
            <w:pPr>
              <w:spacing w:after="40"/>
              <w:jc w:val="left"/>
            </w:pPr>
            <w:r>
              <w:rPr>
                <w:b w:val="false"/>
                <w:bCs w:val="false"/>
                <w:sz w:val="19"/>
                <w:szCs w:val="19"/>
              </w:rPr>
              <w:t xml:space="preserve">24 months from Taking Over; 10-year waterproofing warranty</w:t>
            </w:r>
          </w:p>
        </w:tc>
        <w:tc>
          <w:tcPr>
            <w:tcW w:type="dxa" w:w="1500"/>
            <w:tcMar>
              <w:top w:type="dxa" w:w="70"/>
              <w:left w:type="dxa" w:w="110"/>
              <w:bottom w:type="dxa" w:w="70"/>
              <w:right w:type="dxa" w:w="110"/>
            </w:tcMar>
            <w:vAlign w:val="center"/>
          </w:tcPr>
          <w:p>
            <w:pPr>
              <w:spacing w:after="40"/>
              <w:jc w:val="left"/>
            </w:pPr>
            <w:r>
              <w:rPr>
                <w:b w:val="false"/>
                <w:bCs w:val="false"/>
                <w:sz w:val="19"/>
                <w:szCs w:val="19"/>
              </w:rPr>
              <w:t xml:space="preserve">12</w:t>
            </w:r>
          </w:p>
        </w:tc>
      </w:tr>
      <w:tr>
        <w:trPr>
          <w:cantSplit/>
          <w:tblHeader w:val="false"/>
        </w:trPr>
        <w:tc>
          <w:tcPr>
            <w:tcW w:type="dxa" w:w="3300"/>
            <w:tcMar>
              <w:top w:type="dxa" w:w="70"/>
              <w:left w:type="dxa" w:w="110"/>
              <w:bottom w:type="dxa" w:w="70"/>
              <w:right w:type="dxa" w:w="110"/>
            </w:tcMar>
            <w:vAlign w:val="center"/>
          </w:tcPr>
          <w:p>
            <w:pPr>
              <w:spacing w:after="40"/>
              <w:jc w:val="left"/>
            </w:pPr>
            <w:r>
              <w:rPr>
                <w:b w:val="false"/>
                <w:bCs w:val="false"/>
                <w:sz w:val="19"/>
                <w:szCs w:val="19"/>
              </w:rPr>
              <w:t xml:space="preserve">Contractor's liability cap</w:t>
            </w:r>
          </w:p>
        </w:tc>
        <w:tc>
          <w:tcPr>
            <w:tcW w:type="dxa" w:w="4606"/>
            <w:tcMar>
              <w:top w:type="dxa" w:w="70"/>
              <w:left w:type="dxa" w:w="110"/>
              <w:bottom w:type="dxa" w:w="70"/>
              <w:right w:type="dxa" w:w="110"/>
            </w:tcMar>
            <w:vAlign w:val="center"/>
          </w:tcPr>
          <w:p>
            <w:pPr>
              <w:spacing w:after="40"/>
              <w:jc w:val="left"/>
            </w:pPr>
            <w:r>
              <w:rPr>
                <w:b w:val="false"/>
                <w:bCs w:val="false"/>
                <w:sz w:val="19"/>
                <w:szCs w:val="19"/>
              </w:rPr>
              <w:t xml:space="preserve">100% of Contract Price (with exceptions)</w:t>
            </w:r>
          </w:p>
        </w:tc>
        <w:tc>
          <w:tcPr>
            <w:tcW w:type="dxa" w:w="1500"/>
            <w:tcMar>
              <w:top w:type="dxa" w:w="70"/>
              <w:left w:type="dxa" w:w="110"/>
              <w:bottom w:type="dxa" w:w="70"/>
              <w:right w:type="dxa" w:w="110"/>
            </w:tcMar>
            <w:vAlign w:val="center"/>
          </w:tcPr>
          <w:p>
            <w:pPr>
              <w:spacing w:after="40"/>
              <w:jc w:val="left"/>
            </w:pPr>
            <w:r>
              <w:rPr>
                <w:b w:val="false"/>
                <w:bCs w:val="false"/>
                <w:sz w:val="19"/>
                <w:szCs w:val="19"/>
              </w:rPr>
              <w:t xml:space="preserve">14.2</w:t>
            </w:r>
          </w:p>
        </w:tc>
      </w:tr>
      <w:tr>
        <w:trPr>
          <w:cantSplit/>
          <w:tblHeader w:val="false"/>
        </w:trPr>
        <w:tc>
          <w:tcPr>
            <w:tcW w:type="dxa" w:w="3300"/>
            <w:tcMar>
              <w:top w:type="dxa" w:w="70"/>
              <w:left w:type="dxa" w:w="110"/>
              <w:bottom w:type="dxa" w:w="70"/>
              <w:right w:type="dxa" w:w="110"/>
            </w:tcMar>
            <w:vAlign w:val="center"/>
          </w:tcPr>
          <w:p>
            <w:pPr>
              <w:spacing w:after="40"/>
              <w:jc w:val="left"/>
            </w:pPr>
            <w:r>
              <w:rPr>
                <w:b w:val="false"/>
                <w:bCs w:val="false"/>
                <w:sz w:val="19"/>
                <w:szCs w:val="19"/>
              </w:rPr>
              <w:t xml:space="preserve">Disputes</w:t>
            </w:r>
          </w:p>
        </w:tc>
        <w:tc>
          <w:tcPr>
            <w:tcW w:type="dxa" w:w="4606"/>
            <w:tcMar>
              <w:top w:type="dxa" w:w="70"/>
              <w:left w:type="dxa" w:w="110"/>
              <w:bottom w:type="dxa" w:w="70"/>
              <w:right w:type="dxa" w:w="110"/>
            </w:tcMar>
            <w:vAlign w:val="center"/>
          </w:tcPr>
          <w:p>
            <w:pPr>
              <w:spacing w:after="40"/>
              <w:jc w:val="left"/>
            </w:pPr>
            <w:r>
              <w:rPr>
                <w:b w:val="false"/>
                <w:bCs w:val="false"/>
                <w:sz w:val="19"/>
                <w:szCs w:val="19"/>
              </w:rPr>
              <w:t xml:space="preserve">Senior representatives, then arbitration (seat: Pune)</w:t>
            </w:r>
          </w:p>
        </w:tc>
        <w:tc>
          <w:tcPr>
            <w:tcW w:type="dxa" w:w="1500"/>
            <w:tcMar>
              <w:top w:type="dxa" w:w="70"/>
              <w:left w:type="dxa" w:w="110"/>
              <w:bottom w:type="dxa" w:w="70"/>
              <w:right w:type="dxa" w:w="110"/>
            </w:tcMar>
            <w:vAlign w:val="center"/>
          </w:tcPr>
          <w:p>
            <w:pPr>
              <w:spacing w:after="40"/>
              <w:jc w:val="left"/>
            </w:pPr>
            <w:r>
              <w:rPr>
                <w:b w:val="false"/>
                <w:bCs w:val="false"/>
                <w:sz w:val="19"/>
                <w:szCs w:val="19"/>
              </w:rPr>
              <w:t xml:space="preserve">19</w:t>
            </w:r>
          </w:p>
        </w:tc>
      </w:tr>
      <w:tr>
        <w:trPr>
          <w:cantSplit/>
          <w:tblHeader w:val="false"/>
        </w:trPr>
        <w:tc>
          <w:tcPr>
            <w:tcW w:type="dxa" w:w="3300"/>
            <w:tcMar>
              <w:top w:type="dxa" w:w="70"/>
              <w:left w:type="dxa" w:w="110"/>
              <w:bottom w:type="dxa" w:w="70"/>
              <w:right w:type="dxa" w:w="110"/>
            </w:tcMar>
            <w:vAlign w:val="center"/>
          </w:tcPr>
          <w:p>
            <w:pPr>
              <w:spacing w:after="40"/>
              <w:jc w:val="left"/>
            </w:pPr>
            <w:r>
              <w:rPr>
                <w:b w:val="false"/>
                <w:bCs w:val="false"/>
                <w:sz w:val="19"/>
                <w:szCs w:val="19"/>
              </w:rPr>
              <w:t xml:space="preserve">Governing law</w:t>
            </w:r>
          </w:p>
        </w:tc>
        <w:tc>
          <w:tcPr>
            <w:tcW w:type="dxa" w:w="4606"/>
            <w:tcMar>
              <w:top w:type="dxa" w:w="70"/>
              <w:left w:type="dxa" w:w="110"/>
              <w:bottom w:type="dxa" w:w="70"/>
              <w:right w:type="dxa" w:w="110"/>
            </w:tcMar>
            <w:vAlign w:val="center"/>
          </w:tcPr>
          <w:p>
            <w:pPr>
              <w:spacing w:after="40"/>
              <w:jc w:val="left"/>
            </w:pPr>
            <w:r>
              <w:rPr>
                <w:b w:val="false"/>
                <w:bCs w:val="false"/>
                <w:sz w:val="19"/>
                <w:szCs w:val="19"/>
              </w:rPr>
              <w:t xml:space="preserve">Laws of India</w:t>
            </w:r>
          </w:p>
        </w:tc>
        <w:tc>
          <w:tcPr>
            <w:tcW w:type="dxa" w:w="1500"/>
            <w:tcMar>
              <w:top w:type="dxa" w:w="70"/>
              <w:left w:type="dxa" w:w="110"/>
              <w:bottom w:type="dxa" w:w="70"/>
              <w:right w:type="dxa" w:w="110"/>
            </w:tcMar>
            <w:vAlign w:val="center"/>
          </w:tcPr>
          <w:p>
            <w:pPr>
              <w:spacing w:after="40"/>
              <w:jc w:val="left"/>
            </w:pPr>
            <w:r>
              <w:rPr>
                <w:b w:val="false"/>
                <w:bCs w:val="false"/>
                <w:sz w:val="19"/>
                <w:szCs w:val="19"/>
              </w:rPr>
              <w:t xml:space="preserve">20</w:t>
            </w:r>
          </w:p>
        </w:tc>
      </w:tr>
    </w:tbl>
    <w:p>
      <w:pPr>
        <w:pStyle w:val="Heading1"/>
        <w:pageBreakBefore/>
      </w:pPr>
      <w:r>
        <w:t xml:space="preserve">AGREEMENT</w:t>
      </w:r>
    </w:p>
    <w:p>
      <w:pPr>
        <w:spacing w:after="120" w:line="276"/>
        <w:jc w:val="both"/>
      </w:pPr>
      <w:r>
        <w:rPr>
          <w:b/>
          <w:bCs/>
        </w:rPr>
        <w:t xml:space="preserve">THIS AGREEMENT</w:t>
      </w:r>
      <w:r>
        <w:t xml:space="preserve"> is made at Pune on </w:t>
      </w:r>
      <w:r>
        <w:rPr>
          <w:b/>
          <w:bCs/>
        </w:rPr>
        <w:t xml:space="preserve">12 March 2026</w:t>
      </w:r>
    </w:p>
    <w:p>
      <w:pPr>
        <w:spacing w:after="120" w:line="276"/>
        <w:jc w:val="both"/>
      </w:pPr>
      <w:r>
        <w:rPr>
          <w:b/>
          <w:bCs/>
        </w:rPr>
        <w:t xml:space="preserve">BETWEEN</w:t>
      </w:r>
    </w:p>
    <w:p>
      <w:pPr>
        <w:spacing w:after="120" w:line="276"/>
        <w:jc w:val="both"/>
      </w:pPr>
      <w:r>
        <w:rPr>
          <w:b/>
          <w:bCs/>
        </w:rPr>
        <w:t xml:space="preserve">BEPSICO INDIA MANUFACTURING PRIVATE LIMITED</w:t>
      </w:r>
      <w:r>
        <w:t xml:space="preserve">, a company incorporated under the Companies Act, 2013, acting through its authorised signatory (the </w:t>
      </w:r>
      <w:r>
        <w:rPr>
          <w:b/>
          <w:bCs/>
        </w:rPr>
        <w:t xml:space="preserve">"Employer"</w:t>
      </w:r>
      <w:r>
        <w:t xml:space="preserve">, which expression shall include its successors and permitted assigns);</w:t>
      </w:r>
    </w:p>
    <w:p>
      <w:pPr>
        <w:spacing w:after="120" w:line="276"/>
        <w:jc w:val="both"/>
      </w:pPr>
      <w:r>
        <w:rPr>
          <w:b/>
          <w:bCs/>
        </w:rPr>
        <w:t xml:space="preserve">AND</w:t>
      </w:r>
    </w:p>
    <w:p>
      <w:pPr>
        <w:spacing w:after="120" w:line="276"/>
        <w:jc w:val="both"/>
      </w:pPr>
      <w:r>
        <w:rPr>
          <w:b/>
          <w:bCs/>
        </w:rPr>
        <w:t xml:space="preserve">ROHAN BUILDERS PRIVATE LIMITED</w:t>
      </w:r>
      <w:r>
        <w:t xml:space="preserve">, a company incorporated under the Companies Act, 2013, acting through its authorised signatory (the </w:t>
      </w:r>
      <w:r>
        <w:rPr>
          <w:b/>
          <w:bCs/>
        </w:rPr>
        <w:t xml:space="preserve">"Contractor"</w:t>
      </w:r>
      <w:r>
        <w:t xml:space="preserve">, which expression shall include its successors and permitted assigns).</w:t>
      </w:r>
    </w:p>
    <w:p>
      <w:pPr>
        <w:spacing w:after="120" w:line="276"/>
        <w:jc w:val="both"/>
      </w:pPr>
      <w:r>
        <w:t xml:space="preserve">The Employer and the Contractor are each a </w:t>
      </w:r>
      <w:r>
        <w:rPr>
          <w:b/>
          <w:bCs/>
        </w:rPr>
        <w:t xml:space="preserve">"Party"</w:t>
      </w:r>
      <w:r>
        <w:t xml:space="preserve"> and together the </w:t>
      </w:r>
      <w:r>
        <w:rPr>
          <w:b/>
          <w:bCs/>
        </w:rPr>
        <w:t xml:space="preserve">"Parties"</w:t>
      </w:r>
      <w:r>
        <w:t xml:space="preserve">.</w:t>
      </w:r>
    </w:p>
    <w:p>
      <w:pPr>
        <w:pStyle w:val="Heading2"/>
      </w:pPr>
      <w:r>
        <w:t xml:space="preserve">RECITALS</w:t>
      </w:r>
    </w:p>
    <w:p>
      <w:pPr>
        <w:tabs>
          <w:tab w:val="left" w:pos="720"/>
        </w:tabs>
        <w:spacing w:after="120" w:line="276"/>
        <w:ind w:left="720" w:hanging="720"/>
        <w:jc w:val="both"/>
      </w:pPr>
      <w:r>
        <w:rPr>
          <w:b/>
          <w:bCs/>
        </w:rPr>
        <w:t xml:space="preserve">A.</w:t>
      </w:r>
      <w:r>
        <w:tab/>
      </w:r>
      <w:r>
        <w:t xml:space="preserve">The Employer is expanding its manufacturing facility at MIDC Chakan Industrial Area, Phase II, Pune, and requires the construction of a new Process Building (the </w:t>
      </w:r>
      <w:r>
        <w:rPr>
          <w:b/>
          <w:bCs/>
        </w:rPr>
        <w:t xml:space="preserve">"Project"</w:t>
      </w:r>
      <w:r>
        <w:t xml:space="preserve">).</w:t>
      </w:r>
    </w:p>
    <w:p>
      <w:pPr>
        <w:tabs>
          <w:tab w:val="left" w:pos="720"/>
        </w:tabs>
        <w:spacing w:after="120" w:line="276"/>
        <w:ind w:left="720" w:hanging="720"/>
        <w:jc w:val="both"/>
      </w:pPr>
      <w:r>
        <w:rPr>
          <w:b/>
          <w:bCs/>
        </w:rPr>
        <w:t xml:space="preserve">B.</w:t>
      </w:r>
      <w:r>
        <w:tab/>
      </w:r>
      <w:r>
        <w:t xml:space="preserve">The Employer invited tenders under Enquiry No. BPC/CHK/ENQ/2025/088. The Contractor submitted its offer dated 20 January 2026 and, following negotiations, the Employer issued a Letter of Award dated 28 February 2026.</w:t>
      </w:r>
    </w:p>
    <w:p>
      <w:pPr>
        <w:tabs>
          <w:tab w:val="left" w:pos="720"/>
        </w:tabs>
        <w:spacing w:after="120" w:line="276"/>
        <w:ind w:left="720" w:hanging="720"/>
        <w:jc w:val="both"/>
      </w:pPr>
      <w:r>
        <w:rPr>
          <w:b/>
          <w:bCs/>
        </w:rPr>
        <w:t xml:space="preserve">C.</w:t>
      </w:r>
      <w:r>
        <w:tab/>
      </w:r>
      <w:r>
        <w:t xml:space="preserve">The Parties wish to record the terms on which the Contractor shall execute and complete the Works.</w:t>
      </w:r>
    </w:p>
    <w:p>
      <w:pPr>
        <w:spacing w:after="120" w:line="276"/>
        <w:jc w:val="both"/>
      </w:pPr>
      <w:r>
        <w:rPr>
          <w:b/>
          <w:bCs/>
        </w:rPr>
        <w:t xml:space="preserve">NOW, THEREFORE, THE PARTIES AGREE AS FOLLOWS:</w:t>
      </w:r>
    </w:p>
    <w:p>
      <w:pPr>
        <w:pStyle w:val="Heading1"/>
      </w:pPr>
      <w:r>
        <w:t xml:space="preserve">1.  DEFINITIONS AND INTERPRETATION</w:t>
      </w:r>
    </w:p>
    <w:p>
      <w:pPr>
        <w:tabs>
          <w:tab w:val="left" w:pos="720"/>
        </w:tabs>
        <w:spacing w:after="120" w:line="276"/>
        <w:ind w:left="720" w:hanging="720"/>
        <w:jc w:val="both"/>
      </w:pPr>
      <w:r>
        <w:rPr>
          <w:b/>
          <w:bCs/>
        </w:rPr>
        <w:t xml:space="preserve">1.1</w:t>
      </w:r>
      <w:r>
        <w:tab/>
      </w:r>
      <w:r>
        <w:t xml:space="preserve">In this Agreement the following words and expressions have the meanings given below:</w:t>
      </w:r>
    </w:p>
    <w:p>
      <w:pPr>
        <w:tabs>
          <w:tab w:val="left" w:pos="1260"/>
        </w:tabs>
        <w:spacing w:after="80" w:line="276"/>
        <w:ind w:left="1260" w:hanging="540"/>
        <w:jc w:val="both"/>
      </w:pPr>
      <w:r>
        <w:t xml:space="preserve">(a)</w:t>
      </w:r>
      <w:r>
        <w:tab/>
      </w:r>
      <w:r>
        <w:rPr>
          <w:b/>
          <w:bCs/>
        </w:rPr>
        <w:t xml:space="preserve">"Agreement"</w:t>
      </w:r>
      <w:r>
        <w:t xml:space="preserve"> or </w:t>
      </w:r>
      <w:r>
        <w:rPr>
          <w:b/>
          <w:bCs/>
        </w:rPr>
        <w:t xml:space="preserve">"Contract"</w:t>
      </w:r>
      <w:r>
        <w:t xml:space="preserve"> means this agreement, its Annexures and the documents listed in Clause 1.3.</w:t>
      </w:r>
    </w:p>
    <w:p>
      <w:pPr>
        <w:tabs>
          <w:tab w:val="left" w:pos="1260"/>
        </w:tabs>
        <w:spacing w:after="80" w:line="276"/>
        <w:ind w:left="1260" w:hanging="540"/>
        <w:jc w:val="both"/>
      </w:pPr>
      <w:r>
        <w:t xml:space="preserve">(b)</w:t>
      </w:r>
      <w:r>
        <w:tab/>
      </w:r>
      <w:r>
        <w:rPr>
          <w:b/>
          <w:bCs/>
        </w:rPr>
        <w:t xml:space="preserve">"Base Date"</w:t>
      </w:r>
      <w:r>
        <w:t xml:space="preserve"> means 10 February 2026, being 28 days before the latest date for submission of the Contractor's final offer.</w:t>
      </w:r>
    </w:p>
    <w:p>
      <w:pPr>
        <w:tabs>
          <w:tab w:val="left" w:pos="1260"/>
        </w:tabs>
        <w:spacing w:after="80" w:line="276"/>
        <w:ind w:left="1260" w:hanging="540"/>
        <w:jc w:val="both"/>
      </w:pPr>
      <w:r>
        <w:t xml:space="preserve">(c)</w:t>
      </w:r>
      <w:r>
        <w:tab/>
      </w:r>
      <w:r>
        <w:rPr>
          <w:b/>
          <w:bCs/>
        </w:rPr>
        <w:t xml:space="preserve">"Contract Price"</w:t>
      </w:r>
      <w:r>
        <w:t xml:space="preserve"> means the lump sum of INR 1,48,60,00,000 (Indian Rupees One Hundred Forty-Eight Crore Sixty Lakh only), exclusive of GST, subject to adjustment only as expressly provided in this Agreement.</w:t>
      </w:r>
    </w:p>
    <w:p>
      <w:pPr>
        <w:tabs>
          <w:tab w:val="left" w:pos="1260"/>
        </w:tabs>
        <w:spacing w:after="80" w:line="276"/>
        <w:ind w:left="1260" w:hanging="540"/>
        <w:jc w:val="both"/>
      </w:pPr>
      <w:r>
        <w:t xml:space="preserve">(d)</w:t>
      </w:r>
      <w:r>
        <w:tab/>
      </w:r>
      <w:r>
        <w:rPr>
          <w:b/>
          <w:bCs/>
        </w:rPr>
        <w:t xml:space="preserve">"Employer's Representative"</w:t>
      </w:r>
      <w:r>
        <w:t xml:space="preserve"> means the person appointed by the Employer under Clause 2.4 to act on its behalf.</w:t>
      </w:r>
    </w:p>
    <w:p>
      <w:pPr>
        <w:tabs>
          <w:tab w:val="left" w:pos="1260"/>
        </w:tabs>
        <w:spacing w:after="80" w:line="276"/>
        <w:ind w:left="1260" w:hanging="540"/>
        <w:jc w:val="both"/>
      </w:pPr>
      <w:r>
        <w:t xml:space="preserve">(e)</w:t>
      </w:r>
      <w:r>
        <w:tab/>
      </w:r>
      <w:r>
        <w:rPr>
          <w:b/>
          <w:bCs/>
        </w:rPr>
        <w:t xml:space="preserve">"Hold Point"</w:t>
      </w:r>
      <w:r>
        <w:t xml:space="preserve"> means a stage of the Works identified in Annexure B beyond which the Contractor shall not proceed without the written release of the Employer's Representative.</w:t>
      </w:r>
    </w:p>
    <w:p>
      <w:pPr>
        <w:tabs>
          <w:tab w:val="left" w:pos="1260"/>
        </w:tabs>
        <w:spacing w:after="80" w:line="276"/>
        <w:ind w:left="1260" w:hanging="540"/>
        <w:jc w:val="both"/>
      </w:pPr>
      <w:r>
        <w:t xml:space="preserve">(f)</w:t>
      </w:r>
      <w:r>
        <w:tab/>
      </w:r>
      <w:r>
        <w:rPr>
          <w:b/>
          <w:bCs/>
        </w:rPr>
        <w:t xml:space="preserve">"Mechanical Completion"</w:t>
      </w:r>
      <w:r>
        <w:t xml:space="preserve"> means the stage at which the Works are complete to the extent that the Employer's process equipment can be installed, including all equipment foundations, the ground-floor industrial slab, suspended slabs, roof, cladding and safe access, as certified by the Employer's Representative. Minor items that do not affect installation may remain on a punch list.</w:t>
      </w:r>
    </w:p>
    <w:p>
      <w:pPr>
        <w:tabs>
          <w:tab w:val="left" w:pos="1260"/>
        </w:tabs>
        <w:spacing w:after="80" w:line="276"/>
        <w:ind w:left="1260" w:hanging="540"/>
        <w:jc w:val="both"/>
      </w:pPr>
      <w:r>
        <w:t xml:space="preserve">(g)</w:t>
      </w:r>
      <w:r>
        <w:tab/>
      </w:r>
      <w:r>
        <w:rPr>
          <w:b/>
          <w:bCs/>
        </w:rPr>
        <w:t xml:space="preserve">"Milestone"</w:t>
      </w:r>
      <w:r>
        <w:t xml:space="preserve"> and </w:t>
      </w:r>
      <w:r>
        <w:rPr>
          <w:b/>
          <w:bCs/>
        </w:rPr>
        <w:t xml:space="preserve">"Milestone Date"</w:t>
      </w:r>
      <w:r>
        <w:t xml:space="preserve"> mean the milestones and dates set out in Clause 4.2 and Annexure C.</w:t>
      </w:r>
    </w:p>
    <w:p>
      <w:pPr>
        <w:tabs>
          <w:tab w:val="left" w:pos="1260"/>
        </w:tabs>
        <w:spacing w:after="80" w:line="276"/>
        <w:ind w:left="1260" w:hanging="540"/>
        <w:jc w:val="both"/>
      </w:pPr>
      <w:r>
        <w:t xml:space="preserve">(h)</w:t>
      </w:r>
      <w:r>
        <w:tab/>
      </w:r>
      <w:r>
        <w:rPr>
          <w:b/>
          <w:bCs/>
        </w:rPr>
        <w:t xml:space="preserve">"Programme"</w:t>
      </w:r>
      <w:r>
        <w:t xml:space="preserve"> means the Contractor's Level 3 programme approved under Clause 5.</w:t>
      </w:r>
    </w:p>
    <w:p>
      <w:pPr>
        <w:tabs>
          <w:tab w:val="left" w:pos="1260"/>
        </w:tabs>
        <w:spacing w:after="80" w:line="276"/>
        <w:ind w:left="1260" w:hanging="540"/>
        <w:jc w:val="both"/>
      </w:pPr>
      <w:r>
        <w:t xml:space="preserve">(i)</w:t>
      </w:r>
      <w:r>
        <w:tab/>
      </w:r>
      <w:r>
        <w:rPr>
          <w:b/>
          <w:bCs/>
        </w:rPr>
        <w:t xml:space="preserve">"Taking Over"</w:t>
      </w:r>
      <w:r>
        <w:t xml:space="preserve"> means the issue of the Taking-Over Certificate under Clause 4.4 on completion of all the Works, including finishes, external works and handover documentation.</w:t>
      </w:r>
    </w:p>
    <w:p>
      <w:pPr>
        <w:tabs>
          <w:tab w:val="left" w:pos="1260"/>
        </w:tabs>
        <w:spacing w:after="80" w:line="276"/>
        <w:ind w:left="1260" w:hanging="540"/>
        <w:jc w:val="both"/>
      </w:pPr>
      <w:r>
        <w:t xml:space="preserve">(j)</w:t>
      </w:r>
      <w:r>
        <w:tab/>
      </w:r>
      <w:r>
        <w:rPr>
          <w:b/>
          <w:bCs/>
        </w:rPr>
        <w:t xml:space="preserve">"Variation"</w:t>
      </w:r>
      <w:r>
        <w:t xml:space="preserve"> means a change to the Works instructed in accordance with Clause 8.</w:t>
      </w:r>
    </w:p>
    <w:p>
      <w:pPr>
        <w:tabs>
          <w:tab w:val="left" w:pos="1260"/>
        </w:tabs>
        <w:spacing w:after="80" w:line="276"/>
        <w:ind w:left="1260" w:hanging="540"/>
        <w:jc w:val="both"/>
      </w:pPr>
      <w:r>
        <w:t xml:space="preserve">(k)</w:t>
      </w:r>
      <w:r>
        <w:tab/>
      </w:r>
      <w:r>
        <w:rPr>
          <w:b/>
          <w:bCs/>
        </w:rPr>
        <w:t xml:space="preserve">"Works"</w:t>
      </w:r>
      <w:r>
        <w:t xml:space="preserve"> means all civil, structural and building works described in Annexure A, including temporary works.</w:t>
      </w:r>
    </w:p>
    <w:p>
      <w:pPr>
        <w:tabs>
          <w:tab w:val="left" w:pos="720"/>
        </w:tabs>
        <w:spacing w:after="120" w:line="276"/>
        <w:ind w:left="720" w:hanging="720"/>
        <w:jc w:val="both"/>
      </w:pPr>
      <w:r>
        <w:rPr>
          <w:b/>
          <w:bCs/>
        </w:rPr>
        <w:t xml:space="preserve">1.2</w:t>
      </w:r>
      <w:r>
        <w:tab/>
      </w:r>
      <w:r>
        <w:t xml:space="preserve">Headings are for convenience only. A reference to a law includes that law as amended, re-enacted or replaced from time to time. "Days" means calendar days.</w:t>
      </w:r>
    </w:p>
    <w:p>
      <w:pPr>
        <w:tabs>
          <w:tab w:val="left" w:pos="720"/>
        </w:tabs>
        <w:spacing w:after="120" w:line="276"/>
        <w:ind w:left="720" w:hanging="720"/>
        <w:jc w:val="both"/>
      </w:pPr>
      <w:r>
        <w:rPr>
          <w:b/>
          <w:bCs/>
        </w:rPr>
        <w:t xml:space="preserve">1.3</w:t>
      </w:r>
      <w:r>
        <w:tab/>
      </w:r>
      <w:r>
        <w:t xml:space="preserve">The documents forming the Contract are to be read as mutually explanatory. In case of conflict, they shall take precedence in the following order: (a) this Agreement; (b) the Letter of Award dated 28 February 2026; (c) Annexure C (Milestones, Delay Damages and Payment Breakdown); (d) Annexure B (Key Technical Specifications) and the Employer's drawings; (e) Annexure A (Scope of Works); (f) the Contractor's offer dated 20 January 2026, as clarified in negotiations.</w:t>
      </w:r>
    </w:p>
    <w:p>
      <w:pPr>
        <w:pStyle w:val="Heading1"/>
      </w:pPr>
      <w:r>
        <w:t xml:space="preserve">2.  SCOPE AND GENERAL OBLIGATIONS</w:t>
      </w:r>
    </w:p>
    <w:p>
      <w:pPr>
        <w:tabs>
          <w:tab w:val="left" w:pos="720"/>
        </w:tabs>
        <w:spacing w:after="120" w:line="276"/>
        <w:ind w:left="720" w:hanging="720"/>
        <w:jc w:val="both"/>
      </w:pPr>
      <w:r>
        <w:rPr>
          <w:b/>
          <w:bCs/>
        </w:rPr>
        <w:t xml:space="preserve">2.1</w:t>
      </w:r>
      <w:r>
        <w:tab/>
      </w:r>
      <w:r>
        <w:t xml:space="preserve">The Contractor shall execute and complete the Works and remedy any defects in them in accordance with the Contract, the Employer's drawings and specifications, the applicable Indian Standards and good industry practice. The Contractor is responsible for the design of all temporary works.</w:t>
      </w:r>
    </w:p>
    <w:p>
      <w:pPr>
        <w:tabs>
          <w:tab w:val="left" w:pos="720"/>
        </w:tabs>
        <w:spacing w:after="120" w:line="276"/>
        <w:ind w:left="720" w:hanging="720"/>
        <w:jc w:val="both"/>
      </w:pPr>
      <w:r>
        <w:rPr>
          <w:b/>
          <w:bCs/>
        </w:rPr>
        <w:t xml:space="preserve">2.2</w:t>
      </w:r>
      <w:r>
        <w:tab/>
      </w:r>
      <w:r>
        <w:t xml:space="preserve">The Contractor is deemed to have inspected the Site and its surroundings and the Employer's geotechnical investigation report (Ref. GIR/CHK/2025/07), and to have satisfied itself as to ground and sub-surface conditions, including rock levels, groundwater and monsoon run-off. No claim for time or money shall be admissible for ground conditions, except for conditions which an experienced contractor could not reasonably have foreseen at the Base Date.</w:t>
      </w:r>
    </w:p>
    <w:p>
      <w:pPr>
        <w:tabs>
          <w:tab w:val="left" w:pos="720"/>
        </w:tabs>
        <w:spacing w:after="120" w:line="276"/>
        <w:ind w:left="720" w:hanging="720"/>
        <w:jc w:val="both"/>
      </w:pPr>
      <w:r>
        <w:rPr>
          <w:b/>
          <w:bCs/>
        </w:rPr>
        <w:t xml:space="preserve">2.3</w:t>
      </w:r>
      <w:r>
        <w:tab/>
      </w:r>
      <w:r>
        <w:t xml:space="preserve">The Contractor shall provide builder's works in connection with mechanical, electrical and process installations by others, and shall coordinate with and give reasonable access to the Employer's other contractors without additional cost.</w:t>
      </w:r>
    </w:p>
    <w:p>
      <w:pPr>
        <w:tabs>
          <w:tab w:val="left" w:pos="720"/>
        </w:tabs>
        <w:spacing w:after="120" w:line="276"/>
        <w:ind w:left="720" w:hanging="720"/>
        <w:jc w:val="both"/>
      </w:pPr>
      <w:r>
        <w:rPr>
          <w:b/>
          <w:bCs/>
        </w:rPr>
        <w:t xml:space="preserve">2.4</w:t>
      </w:r>
      <w:r>
        <w:tab/>
      </w:r>
      <w:r>
        <w:t xml:space="preserve">The Employer shall appoint the Employer's Representative and notify the Contractor in writing. An instruction is valid only if given in writing by the Employer's Representative.</w:t>
      </w:r>
    </w:p>
    <w:p>
      <w:pPr>
        <w:tabs>
          <w:tab w:val="left" w:pos="720"/>
        </w:tabs>
        <w:spacing w:after="120" w:line="276"/>
        <w:ind w:left="720" w:hanging="720"/>
        <w:jc w:val="both"/>
      </w:pPr>
      <w:r>
        <w:rPr>
          <w:b/>
          <w:bCs/>
        </w:rPr>
        <w:t xml:space="preserve">2.5</w:t>
      </w:r>
      <w:r>
        <w:tab/>
      </w:r>
      <w:r>
        <w:t xml:space="preserve">The Employer shall issue good-for-construction (GFC) drawings in accordance with the drawing schedule agreed with the Programme.</w:t>
      </w:r>
    </w:p>
    <w:p>
      <w:pPr>
        <w:tabs>
          <w:tab w:val="left" w:pos="720"/>
        </w:tabs>
        <w:spacing w:after="120" w:line="276"/>
        <w:ind w:left="720" w:hanging="720"/>
        <w:jc w:val="both"/>
      </w:pPr>
      <w:r>
        <w:rPr>
          <w:b/>
          <w:bCs/>
        </w:rPr>
        <w:t xml:space="preserve">2.6</w:t>
      </w:r>
      <w:r>
        <w:tab/>
      </w:r>
      <w:r>
        <w:t xml:space="preserve">The Employer shall obtain building permission from MIDC and the Consent to Establish from the Maharashtra Pollution Control Board. The Contractor shall obtain all other permits, licences and registrations required for execution, including labour licences, registration of the establishment and workers under applicable labour laws, and permissions for dewatering and the use of public roads.</w:t>
      </w:r>
    </w:p>
    <w:p>
      <w:pPr>
        <w:pStyle w:val="Heading1"/>
      </w:pPr>
      <w:r>
        <w:t xml:space="preserve">3.  CONTRACT PRICE</w:t>
      </w:r>
    </w:p>
    <w:p>
      <w:pPr>
        <w:tabs>
          <w:tab w:val="left" w:pos="720"/>
        </w:tabs>
        <w:spacing w:after="120" w:line="276"/>
        <w:ind w:left="720" w:hanging="720"/>
        <w:jc w:val="both"/>
      </w:pPr>
      <w:r>
        <w:rPr>
          <w:b/>
          <w:bCs/>
        </w:rPr>
        <w:t xml:space="preserve">3.1</w:t>
      </w:r>
      <w:r>
        <w:tab/>
      </w:r>
      <w:r>
        <w:t xml:space="preserve">The Contract Price is a firm lump sum for the complete Works and includes all labour, materials, plant, temporary works, overheads, profit, insurance, taxes and duties (other than GST), and all risks and obligations under the Contract.</w:t>
      </w:r>
    </w:p>
    <w:p>
      <w:pPr>
        <w:tabs>
          <w:tab w:val="left" w:pos="720"/>
        </w:tabs>
        <w:spacing w:after="120" w:line="276"/>
        <w:ind w:left="720" w:hanging="720"/>
        <w:jc w:val="both"/>
      </w:pPr>
      <w:r>
        <w:rPr>
          <w:b/>
          <w:bCs/>
        </w:rPr>
        <w:t xml:space="preserve">3.2</w:t>
      </w:r>
      <w:r>
        <w:tab/>
      </w:r>
      <w:r>
        <w:t xml:space="preserve">GST shall be paid by the Employer at the applicable rate against valid tax invoices. Any change in the rate of GST after the Base Date shall be adjusted at actuals.</w:t>
      </w:r>
    </w:p>
    <w:p>
      <w:pPr>
        <w:tabs>
          <w:tab w:val="left" w:pos="720"/>
        </w:tabs>
        <w:spacing w:after="120" w:line="276"/>
        <w:ind w:left="720" w:hanging="720"/>
        <w:jc w:val="both"/>
      </w:pPr>
      <w:r>
        <w:rPr>
          <w:b/>
          <w:bCs/>
        </w:rPr>
        <w:t xml:space="preserve">3.3</w:t>
      </w:r>
      <w:r>
        <w:tab/>
      </w:r>
      <w:r>
        <w:t xml:space="preserve">Price adjustment applies only to reinforcement steel and cement, using the Wholesale Price Index for the respective commodity published by the Office of the Economic Adviser, DPIIT, Government of India. An adjustment shall be made only to the extent that the index for the month of consumption differs from the Base Date index by more than ±5%. No adjustment applies to any other input, including labour, fuel, aggregates or structural steel.</w:t>
      </w:r>
    </w:p>
    <w:p>
      <w:pPr>
        <w:tabs>
          <w:tab w:val="left" w:pos="720"/>
        </w:tabs>
        <w:spacing w:after="120" w:line="276"/>
        <w:ind w:left="720" w:hanging="720"/>
        <w:jc w:val="both"/>
      </w:pPr>
      <w:r>
        <w:rPr>
          <w:b/>
          <w:bCs/>
        </w:rPr>
        <w:t xml:space="preserve">3.4</w:t>
      </w:r>
      <w:r>
        <w:tab/>
      </w:r>
      <w:r>
        <w:t xml:space="preserve">Quantities in the bill of quantities are indicative only. The Contractor shall have no claim for any change in quantities within the lump sum scope unless it arises from a Variation.</w:t>
      </w:r>
    </w:p>
    <w:p>
      <w:pPr>
        <w:pStyle w:val="Heading1"/>
      </w:pPr>
      <w:r>
        <w:t xml:space="preserve">4.  TIME FOR COMPLETION AND MILESTONES</w:t>
      </w:r>
    </w:p>
    <w:p>
      <w:pPr>
        <w:tabs>
          <w:tab w:val="left" w:pos="720"/>
        </w:tabs>
        <w:spacing w:after="120" w:line="276"/>
        <w:ind w:left="720" w:hanging="720"/>
        <w:jc w:val="both"/>
      </w:pPr>
      <w:r>
        <w:rPr>
          <w:b/>
          <w:bCs/>
        </w:rPr>
        <w:t xml:space="preserve">4.1</w:t>
      </w:r>
      <w:r>
        <w:tab/>
      </w:r>
      <w:r>
        <w:t xml:space="preserve">The Contractor shall commence the Works on </w:t>
      </w:r>
      <w:r>
        <w:rPr>
          <w:b/>
          <w:bCs/>
        </w:rPr>
        <w:t xml:space="preserve">01 April 2026</w:t>
      </w:r>
      <w:r>
        <w:t xml:space="preserve"> (the </w:t>
      </w:r>
      <w:r>
        <w:rPr>
          <w:b/>
          <w:bCs/>
        </w:rPr>
        <w:t xml:space="preserve">"Commencement Date"</w:t>
      </w:r>
      <w:r>
        <w:t xml:space="preserve">) and shall proceed with due expedition and without delay.</w:t>
      </w:r>
    </w:p>
    <w:p>
      <w:pPr>
        <w:tabs>
          <w:tab w:val="left" w:pos="720"/>
        </w:tabs>
        <w:spacing w:after="120" w:line="276"/>
        <w:ind w:left="720" w:hanging="720"/>
        <w:jc w:val="both"/>
      </w:pPr>
      <w:r>
        <w:rPr>
          <w:b/>
          <w:bCs/>
        </w:rPr>
        <w:t xml:space="preserve">4.2</w:t>
      </w:r>
      <w:r>
        <w:tab/>
      </w:r>
      <w:r>
        <w:t xml:space="preserve">The Contractor shall achieve the following Milestones by the Milestone Dates:</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00"/>
        <w:gridCol w:w="5406"/>
        <w:gridCol w:w="3100"/>
      </w:tblGrid>
      <w:tr>
        <w:trPr>
          <w:cantSplit/>
          <w:tblHeader/>
        </w:trPr>
        <w:tc>
          <w:tcPr>
            <w:tcW w:type="dxa" w:w="900"/>
            <w:shd w:fill="D9E2F3" w:color="auto" w:val="clear"/>
            <w:tcMar>
              <w:top w:type="dxa" w:w="70"/>
              <w:left w:type="dxa" w:w="110"/>
              <w:bottom w:type="dxa" w:w="70"/>
              <w:right w:type="dxa" w:w="110"/>
            </w:tcMar>
            <w:vAlign w:val="center"/>
          </w:tcPr>
          <w:p>
            <w:pPr>
              <w:spacing w:after="40"/>
              <w:jc w:val="left"/>
            </w:pPr>
            <w:r>
              <w:rPr>
                <w:b/>
                <w:bCs/>
                <w:color w:val="1F3864"/>
                <w:sz w:val="19"/>
                <w:szCs w:val="19"/>
              </w:rPr>
              <w:t xml:space="preserve">No.</w:t>
            </w:r>
          </w:p>
        </w:tc>
        <w:tc>
          <w:tcPr>
            <w:tcW w:type="dxa" w:w="5406"/>
            <w:shd w:fill="D9E2F3" w:color="auto" w:val="clear"/>
            <w:tcMar>
              <w:top w:type="dxa" w:w="70"/>
              <w:left w:type="dxa" w:w="110"/>
              <w:bottom w:type="dxa" w:w="70"/>
              <w:right w:type="dxa" w:w="110"/>
            </w:tcMar>
            <w:vAlign w:val="center"/>
          </w:tcPr>
          <w:p>
            <w:pPr>
              <w:spacing w:after="40"/>
              <w:jc w:val="left"/>
            </w:pPr>
            <w:r>
              <w:rPr>
                <w:b/>
                <w:bCs/>
                <w:color w:val="1F3864"/>
                <w:sz w:val="19"/>
                <w:szCs w:val="19"/>
              </w:rPr>
              <w:t xml:space="preserve">Milestone</w:t>
            </w:r>
          </w:p>
        </w:tc>
        <w:tc>
          <w:tcPr>
            <w:tcW w:type="dxa" w:w="3100"/>
            <w:shd w:fill="D9E2F3" w:color="auto" w:val="clear"/>
            <w:tcMar>
              <w:top w:type="dxa" w:w="70"/>
              <w:left w:type="dxa" w:w="110"/>
              <w:bottom w:type="dxa" w:w="70"/>
              <w:right w:type="dxa" w:w="110"/>
            </w:tcMar>
            <w:vAlign w:val="center"/>
          </w:tcPr>
          <w:p>
            <w:pPr>
              <w:spacing w:after="40"/>
              <w:jc w:val="left"/>
            </w:pPr>
            <w:r>
              <w:rPr>
                <w:b/>
                <w:bCs/>
                <w:color w:val="1F3864"/>
                <w:sz w:val="19"/>
                <w:szCs w:val="19"/>
              </w:rPr>
              <w:t xml:space="preserve">Milestone Date</w:t>
            </w:r>
          </w:p>
        </w:tc>
      </w:tr>
      <w:tr>
        <w:trPr>
          <w:cantSplit/>
          <w:tblHeader w:val="false"/>
        </w:trPr>
        <w:tc>
          <w:tcPr>
            <w:tcW w:type="dxa" w:w="900"/>
            <w:tcMar>
              <w:top w:type="dxa" w:w="70"/>
              <w:left w:type="dxa" w:w="110"/>
              <w:bottom w:type="dxa" w:w="70"/>
              <w:right w:type="dxa" w:w="110"/>
            </w:tcMar>
            <w:vAlign w:val="center"/>
          </w:tcPr>
          <w:p>
            <w:pPr>
              <w:spacing w:after="40"/>
              <w:jc w:val="left"/>
            </w:pPr>
            <w:r>
              <w:rPr>
                <w:b w:val="false"/>
                <w:bCs w:val="false"/>
                <w:sz w:val="19"/>
                <w:szCs w:val="19"/>
              </w:rPr>
              <w:t xml:space="preserve">M1</w:t>
            </w:r>
          </w:p>
        </w:tc>
        <w:tc>
          <w:tcPr>
            <w:tcW w:type="dxa" w:w="5406"/>
            <w:tcMar>
              <w:top w:type="dxa" w:w="70"/>
              <w:left w:type="dxa" w:w="110"/>
              <w:bottom w:type="dxa" w:w="70"/>
              <w:right w:type="dxa" w:w="110"/>
            </w:tcMar>
            <w:vAlign w:val="center"/>
          </w:tcPr>
          <w:p>
            <w:pPr>
              <w:spacing w:after="40"/>
              <w:jc w:val="left"/>
            </w:pPr>
            <w:r>
              <w:rPr>
                <w:b w:val="false"/>
                <w:bCs w:val="false"/>
                <w:sz w:val="19"/>
                <w:szCs w:val="19"/>
              </w:rPr>
              <w:t xml:space="preserve">Piling complete; all pile test reports approved</w:t>
            </w:r>
          </w:p>
        </w:tc>
        <w:tc>
          <w:tcPr>
            <w:tcW w:type="dxa" w:w="3100"/>
            <w:tcMar>
              <w:top w:type="dxa" w:w="70"/>
              <w:left w:type="dxa" w:w="110"/>
              <w:bottom w:type="dxa" w:w="70"/>
              <w:right w:type="dxa" w:w="110"/>
            </w:tcMar>
            <w:vAlign w:val="center"/>
          </w:tcPr>
          <w:p>
            <w:pPr>
              <w:spacing w:after="40"/>
              <w:jc w:val="left"/>
            </w:pPr>
            <w:r>
              <w:rPr>
                <w:b w:val="false"/>
                <w:bCs w:val="false"/>
                <w:sz w:val="19"/>
                <w:szCs w:val="19"/>
              </w:rPr>
              <w:t xml:space="preserve">31 July 2026</w:t>
            </w:r>
          </w:p>
        </w:tc>
      </w:tr>
      <w:tr>
        <w:trPr>
          <w:cantSplit/>
          <w:tblHeader w:val="false"/>
        </w:trPr>
        <w:tc>
          <w:tcPr>
            <w:tcW w:type="dxa" w:w="900"/>
            <w:tcMar>
              <w:top w:type="dxa" w:w="70"/>
              <w:left w:type="dxa" w:w="110"/>
              <w:bottom w:type="dxa" w:w="70"/>
              <w:right w:type="dxa" w:w="110"/>
            </w:tcMar>
            <w:vAlign w:val="center"/>
          </w:tcPr>
          <w:p>
            <w:pPr>
              <w:spacing w:after="40"/>
              <w:jc w:val="left"/>
            </w:pPr>
            <w:r>
              <w:rPr>
                <w:b w:val="false"/>
                <w:bCs w:val="false"/>
                <w:sz w:val="19"/>
                <w:szCs w:val="19"/>
              </w:rPr>
              <w:t xml:space="preserve">M2</w:t>
            </w:r>
          </w:p>
        </w:tc>
        <w:tc>
          <w:tcPr>
            <w:tcW w:type="dxa" w:w="5406"/>
            <w:tcMar>
              <w:top w:type="dxa" w:w="70"/>
              <w:left w:type="dxa" w:w="110"/>
              <w:bottom w:type="dxa" w:w="70"/>
              <w:right w:type="dxa" w:w="110"/>
            </w:tcMar>
            <w:vAlign w:val="center"/>
          </w:tcPr>
          <w:p>
            <w:pPr>
              <w:spacing w:after="40"/>
              <w:jc w:val="left"/>
            </w:pPr>
            <w:r>
              <w:rPr>
                <w:b w:val="false"/>
                <w:bCs w:val="false"/>
                <w:sz w:val="19"/>
                <w:szCs w:val="19"/>
              </w:rPr>
              <w:t xml:space="preserve">Superstructure complete: RCC frame and post-tensioned slabs up to roof level</w:t>
            </w:r>
          </w:p>
        </w:tc>
        <w:tc>
          <w:tcPr>
            <w:tcW w:type="dxa" w:w="3100"/>
            <w:tcMar>
              <w:top w:type="dxa" w:w="70"/>
              <w:left w:type="dxa" w:w="110"/>
              <w:bottom w:type="dxa" w:w="70"/>
              <w:right w:type="dxa" w:w="110"/>
            </w:tcMar>
            <w:vAlign w:val="center"/>
          </w:tcPr>
          <w:p>
            <w:pPr>
              <w:spacing w:after="40"/>
              <w:jc w:val="left"/>
            </w:pPr>
            <w:r>
              <w:rPr>
                <w:b w:val="false"/>
                <w:bCs w:val="false"/>
                <w:sz w:val="19"/>
                <w:szCs w:val="19"/>
              </w:rPr>
              <w:t xml:space="preserve">30 November 2026</w:t>
            </w:r>
          </w:p>
        </w:tc>
      </w:tr>
      <w:tr>
        <w:trPr>
          <w:cantSplit/>
          <w:tblHeader w:val="false"/>
        </w:trPr>
        <w:tc>
          <w:tcPr>
            <w:tcW w:type="dxa" w:w="900"/>
            <w:tcMar>
              <w:top w:type="dxa" w:w="70"/>
              <w:left w:type="dxa" w:w="110"/>
              <w:bottom w:type="dxa" w:w="70"/>
              <w:right w:type="dxa" w:w="110"/>
            </w:tcMar>
            <w:vAlign w:val="center"/>
          </w:tcPr>
          <w:p>
            <w:pPr>
              <w:spacing w:after="40"/>
              <w:jc w:val="left"/>
            </w:pPr>
            <w:r>
              <w:rPr>
                <w:b w:val="false"/>
                <w:bCs w:val="false"/>
                <w:sz w:val="19"/>
                <w:szCs w:val="19"/>
              </w:rPr>
              <w:t xml:space="preserve">M3</w:t>
            </w:r>
          </w:p>
        </w:tc>
        <w:tc>
          <w:tcPr>
            <w:tcW w:type="dxa" w:w="5406"/>
            <w:tcMar>
              <w:top w:type="dxa" w:w="70"/>
              <w:left w:type="dxa" w:w="110"/>
              <w:bottom w:type="dxa" w:w="70"/>
              <w:right w:type="dxa" w:w="110"/>
            </w:tcMar>
            <w:vAlign w:val="center"/>
          </w:tcPr>
          <w:p>
            <w:pPr>
              <w:spacing w:after="40"/>
              <w:jc w:val="left"/>
            </w:pPr>
            <w:r>
              <w:rPr>
                <w:b w:val="false"/>
                <w:bCs w:val="false"/>
                <w:sz w:val="19"/>
                <w:szCs w:val="19"/>
              </w:rPr>
              <w:t xml:space="preserve">Mechanical Completion</w:t>
            </w:r>
          </w:p>
        </w:tc>
        <w:tc>
          <w:tcPr>
            <w:tcW w:type="dxa" w:w="3100"/>
            <w:tcMar>
              <w:top w:type="dxa" w:w="70"/>
              <w:left w:type="dxa" w:w="110"/>
              <w:bottom w:type="dxa" w:w="70"/>
              <w:right w:type="dxa" w:w="110"/>
            </w:tcMar>
            <w:vAlign w:val="center"/>
          </w:tcPr>
          <w:p>
            <w:pPr>
              <w:spacing w:after="40"/>
              <w:jc w:val="left"/>
            </w:pPr>
            <w:r>
              <w:rPr>
                <w:b w:val="false"/>
                <w:bCs w:val="false"/>
                <w:sz w:val="19"/>
                <w:szCs w:val="19"/>
              </w:rPr>
              <w:t xml:space="preserve">15 February 2027</w:t>
            </w:r>
          </w:p>
        </w:tc>
      </w:tr>
      <w:tr>
        <w:trPr>
          <w:cantSplit/>
          <w:tblHeader w:val="false"/>
        </w:trPr>
        <w:tc>
          <w:tcPr>
            <w:tcW w:type="dxa" w:w="900"/>
            <w:tcMar>
              <w:top w:type="dxa" w:w="70"/>
              <w:left w:type="dxa" w:w="110"/>
              <w:bottom w:type="dxa" w:w="70"/>
              <w:right w:type="dxa" w:w="110"/>
            </w:tcMar>
            <w:vAlign w:val="center"/>
          </w:tcPr>
          <w:p>
            <w:pPr>
              <w:spacing w:after="40"/>
              <w:jc w:val="left"/>
            </w:pPr>
            <w:r>
              <w:rPr>
                <w:b w:val="false"/>
                <w:bCs w:val="false"/>
                <w:sz w:val="19"/>
                <w:szCs w:val="19"/>
              </w:rPr>
              <w:t xml:space="preserve">TO</w:t>
            </w:r>
          </w:p>
        </w:tc>
        <w:tc>
          <w:tcPr>
            <w:tcW w:type="dxa" w:w="5406"/>
            <w:tcMar>
              <w:top w:type="dxa" w:w="70"/>
              <w:left w:type="dxa" w:w="110"/>
              <w:bottom w:type="dxa" w:w="70"/>
              <w:right w:type="dxa" w:w="110"/>
            </w:tcMar>
            <w:vAlign w:val="center"/>
          </w:tcPr>
          <w:p>
            <w:pPr>
              <w:spacing w:after="40"/>
              <w:jc w:val="left"/>
            </w:pPr>
            <w:r>
              <w:rPr>
                <w:b w:val="false"/>
                <w:bCs w:val="false"/>
                <w:sz w:val="19"/>
                <w:szCs w:val="19"/>
              </w:rPr>
              <w:t xml:space="preserve">Taking Over of the whole of the Works</w:t>
            </w:r>
          </w:p>
        </w:tc>
        <w:tc>
          <w:tcPr>
            <w:tcW w:type="dxa" w:w="3100"/>
            <w:tcMar>
              <w:top w:type="dxa" w:w="70"/>
              <w:left w:type="dxa" w:w="110"/>
              <w:bottom w:type="dxa" w:w="70"/>
              <w:right w:type="dxa" w:w="110"/>
            </w:tcMar>
            <w:vAlign w:val="center"/>
          </w:tcPr>
          <w:p>
            <w:pPr>
              <w:spacing w:after="40"/>
              <w:jc w:val="left"/>
            </w:pPr>
            <w:r>
              <w:rPr>
                <w:b w:val="false"/>
                <w:bCs w:val="false"/>
                <w:sz w:val="19"/>
                <w:szCs w:val="19"/>
              </w:rPr>
              <w:t xml:space="preserve">31 March 2027</w:t>
            </w:r>
          </w:p>
        </w:tc>
      </w:tr>
    </w:tbl>
    <w:p>
      <w:pPr>
        <w:spacing w:after="120"/>
      </w:pPr>
    </w:p>
    <w:p>
      <w:pPr>
        <w:tabs>
          <w:tab w:val="left" w:pos="720"/>
        </w:tabs>
        <w:spacing w:after="120" w:line="276"/>
        <w:ind w:left="720" w:hanging="720"/>
        <w:jc w:val="both"/>
      </w:pPr>
      <w:r>
        <w:rPr>
          <w:b/>
          <w:bCs/>
        </w:rPr>
        <w:t xml:space="preserve">4.3</w:t>
      </w:r>
      <w:r>
        <w:tab/>
      </w:r>
      <w:r>
        <w:t xml:space="preserve">Time is of the essence for Milestones M2 and M3 and for Taking Over.</w:t>
      </w:r>
    </w:p>
    <w:p>
      <w:pPr>
        <w:tabs>
          <w:tab w:val="left" w:pos="720"/>
        </w:tabs>
        <w:spacing w:after="120" w:line="276"/>
        <w:ind w:left="720" w:hanging="720"/>
        <w:jc w:val="both"/>
      </w:pPr>
      <w:r>
        <w:rPr>
          <w:b/>
          <w:bCs/>
        </w:rPr>
        <w:t xml:space="preserve">4.4</w:t>
      </w:r>
      <w:r>
        <w:tab/>
      </w:r>
      <w:r>
        <w:t xml:space="preserve">When the Contractor considers the Works complete, it may apply for a Taking-Over Certificate. Within 14 days the Employer's Representative shall either issue the certificate or list the work remaining to be done.</w:t>
      </w:r>
    </w:p>
    <w:p>
      <w:pPr>
        <w:tabs>
          <w:tab w:val="left" w:pos="720"/>
        </w:tabs>
        <w:spacing w:after="120" w:line="276"/>
        <w:ind w:left="720" w:hanging="720"/>
        <w:jc w:val="both"/>
      </w:pPr>
      <w:r>
        <w:rPr>
          <w:b/>
          <w:bCs/>
        </w:rPr>
        <w:t xml:space="preserve">4.5</w:t>
      </w:r>
      <w:r>
        <w:tab/>
      </w:r>
      <w:r>
        <w:t xml:space="preserve">The Employer may use any part of the Works before Taking Over, including for the installation of process equipment. Such use shall not amount to Taking Over of that part unless so certified.</w:t>
      </w:r>
    </w:p>
    <w:p>
      <w:pPr>
        <w:pStyle w:val="Heading1"/>
      </w:pPr>
      <w:r>
        <w:t xml:space="preserve">5.  PROGRAMME, PROGRESS AND ACCELERATION</w:t>
      </w:r>
    </w:p>
    <w:p>
      <w:pPr>
        <w:tabs>
          <w:tab w:val="left" w:pos="720"/>
        </w:tabs>
        <w:spacing w:after="120" w:line="276"/>
        <w:ind w:left="720" w:hanging="720"/>
        <w:jc w:val="both"/>
      </w:pPr>
      <w:r>
        <w:rPr>
          <w:b/>
          <w:bCs/>
        </w:rPr>
        <w:t xml:space="preserve">5.1</w:t>
      </w:r>
      <w:r>
        <w:tab/>
      </w:r>
      <w:r>
        <w:t xml:space="preserve">Within 21 days of the Commencement Date, the Contractor shall submit a resource-loaded Level 3 Programme in Primavera P6 (native .xer format) showing the critical path, all Milestones and Hold Points, drawing requirements and the procurement of long-lead items.</w:t>
      </w:r>
    </w:p>
    <w:p>
      <w:pPr>
        <w:tabs>
          <w:tab w:val="left" w:pos="720"/>
        </w:tabs>
        <w:spacing w:after="120" w:line="276"/>
        <w:ind w:left="720" w:hanging="720"/>
        <w:jc w:val="both"/>
      </w:pPr>
      <w:r>
        <w:rPr>
          <w:b/>
          <w:bCs/>
        </w:rPr>
        <w:t xml:space="preserve">5.2</w:t>
      </w:r>
      <w:r>
        <w:tab/>
      </w:r>
      <w:r>
        <w:t xml:space="preserve">By the 5th of each month the Contractor shall submit a progress report and an updated Programme, with a three-week look-ahead and a narrative of delays and recovery measures.</w:t>
      </w:r>
    </w:p>
    <w:p>
      <w:pPr>
        <w:tabs>
          <w:tab w:val="left" w:pos="720"/>
        </w:tabs>
        <w:spacing w:after="120" w:line="276"/>
        <w:ind w:left="720" w:hanging="720"/>
        <w:jc w:val="both"/>
      </w:pPr>
      <w:r>
        <w:rPr>
          <w:b/>
          <w:bCs/>
        </w:rPr>
        <w:t xml:space="preserve">5.3</w:t>
      </w:r>
      <w:r>
        <w:tab/>
      </w:r>
      <w:r>
        <w:t xml:space="preserve">If progress on the critical path falls more than 14 days behind the approved Programme for reasons that do not entitle the Contractor to an extension of time, the Contractor shall, on notice from the Employer's Representative, submit and implement a recovery plan at its own cost, including additional shifts, resources and plant.</w:t>
      </w:r>
    </w:p>
    <w:p>
      <w:pPr>
        <w:tabs>
          <w:tab w:val="left" w:pos="720"/>
        </w:tabs>
        <w:spacing w:after="120" w:line="276"/>
        <w:ind w:left="720" w:hanging="720"/>
        <w:jc w:val="both"/>
      </w:pPr>
      <w:r>
        <w:rPr>
          <w:b/>
          <w:bCs/>
        </w:rPr>
        <w:t xml:space="preserve">5.4</w:t>
      </w:r>
      <w:r>
        <w:tab/>
      </w:r>
      <w:r>
        <w:t xml:space="preserve">The Employer may request the Contractor to achieve any Milestone earlier than its Milestone Date. Within 7 days of such a request the Contractor shall submit an acceleration proposal stating the measures, the revised dates and the cost. The Contractor shall be entitled to payment for acceleration only where the proposal, including its cost, has been accepted in writing by the Employer's Representative before the Contractor commences the accelerated measures. Any acceleration undertaken without such prior written acceptance, including in response to any request, correspondence, meeting minutes or proposal of the Employer, shall be deemed to be at the Contractor's own cost and risk.</w:t>
      </w:r>
    </w:p>
    <w:p>
      <w:pPr>
        <w:tabs>
          <w:tab w:val="left" w:pos="720"/>
        </w:tabs>
        <w:spacing w:after="120" w:line="276"/>
        <w:ind w:left="720" w:hanging="720"/>
        <w:jc w:val="both"/>
      </w:pPr>
      <w:r>
        <w:rPr>
          <w:b/>
          <w:bCs/>
        </w:rPr>
        <w:t xml:space="preserve">5.5</w:t>
      </w:r>
      <w:r>
        <w:tab/>
      </w:r>
      <w:r>
        <w:t xml:space="preserve">On acceptance of an acceleration proposal, the revised dates shall replace the relevant Milestone Dates for all purposes of the Contract, including delay damages under Clause 7.</w:t>
      </w:r>
    </w:p>
    <w:p>
      <w:pPr>
        <w:tabs>
          <w:tab w:val="left" w:pos="720"/>
        </w:tabs>
        <w:spacing w:after="120" w:line="276"/>
        <w:ind w:left="720" w:hanging="720"/>
        <w:jc w:val="both"/>
      </w:pPr>
      <w:r>
        <w:rPr>
          <w:b/>
          <w:bCs/>
        </w:rPr>
        <w:t xml:space="preserve">5.6</w:t>
      </w:r>
      <w:r>
        <w:tab/>
      </w:r>
      <w:r>
        <w:t xml:space="preserve">Night work involving concrete pours requires 48 hours' notice to the Employer's Representative and compliance with applicable noise limits and MIDC conditions.</w:t>
      </w:r>
    </w:p>
    <w:p>
      <w:pPr>
        <w:pStyle w:val="Heading1"/>
      </w:pPr>
      <w:r>
        <w:t xml:space="preserve">6.  EXTENSION OF TIME</w:t>
      </w:r>
    </w:p>
    <w:p>
      <w:pPr>
        <w:tabs>
          <w:tab w:val="left" w:pos="720"/>
        </w:tabs>
        <w:spacing w:after="120" w:line="276"/>
        <w:ind w:left="720" w:hanging="720"/>
        <w:jc w:val="both"/>
      </w:pPr>
      <w:r>
        <w:rPr>
          <w:b/>
          <w:bCs/>
        </w:rPr>
        <w:t xml:space="preserve">6.1</w:t>
      </w:r>
      <w:r>
        <w:tab/>
      </w:r>
      <w:r>
        <w:t xml:space="preserve">The Contractor shall be entitled to an extension of the relevant Milestone Dates if and to the extent that completion is or will be delayed by:</w:t>
      </w:r>
    </w:p>
    <w:p>
      <w:pPr>
        <w:tabs>
          <w:tab w:val="left" w:pos="1260"/>
        </w:tabs>
        <w:spacing w:after="80" w:line="276"/>
        <w:ind w:left="1260" w:hanging="540"/>
        <w:jc w:val="both"/>
      </w:pPr>
      <w:r>
        <w:t xml:space="preserve">(a)</w:t>
      </w:r>
      <w:r>
        <w:tab/>
      </w:r>
      <w:r>
        <w:t xml:space="preserve">a Variation;</w:t>
      </w:r>
    </w:p>
    <w:p>
      <w:pPr>
        <w:tabs>
          <w:tab w:val="left" w:pos="1260"/>
        </w:tabs>
        <w:spacing w:after="80" w:line="276"/>
        <w:ind w:left="1260" w:hanging="540"/>
        <w:jc w:val="both"/>
      </w:pPr>
      <w:r>
        <w:t xml:space="preserve">(b)</w:t>
      </w:r>
      <w:r>
        <w:tab/>
      </w:r>
      <w:r>
        <w:t xml:space="preserve">any delay, impediment or prevention caused by the Employer, the Employer's Representative or the Employer's other contractors;</w:t>
      </w:r>
    </w:p>
    <w:p>
      <w:pPr>
        <w:tabs>
          <w:tab w:val="left" w:pos="1260"/>
        </w:tabs>
        <w:spacing w:after="80" w:line="276"/>
        <w:ind w:left="1260" w:hanging="540"/>
        <w:jc w:val="both"/>
      </w:pPr>
      <w:r>
        <w:t xml:space="preserve">(c)</w:t>
      </w:r>
      <w:r>
        <w:tab/>
      </w:r>
      <w:r>
        <w:t xml:space="preserve">issue of GFC drawings more than 7 days after the date in the agreed drawing schedule;</w:t>
      </w:r>
    </w:p>
    <w:p>
      <w:pPr>
        <w:tabs>
          <w:tab w:val="left" w:pos="1260"/>
        </w:tabs>
        <w:spacing w:after="80" w:line="276"/>
        <w:ind w:left="1260" w:hanging="540"/>
        <w:jc w:val="both"/>
      </w:pPr>
      <w:r>
        <w:t xml:space="preserve">(d)</w:t>
      </w:r>
      <w:r>
        <w:tab/>
      </w:r>
      <w:r>
        <w:t xml:space="preserve">Force Majeure under Clause 18;</w:t>
      </w:r>
    </w:p>
    <w:p>
      <w:pPr>
        <w:tabs>
          <w:tab w:val="left" w:pos="1260"/>
        </w:tabs>
        <w:spacing w:after="80" w:line="276"/>
        <w:ind w:left="1260" w:hanging="540"/>
        <w:jc w:val="both"/>
      </w:pPr>
      <w:r>
        <w:t xml:space="preserve">(e)</w:t>
      </w:r>
      <w:r>
        <w:tab/>
      </w:r>
      <w:r>
        <w:t xml:space="preserve">a change in law under Clause 15; or</w:t>
      </w:r>
    </w:p>
    <w:p>
      <w:pPr>
        <w:tabs>
          <w:tab w:val="left" w:pos="1260"/>
        </w:tabs>
        <w:spacing w:after="80" w:line="276"/>
        <w:ind w:left="1260" w:hanging="540"/>
        <w:jc w:val="both"/>
      </w:pPr>
      <w:r>
        <w:t xml:space="preserve">(f)</w:t>
      </w:r>
      <w:r>
        <w:tab/>
      </w:r>
      <w:r>
        <w:t xml:space="preserve">a suspension instructed by the Employer that is not due to the Contractor's default.</w:t>
      </w:r>
    </w:p>
    <w:p>
      <w:pPr>
        <w:tabs>
          <w:tab w:val="left" w:pos="720"/>
        </w:tabs>
        <w:spacing w:after="120" w:line="276"/>
        <w:ind w:left="720" w:hanging="720"/>
        <w:jc w:val="both"/>
      </w:pPr>
      <w:r>
        <w:rPr>
          <w:b/>
          <w:bCs/>
        </w:rPr>
        <w:t xml:space="preserve">6.2</w:t>
      </w:r>
      <w:r>
        <w:tab/>
      </w:r>
      <w:r>
        <w:t xml:space="preserve">The Contractor shall give notice to the Employer's Representative, describing the event, within </w:t>
      </w:r>
      <w:r>
        <w:rPr>
          <w:b/>
          <w:bCs/>
        </w:rPr>
        <w:t xml:space="preserve">14 days</w:t>
      </w:r>
      <w:r>
        <w:t xml:space="preserve"> after the Contractor became aware, or should have become aware, of the event. If the Contractor fails to give notice within this period, the Milestone Dates shall not be extended, the Contractor shall not be entitled to any additional payment, and the Employer shall be discharged from all liability in connection with the event.</w:t>
      </w:r>
    </w:p>
    <w:p>
      <w:pPr>
        <w:tabs>
          <w:tab w:val="left" w:pos="720"/>
        </w:tabs>
        <w:spacing w:after="120" w:line="276"/>
        <w:ind w:left="720" w:hanging="720"/>
        <w:jc w:val="both"/>
      </w:pPr>
      <w:r>
        <w:rPr>
          <w:b/>
          <w:bCs/>
        </w:rPr>
        <w:t xml:space="preserve">6.3</w:t>
      </w:r>
      <w:r>
        <w:tab/>
      </w:r>
      <w:r>
        <w:t xml:space="preserve">Within 28 days of its notice, the Contractor shall submit a fully detailed claim, including a time impact analysis on the approved Programme demonstrating the effect on the critical path.</w:t>
      </w:r>
    </w:p>
    <w:p>
      <w:pPr>
        <w:tabs>
          <w:tab w:val="left" w:pos="720"/>
        </w:tabs>
        <w:spacing w:after="120" w:line="276"/>
        <w:ind w:left="720" w:hanging="720"/>
        <w:jc w:val="both"/>
      </w:pPr>
      <w:r>
        <w:rPr>
          <w:b/>
          <w:bCs/>
        </w:rPr>
        <w:t xml:space="preserve">6.4</w:t>
      </w:r>
      <w:r>
        <w:tab/>
      </w:r>
      <w:r>
        <w:t xml:space="preserve">Where a delay caused by an event listed in Clause 6.1 is concurrent with a delay for which the Contractor is responsible, the Contractor shall be entitled to an extension of time but not to additional cost.</w:t>
      </w:r>
    </w:p>
    <w:p>
      <w:pPr>
        <w:tabs>
          <w:tab w:val="left" w:pos="720"/>
        </w:tabs>
        <w:spacing w:after="120" w:line="276"/>
        <w:ind w:left="720" w:hanging="720"/>
        <w:jc w:val="both"/>
      </w:pPr>
      <w:r>
        <w:rPr>
          <w:b/>
          <w:bCs/>
        </w:rPr>
        <w:t xml:space="preserve">6.5</w:t>
      </w:r>
      <w:r>
        <w:tab/>
      </w:r>
      <w:r>
        <w:t xml:space="preserve">The Employer's Representative shall respond within 28 days of receiving the detailed claim.</w:t>
      </w:r>
    </w:p>
    <w:p>
      <w:pPr>
        <w:pStyle w:val="Heading1"/>
      </w:pPr>
      <w:r>
        <w:t xml:space="preserve">7.  DELAY DAMAGES</w:t>
      </w:r>
    </w:p>
    <w:p>
      <w:pPr>
        <w:tabs>
          <w:tab w:val="left" w:pos="720"/>
        </w:tabs>
        <w:spacing w:after="120" w:line="276"/>
        <w:ind w:left="720" w:hanging="720"/>
        <w:jc w:val="both"/>
      </w:pPr>
      <w:r>
        <w:rPr>
          <w:b/>
          <w:bCs/>
        </w:rPr>
        <w:t xml:space="preserve">7.1</w:t>
      </w:r>
      <w:r>
        <w:tab/>
      </w:r>
      <w:r>
        <w:t xml:space="preserve">If the Contractor fails to achieve Mechanical Completion by the M3 Milestone Date, it shall pay the Employer liquidated damages at </w:t>
      </w:r>
      <w:r>
        <w:rPr>
          <w:b/>
          <w:bCs/>
        </w:rPr>
        <w:t xml:space="preserve">0.5% of the Contract Price for each week</w:t>
      </w:r>
      <w:r>
        <w:t xml:space="preserve"> of delay (pro rata for part weeks).</w:t>
      </w:r>
    </w:p>
    <w:p>
      <w:pPr>
        <w:tabs>
          <w:tab w:val="left" w:pos="720"/>
        </w:tabs>
        <w:spacing w:after="120" w:line="276"/>
        <w:ind w:left="720" w:hanging="720"/>
        <w:jc w:val="both"/>
      </w:pPr>
      <w:r>
        <w:rPr>
          <w:b/>
          <w:bCs/>
        </w:rPr>
        <w:t xml:space="preserve">7.2</w:t>
      </w:r>
      <w:r>
        <w:tab/>
      </w:r>
      <w:r>
        <w:t xml:space="preserve">The total liquidated damages under Clause 7.1 shall not exceed </w:t>
      </w:r>
      <w:r>
        <w:rPr>
          <w:b/>
          <w:bCs/>
        </w:rPr>
        <w:t xml:space="preserve">10% of the Contract Price</w:t>
      </w:r>
      <w:r>
        <w:t xml:space="preserve">.</w:t>
      </w:r>
    </w:p>
    <w:p>
      <w:pPr>
        <w:tabs>
          <w:tab w:val="left" w:pos="720"/>
        </w:tabs>
        <w:spacing w:after="120" w:line="276"/>
        <w:ind w:left="720" w:hanging="720"/>
        <w:jc w:val="both"/>
      </w:pPr>
      <w:r>
        <w:rPr>
          <w:b/>
          <w:bCs/>
        </w:rPr>
        <w:t xml:space="preserve">7.3</w:t>
      </w:r>
      <w:r>
        <w:tab/>
      </w:r>
      <w:r>
        <w:t xml:space="preserve">If the Contractor fails to achieve Milestone M2 by its Milestone Date, it shall pay interim damages at 0.1% of the Contract Price for each week of delay until M2 is achieved. Interim damages are not refundable, even if Mechanical Completion is achieved on or before the M3 Milestone Date, and do not count towards the limit in Clause 7.2.</w:t>
      </w:r>
    </w:p>
    <w:p>
      <w:pPr>
        <w:tabs>
          <w:tab w:val="left" w:pos="720"/>
        </w:tabs>
        <w:spacing w:after="120" w:line="276"/>
        <w:ind w:left="720" w:hanging="720"/>
        <w:jc w:val="both"/>
      </w:pPr>
      <w:r>
        <w:rPr>
          <w:b/>
          <w:bCs/>
        </w:rPr>
        <w:t xml:space="preserve">7.4</w:t>
      </w:r>
      <w:r>
        <w:tab/>
      </w:r>
      <w:r>
        <w:t xml:space="preserve">The Parties agree that the liquidated damages are a genuine pre-estimate of the Employer's loss. Payment of liquidated damages is without prejudice to the Employer's right to recover general damages for loss exceeding the liquidated damages, including loss of production.</w:t>
      </w:r>
    </w:p>
    <w:p>
      <w:pPr>
        <w:tabs>
          <w:tab w:val="left" w:pos="720"/>
        </w:tabs>
        <w:spacing w:after="120" w:line="276"/>
        <w:ind w:left="720" w:hanging="720"/>
        <w:jc w:val="both"/>
      </w:pPr>
      <w:r>
        <w:rPr>
          <w:b/>
          <w:bCs/>
        </w:rPr>
        <w:t xml:space="preserve">7.5</w:t>
      </w:r>
      <w:r>
        <w:tab/>
      </w:r>
      <w:r>
        <w:t xml:space="preserve">The Employer may deduct delay damages from any sum due to the Contractor or recover them from the Performance Security.</w:t>
      </w:r>
    </w:p>
    <w:p>
      <w:pPr>
        <w:pStyle w:val="Heading1"/>
      </w:pPr>
      <w:r>
        <w:t xml:space="preserve">8.  VARIATIONS</w:t>
      </w:r>
    </w:p>
    <w:p>
      <w:pPr>
        <w:tabs>
          <w:tab w:val="left" w:pos="720"/>
        </w:tabs>
        <w:spacing w:after="120" w:line="276"/>
        <w:ind w:left="720" w:hanging="720"/>
        <w:jc w:val="both"/>
      </w:pPr>
      <w:r>
        <w:rPr>
          <w:b/>
          <w:bCs/>
        </w:rPr>
        <w:t xml:space="preserve">8.1</w:t>
      </w:r>
      <w:r>
        <w:tab/>
      </w:r>
      <w:r>
        <w:t xml:space="preserve">The Employer's Representative may instruct Variations at any time before Taking Over. A Variation is valid only if issued as a written Variation Order signed by the Employer's Representative.</w:t>
      </w:r>
    </w:p>
    <w:p>
      <w:pPr>
        <w:tabs>
          <w:tab w:val="left" w:pos="720"/>
        </w:tabs>
        <w:spacing w:after="120" w:line="276"/>
        <w:ind w:left="720" w:hanging="720"/>
        <w:jc w:val="both"/>
      </w:pPr>
      <w:r>
        <w:rPr>
          <w:b/>
          <w:bCs/>
        </w:rPr>
        <w:t xml:space="preserve">8.2</w:t>
      </w:r>
      <w:r>
        <w:tab/>
      </w:r>
      <w:r>
        <w:t xml:space="preserve">The Contractor shall not act on oral instructions, meeting minutes or e-mails unless confirmed by a Variation Order. Work executed without a Variation Order shall not be paid for.</w:t>
      </w:r>
    </w:p>
    <w:p>
      <w:pPr>
        <w:tabs>
          <w:tab w:val="left" w:pos="720"/>
        </w:tabs>
        <w:spacing w:after="120" w:line="276"/>
        <w:ind w:left="720" w:hanging="720"/>
        <w:jc w:val="both"/>
      </w:pPr>
      <w:r>
        <w:rPr>
          <w:b/>
          <w:bCs/>
        </w:rPr>
        <w:t xml:space="preserve">8.3</w:t>
      </w:r>
      <w:r>
        <w:tab/>
      </w:r>
      <w:r>
        <w:t xml:space="preserve">Within 7 days of receiving a Variation Order, the Contractor shall submit its quotation for cost and time. Variations shall be valued: (a) at bill of quantities rates where applicable; (b) at rates derived from those rates for similar work; or (c) failing these, at actual cost plus 12% for overheads and profit.</w:t>
      </w:r>
    </w:p>
    <w:p>
      <w:pPr>
        <w:tabs>
          <w:tab w:val="left" w:pos="720"/>
        </w:tabs>
        <w:spacing w:after="120" w:line="276"/>
        <w:ind w:left="720" w:hanging="720"/>
        <w:jc w:val="both"/>
      </w:pPr>
      <w:r>
        <w:rPr>
          <w:b/>
          <w:bCs/>
        </w:rPr>
        <w:t xml:space="preserve">8.4</w:t>
      </w:r>
      <w:r>
        <w:tab/>
      </w:r>
      <w:r>
        <w:t xml:space="preserve">A Variation does not entitle the Contractor to an extension of time unless the Contractor demonstrates, through a time impact analysis on the approved Programme, that the Variation affects the critical path.</w:t>
      </w:r>
    </w:p>
    <w:p>
      <w:pPr>
        <w:tabs>
          <w:tab w:val="left" w:pos="720"/>
        </w:tabs>
        <w:spacing w:after="120" w:line="276"/>
        <w:ind w:left="720" w:hanging="720"/>
        <w:jc w:val="both"/>
      </w:pPr>
      <w:r>
        <w:rPr>
          <w:b/>
          <w:bCs/>
        </w:rPr>
        <w:t xml:space="preserve">8.5</w:t>
      </w:r>
      <w:r>
        <w:tab/>
      </w:r>
      <w:r>
        <w:t xml:space="preserve">The Contractor shall not be entitled to any payment for omitted work, including loss of profit, provided that the aggregate value of omissions does not exceed 15% of the Contract Price.</w:t>
      </w:r>
    </w:p>
    <w:p>
      <w:pPr>
        <w:pStyle w:val="Heading1"/>
      </w:pPr>
      <w:r>
        <w:t xml:space="preserve">9.  PAYMENT</w:t>
      </w:r>
    </w:p>
    <w:p>
      <w:pPr>
        <w:tabs>
          <w:tab w:val="left" w:pos="720"/>
        </w:tabs>
        <w:spacing w:after="120" w:line="276"/>
        <w:ind w:left="720" w:hanging="720"/>
        <w:jc w:val="both"/>
      </w:pPr>
      <w:r>
        <w:rPr>
          <w:b/>
          <w:bCs/>
        </w:rPr>
        <w:t xml:space="preserve">9.1</w:t>
      </w:r>
      <w:r>
        <w:tab/>
      </w:r>
      <w:r>
        <w:t xml:space="preserve">The Employer shall pay an interest-free mobilisation advance of 10% of the Contract Price against an unconditional bank guarantee of equal value from a scheduled commercial bank. The advance shall be recovered at 12.5% of the gross value of each interim payment, starting with the first, until fully recovered.</w:t>
      </w:r>
    </w:p>
    <w:p>
      <w:pPr>
        <w:tabs>
          <w:tab w:val="left" w:pos="720"/>
        </w:tabs>
        <w:spacing w:after="120" w:line="276"/>
        <w:ind w:left="720" w:hanging="720"/>
        <w:jc w:val="both"/>
      </w:pPr>
      <w:r>
        <w:rPr>
          <w:b/>
          <w:bCs/>
        </w:rPr>
        <w:t xml:space="preserve">9.2</w:t>
      </w:r>
      <w:r>
        <w:tab/>
      </w:r>
      <w:r>
        <w:t xml:space="preserve">By the 5th of each month the Contractor shall submit an interim payment application for the work done in the previous month, valued against the payment breakdown in Annexure C, with supporting measurements and quality records.</w:t>
      </w:r>
    </w:p>
    <w:p>
      <w:pPr>
        <w:tabs>
          <w:tab w:val="left" w:pos="720"/>
        </w:tabs>
        <w:spacing w:after="120" w:line="276"/>
        <w:ind w:left="720" w:hanging="720"/>
        <w:jc w:val="both"/>
      </w:pPr>
      <w:r>
        <w:rPr>
          <w:b/>
          <w:bCs/>
        </w:rPr>
        <w:t xml:space="preserve">9.3</w:t>
      </w:r>
      <w:r>
        <w:tab/>
      </w:r>
      <w:r>
        <w:t xml:space="preserve">The Employer's Representative shall certify each complete application within 14 days of receipt. The Employer shall pay the certified amount within </w:t>
      </w:r>
      <w:r>
        <w:rPr>
          <w:b/>
          <w:bCs/>
        </w:rPr>
        <w:t xml:space="preserve">45 days of certification</w:t>
      </w:r>
      <w:r>
        <w:t xml:space="preserve">.</w:t>
      </w:r>
    </w:p>
    <w:p>
      <w:pPr>
        <w:tabs>
          <w:tab w:val="left" w:pos="720"/>
        </w:tabs>
        <w:spacing w:after="120" w:line="276"/>
        <w:ind w:left="720" w:hanging="720"/>
        <w:jc w:val="both"/>
      </w:pPr>
      <w:r>
        <w:rPr>
          <w:b/>
          <w:bCs/>
        </w:rPr>
        <w:t xml:space="preserve">9.4</w:t>
      </w:r>
      <w:r>
        <w:tab/>
      </w:r>
      <w:r>
        <w:t xml:space="preserve">If payment is delayed by more than 30 days beyond the due date, the Employer shall pay interest at 9% per annum on the delayed amount for the period of delay beyond those 30 days.</w:t>
      </w:r>
    </w:p>
    <w:p>
      <w:pPr>
        <w:tabs>
          <w:tab w:val="left" w:pos="720"/>
        </w:tabs>
        <w:spacing w:after="120" w:line="276"/>
        <w:ind w:left="720" w:hanging="720"/>
        <w:jc w:val="both"/>
      </w:pPr>
      <w:r>
        <w:rPr>
          <w:b/>
          <w:bCs/>
        </w:rPr>
        <w:t xml:space="preserve">9.5</w:t>
      </w:r>
      <w:r>
        <w:tab/>
      </w:r>
      <w:r>
        <w:t xml:space="preserve">The Employer shall deduct from each payment: tax deducted at source as required by law; labour welfare cess at 1% under the Building and Other Construction Workers' Welfare Cess Act, 1996; retention; recovery of the mobilisation advance; and any other amount due from the Contractor.</w:t>
      </w:r>
    </w:p>
    <w:p>
      <w:pPr>
        <w:tabs>
          <w:tab w:val="left" w:pos="720"/>
        </w:tabs>
        <w:spacing w:after="120" w:line="276"/>
        <w:ind w:left="720" w:hanging="720"/>
        <w:jc w:val="both"/>
      </w:pPr>
      <w:r>
        <w:rPr>
          <w:b/>
          <w:bCs/>
        </w:rPr>
        <w:t xml:space="preserve">9.6</w:t>
      </w:r>
      <w:r>
        <w:tab/>
      </w:r>
      <w:r>
        <w:t xml:space="preserve">The Employer may set off any sum due from the Contractor under this Contract, or under any other contract between the Contractor and the Employer or its affiliates, against any sum due to the Contractor.</w:t>
      </w:r>
    </w:p>
    <w:p>
      <w:pPr>
        <w:tabs>
          <w:tab w:val="left" w:pos="720"/>
        </w:tabs>
        <w:spacing w:after="120" w:line="276"/>
        <w:ind w:left="720" w:hanging="720"/>
        <w:jc w:val="both"/>
      </w:pPr>
      <w:r>
        <w:rPr>
          <w:b/>
          <w:bCs/>
        </w:rPr>
        <w:t xml:space="preserve">9.7</w:t>
      </w:r>
      <w:r>
        <w:tab/>
      </w:r>
      <w:r>
        <w:t xml:space="preserve">The Contractor shall submit its final account within 60 days after Taking Over. The Employer's Representative shall issue the final payment certificate within 60 days of receiving it.</w:t>
      </w:r>
    </w:p>
    <w:p>
      <w:pPr>
        <w:pStyle w:val="Heading1"/>
      </w:pPr>
      <w:r>
        <w:t xml:space="preserve">10.  RETENTION</w:t>
      </w:r>
    </w:p>
    <w:p>
      <w:pPr>
        <w:tabs>
          <w:tab w:val="left" w:pos="720"/>
        </w:tabs>
        <w:spacing w:after="120" w:line="276"/>
        <w:ind w:left="720" w:hanging="720"/>
        <w:jc w:val="both"/>
      </w:pPr>
      <w:r>
        <w:rPr>
          <w:b/>
          <w:bCs/>
        </w:rPr>
        <w:t xml:space="preserve">10.1</w:t>
      </w:r>
      <w:r>
        <w:tab/>
      </w:r>
      <w:r>
        <w:t xml:space="preserve">The Employer shall retain 5% of the gross value of each interim payment, up to a maximum of 5% of the Contract Price.</w:t>
      </w:r>
    </w:p>
    <w:p>
      <w:pPr>
        <w:tabs>
          <w:tab w:val="left" w:pos="720"/>
        </w:tabs>
        <w:spacing w:after="120" w:line="276"/>
        <w:ind w:left="720" w:hanging="720"/>
        <w:jc w:val="both"/>
      </w:pPr>
      <w:r>
        <w:rPr>
          <w:b/>
          <w:bCs/>
        </w:rPr>
        <w:t xml:space="preserve">10.2</w:t>
      </w:r>
      <w:r>
        <w:tab/>
      </w:r>
      <w:r>
        <w:t xml:space="preserve">Half of the retention shall be released on Taking Over, and the balance on expiry of the Defects Liability Period once all notified defects have been remedied.</w:t>
      </w:r>
    </w:p>
    <w:p>
      <w:pPr>
        <w:tabs>
          <w:tab w:val="left" w:pos="720"/>
        </w:tabs>
        <w:spacing w:after="120" w:line="276"/>
        <w:ind w:left="720" w:hanging="720"/>
        <w:jc w:val="both"/>
      </w:pPr>
      <w:r>
        <w:rPr>
          <w:b/>
          <w:bCs/>
        </w:rPr>
        <w:t xml:space="preserve">10.3</w:t>
      </w:r>
      <w:r>
        <w:tab/>
      </w:r>
      <w:r>
        <w:t xml:space="preserve">At the Employer's discretion, retention may be released against an unconditional bank guarantee of equal value.</w:t>
      </w:r>
    </w:p>
    <w:p>
      <w:pPr>
        <w:pStyle w:val="Heading1"/>
      </w:pPr>
      <w:r>
        <w:t xml:space="preserve">11.  PERFORMANCE SECURITY</w:t>
      </w:r>
    </w:p>
    <w:p>
      <w:pPr>
        <w:tabs>
          <w:tab w:val="left" w:pos="720"/>
        </w:tabs>
        <w:spacing w:after="120" w:line="276"/>
        <w:ind w:left="720" w:hanging="720"/>
        <w:jc w:val="both"/>
      </w:pPr>
      <w:r>
        <w:rPr>
          <w:b/>
          <w:bCs/>
        </w:rPr>
        <w:t xml:space="preserve">11.1</w:t>
      </w:r>
      <w:r>
        <w:tab/>
      </w:r>
      <w:r>
        <w:t xml:space="preserve">Within 21 days of the Letter of Award, the Contractor shall provide a performance security of 10% of the Contract Price as an unconditional, irrevocable bank guarantee from a scheduled commercial bank, in the Employer's format.</w:t>
      </w:r>
    </w:p>
    <w:p>
      <w:pPr>
        <w:tabs>
          <w:tab w:val="left" w:pos="720"/>
        </w:tabs>
        <w:spacing w:after="120" w:line="276"/>
        <w:ind w:left="720" w:hanging="720"/>
        <w:jc w:val="both"/>
      </w:pPr>
      <w:r>
        <w:rPr>
          <w:b/>
          <w:bCs/>
        </w:rPr>
        <w:t xml:space="preserve">11.2</w:t>
      </w:r>
      <w:r>
        <w:tab/>
      </w:r>
      <w:r>
        <w:t xml:space="preserve">The performance security shall remain valid until 90 days after the expiry of the Defects Liability Period. The Contractor shall extend its validity at least 30 days before expiry, failing which the Employer may encash it.</w:t>
      </w:r>
    </w:p>
    <w:p>
      <w:pPr>
        <w:tabs>
          <w:tab w:val="left" w:pos="720"/>
        </w:tabs>
        <w:spacing w:after="120" w:line="276"/>
        <w:ind w:left="720" w:hanging="720"/>
        <w:jc w:val="both"/>
      </w:pPr>
      <w:r>
        <w:rPr>
          <w:b/>
          <w:bCs/>
        </w:rPr>
        <w:t xml:space="preserve">11.3</w:t>
      </w:r>
      <w:r>
        <w:tab/>
      </w:r>
      <w:r>
        <w:t xml:space="preserve">The Employer may encash the performance security for any amount due from the Contractor under the Contract, without prior reference to the Contractor.</w:t>
      </w:r>
    </w:p>
    <w:p>
      <w:pPr>
        <w:pStyle w:val="Heading1"/>
      </w:pPr>
      <w:r>
        <w:t xml:space="preserve">12.  DEFECTS LIABILITY AND WARRANTIES</w:t>
      </w:r>
    </w:p>
    <w:p>
      <w:pPr>
        <w:tabs>
          <w:tab w:val="left" w:pos="720"/>
        </w:tabs>
        <w:spacing w:after="120" w:line="276"/>
        <w:ind w:left="720" w:hanging="720"/>
        <w:jc w:val="both"/>
      </w:pPr>
      <w:r>
        <w:rPr>
          <w:b/>
          <w:bCs/>
        </w:rPr>
        <w:t xml:space="preserve">12.1</w:t>
      </w:r>
      <w:r>
        <w:tab/>
      </w:r>
      <w:r>
        <w:t xml:space="preserve">The Defects Liability Period is </w:t>
      </w:r>
      <w:r>
        <w:rPr>
          <w:b/>
          <w:bCs/>
        </w:rPr>
        <w:t xml:space="preserve">24 months</w:t>
      </w:r>
      <w:r>
        <w:t xml:space="preserve"> from Taking Over. Where a part of the Works is taken over separately, the period for that part runs from its taking over.</w:t>
      </w:r>
    </w:p>
    <w:p>
      <w:pPr>
        <w:tabs>
          <w:tab w:val="left" w:pos="720"/>
        </w:tabs>
        <w:spacing w:after="120" w:line="276"/>
        <w:ind w:left="720" w:hanging="720"/>
        <w:jc w:val="both"/>
      </w:pPr>
      <w:r>
        <w:rPr>
          <w:b/>
          <w:bCs/>
        </w:rPr>
        <w:t xml:space="preserve">12.2</w:t>
      </w:r>
      <w:r>
        <w:tab/>
      </w:r>
      <w:r>
        <w:t xml:space="preserve">The Contractor shall remedy a notified defect within 7 days, or within 48 hours where the defect affects safety, water-tightness or the Employer's production. If the Contractor fails to do so, the Employer may remedy the defect at the Contractor's cost.</w:t>
      </w:r>
    </w:p>
    <w:p>
      <w:pPr>
        <w:tabs>
          <w:tab w:val="left" w:pos="720"/>
        </w:tabs>
        <w:spacing w:after="120" w:line="276"/>
        <w:ind w:left="720" w:hanging="720"/>
        <w:jc w:val="both"/>
      </w:pPr>
      <w:r>
        <w:rPr>
          <w:b/>
          <w:bCs/>
        </w:rPr>
        <w:t xml:space="preserve">12.3</w:t>
      </w:r>
      <w:r>
        <w:tab/>
      </w:r>
      <w:r>
        <w:t xml:space="preserve">The Contractor shall provide a </w:t>
      </w:r>
      <w:r>
        <w:rPr>
          <w:b/>
          <w:bCs/>
        </w:rPr>
        <w:t xml:space="preserve">10-year warranty</w:t>
      </w:r>
      <w:r>
        <w:t xml:space="preserve"> from Taking Over for all roof and below-ground waterproofing, given jointly with the specialist applicator in the Employer's format.</w:t>
      </w:r>
    </w:p>
    <w:p>
      <w:pPr>
        <w:tabs>
          <w:tab w:val="left" w:pos="720"/>
        </w:tabs>
        <w:spacing w:after="120" w:line="276"/>
        <w:ind w:left="720" w:hanging="720"/>
        <w:jc w:val="both"/>
      </w:pPr>
      <w:r>
        <w:rPr>
          <w:b/>
          <w:bCs/>
        </w:rPr>
        <w:t xml:space="preserve">12.4</w:t>
      </w:r>
      <w:r>
        <w:tab/>
      </w:r>
      <w:r>
        <w:t xml:space="preserve">Nothing in this Clause limits the Contractor's liability for latent defects under applicable law.</w:t>
      </w:r>
    </w:p>
    <w:p>
      <w:pPr>
        <w:pStyle w:val="Heading1"/>
      </w:pPr>
      <w:r>
        <w:t xml:space="preserve">13.  INSURANCE</w:t>
      </w:r>
    </w:p>
    <w:p>
      <w:pPr>
        <w:tabs>
          <w:tab w:val="left" w:pos="720"/>
        </w:tabs>
        <w:spacing w:after="120" w:line="276"/>
        <w:ind w:left="720" w:hanging="720"/>
        <w:jc w:val="both"/>
      </w:pPr>
      <w:r>
        <w:rPr>
          <w:b/>
          <w:bCs/>
        </w:rPr>
        <w:t xml:space="preserve">13.1</w:t>
      </w:r>
      <w:r>
        <w:tab/>
      </w:r>
      <w:r>
        <w:t xml:space="preserve">The Contractor shall maintain, in the joint names of the Parties from the Commencement Date until Taking Over, a Contractor's All Risks policy for the Contract Price plus 15% for debris removal and professional fees, including earthquake and storm, tempest, flood and inundation (STFI) cover.</w:t>
      </w:r>
    </w:p>
    <w:p>
      <w:pPr>
        <w:tabs>
          <w:tab w:val="left" w:pos="720"/>
        </w:tabs>
        <w:spacing w:after="120" w:line="276"/>
        <w:ind w:left="720" w:hanging="720"/>
        <w:jc w:val="both"/>
      </w:pPr>
      <w:r>
        <w:rPr>
          <w:b/>
          <w:bCs/>
        </w:rPr>
        <w:t xml:space="preserve">13.2</w:t>
      </w:r>
      <w:r>
        <w:tab/>
      </w:r>
      <w:r>
        <w:t xml:space="preserve">The Contractor shall maintain third-party liability insurance of at least INR 10 Crore per occurrence, with no limit on the number of occurrences.</w:t>
      </w:r>
    </w:p>
    <w:p>
      <w:pPr>
        <w:tabs>
          <w:tab w:val="left" w:pos="720"/>
        </w:tabs>
        <w:spacing w:after="120" w:line="276"/>
        <w:ind w:left="720" w:hanging="720"/>
        <w:jc w:val="both"/>
      </w:pPr>
      <w:r>
        <w:rPr>
          <w:b/>
          <w:bCs/>
        </w:rPr>
        <w:t xml:space="preserve">13.3</w:t>
      </w:r>
      <w:r>
        <w:tab/>
      </w:r>
      <w:r>
        <w:t xml:space="preserve">The Contractor shall insure its workers under the Employees' Compensation Act, 1923 and ensure ESI coverage for eligible workers.</w:t>
      </w:r>
    </w:p>
    <w:p>
      <w:pPr>
        <w:tabs>
          <w:tab w:val="left" w:pos="720"/>
        </w:tabs>
        <w:spacing w:after="120" w:line="276"/>
        <w:ind w:left="720" w:hanging="720"/>
        <w:jc w:val="both"/>
      </w:pPr>
      <w:r>
        <w:rPr>
          <w:b/>
          <w:bCs/>
        </w:rPr>
        <w:t xml:space="preserve">13.4</w:t>
      </w:r>
      <w:r>
        <w:tab/>
      </w:r>
      <w:r>
        <w:t xml:space="preserve">All deductibles shall be borne by the Contractor.</w:t>
      </w:r>
    </w:p>
    <w:p>
      <w:pPr>
        <w:pStyle w:val="Heading1"/>
      </w:pPr>
      <w:r>
        <w:t xml:space="preserve">14.  INDEMNITY AND LIMITATION OF LIABILITY</w:t>
      </w:r>
    </w:p>
    <w:p>
      <w:pPr>
        <w:tabs>
          <w:tab w:val="left" w:pos="720"/>
        </w:tabs>
        <w:spacing w:after="120" w:line="276"/>
        <w:ind w:left="720" w:hanging="720"/>
        <w:jc w:val="both"/>
      </w:pPr>
      <w:r>
        <w:rPr>
          <w:b/>
          <w:bCs/>
        </w:rPr>
        <w:t xml:space="preserve">14.1</w:t>
      </w:r>
      <w:r>
        <w:tab/>
      </w:r>
      <w:r>
        <w:t xml:space="preserve">The Contractor shall indemnify the Employer against all claims, damages, losses and expenses arising from death, injury or damage to property caused by the Works, and from any breach of law by the Contractor or its subcontractors.</w:t>
      </w:r>
    </w:p>
    <w:p>
      <w:pPr>
        <w:tabs>
          <w:tab w:val="left" w:pos="720"/>
        </w:tabs>
        <w:spacing w:after="120" w:line="276"/>
        <w:ind w:left="720" w:hanging="720"/>
        <w:jc w:val="both"/>
      </w:pPr>
      <w:r>
        <w:rPr>
          <w:b/>
          <w:bCs/>
        </w:rPr>
        <w:t xml:space="preserve">14.2</w:t>
      </w:r>
      <w:r>
        <w:tab/>
      </w:r>
      <w:r>
        <w:t xml:space="preserve">The Contractor's total liability under or in connection with the Contract shall not exceed 100% of the Contract Price, except in cases of fraud, wilful misconduct, gross negligence, abandonment of the Works, or liability for death or injury under Clause 14.1.</w:t>
      </w:r>
    </w:p>
    <w:p>
      <w:pPr>
        <w:tabs>
          <w:tab w:val="left" w:pos="720"/>
        </w:tabs>
        <w:spacing w:after="120" w:line="276"/>
        <w:ind w:left="720" w:hanging="720"/>
        <w:jc w:val="both"/>
      </w:pPr>
      <w:r>
        <w:rPr>
          <w:b/>
          <w:bCs/>
        </w:rPr>
        <w:t xml:space="preserve">14.3</w:t>
      </w:r>
      <w:r>
        <w:tab/>
      </w:r>
      <w:r>
        <w:t xml:space="preserve">Neither Party shall be liable to the other for indirect or consequential loss, including loss of profit, loss of use or loss of contract, save that this Clause 14.3 shall not limit the Employer's right to recover loss of production under Clause 7.4.</w:t>
      </w:r>
    </w:p>
    <w:p>
      <w:pPr>
        <w:tabs>
          <w:tab w:val="left" w:pos="720"/>
        </w:tabs>
        <w:spacing w:after="120" w:line="276"/>
        <w:ind w:left="720" w:hanging="720"/>
        <w:jc w:val="both"/>
      </w:pPr>
      <w:r>
        <w:rPr>
          <w:b/>
          <w:bCs/>
        </w:rPr>
        <w:t xml:space="preserve">14.4</w:t>
      </w:r>
      <w:r>
        <w:tab/>
      </w:r>
      <w:r>
        <w:t xml:space="preserve">The Employer shall indemnify the Contractor against claims arising from the Employer's use or occupation of the Site and from the negligence of the Employer.</w:t>
      </w:r>
    </w:p>
    <w:p>
      <w:pPr>
        <w:pStyle w:val="Heading1"/>
      </w:pPr>
      <w:r>
        <w:t xml:space="preserve">15.  CHANGE IN LAW</w:t>
      </w:r>
    </w:p>
    <w:p>
      <w:pPr>
        <w:tabs>
          <w:tab w:val="left" w:pos="720"/>
        </w:tabs>
        <w:spacing w:after="120" w:line="276"/>
        <w:ind w:left="720" w:hanging="720"/>
        <w:jc w:val="both"/>
      </w:pPr>
      <w:r>
        <w:rPr>
          <w:b/>
          <w:bCs/>
        </w:rPr>
        <w:t xml:space="preserve">15.1</w:t>
      </w:r>
      <w:r>
        <w:tab/>
      </w:r>
      <w:r>
        <w:t xml:space="preserve">If, after the Base Date, there is a change in any law of India, including the introduction of a new law, the repeal or amendment of an existing law, or a change in its official interpretation, and including any by-law, regulation, notification, development control regulation or statutory permit condition, which affects the Contractor's cost or time of performance, the Contract Price and/or the Milestone Dates shall be adjusted accordingly.</w:t>
      </w:r>
    </w:p>
    <w:p>
      <w:pPr>
        <w:tabs>
          <w:tab w:val="left" w:pos="720"/>
        </w:tabs>
        <w:spacing w:after="120" w:line="276"/>
        <w:ind w:left="720" w:hanging="720"/>
        <w:jc w:val="both"/>
      </w:pPr>
      <w:r>
        <w:rPr>
          <w:b/>
          <w:bCs/>
        </w:rPr>
        <w:t xml:space="preserve">15.2</w:t>
      </w:r>
      <w:r>
        <w:tab/>
      </w:r>
      <w:r>
        <w:t xml:space="preserve">The Contractor shall give notice of a change in law within </w:t>
      </w:r>
      <w:r>
        <w:rPr>
          <w:b/>
          <w:bCs/>
        </w:rPr>
        <w:t xml:space="preserve">28 days</w:t>
      </w:r>
      <w:r>
        <w:t xml:space="preserve"> after it is published in the Official Gazette or otherwise notified. The consequences in Clause 6.2 apply to any failure to give notice.</w:t>
      </w:r>
    </w:p>
    <w:p>
      <w:pPr>
        <w:tabs>
          <w:tab w:val="left" w:pos="720"/>
        </w:tabs>
        <w:spacing w:after="120" w:line="276"/>
        <w:ind w:left="720" w:hanging="720"/>
        <w:jc w:val="both"/>
      </w:pPr>
      <w:r>
        <w:rPr>
          <w:b/>
          <w:bCs/>
        </w:rPr>
        <w:t xml:space="preserve">15.3</w:t>
      </w:r>
      <w:r>
        <w:tab/>
      </w:r>
      <w:r>
        <w:t xml:space="preserve">No adjustment shall be made for changes in minimum wages, variable dearness allowance or labour welfare cess, or in any law relating to labour, employment, wages, social security or occupational safety, all of which are at the Contractor's risk.</w:t>
      </w:r>
    </w:p>
    <w:p>
      <w:pPr>
        <w:tabs>
          <w:tab w:val="left" w:pos="720"/>
        </w:tabs>
        <w:spacing w:after="120" w:line="276"/>
        <w:ind w:left="720" w:hanging="720"/>
        <w:jc w:val="both"/>
      </w:pPr>
      <w:r>
        <w:rPr>
          <w:b/>
          <w:bCs/>
        </w:rPr>
        <w:t xml:space="preserve">15.4</w:t>
      </w:r>
      <w:r>
        <w:tab/>
      </w:r>
      <w:r>
        <w:t xml:space="preserve">The Works shall comply with the Indian Standards and the National Building Code current at the Base Date (Annexure D). Where a revised code is published after the Base Date, the Contractor shall notify the Employer, who may instruct compliance as a Variation. Compliance with a revised code that is made mandatory by law shall be treated as a change in law under Clause 15.1.</w:t>
      </w:r>
    </w:p>
    <w:p>
      <w:pPr>
        <w:pStyle w:val="Heading1"/>
      </w:pPr>
      <w:r>
        <w:t xml:space="preserve">16.  HEALTH, SAFETY AND ENVIRONMENT</w:t>
      </w:r>
    </w:p>
    <w:p>
      <w:pPr>
        <w:tabs>
          <w:tab w:val="left" w:pos="720"/>
        </w:tabs>
        <w:spacing w:after="120" w:line="276"/>
        <w:ind w:left="720" w:hanging="720"/>
        <w:jc w:val="both"/>
      </w:pPr>
      <w:r>
        <w:rPr>
          <w:b/>
          <w:bCs/>
        </w:rPr>
        <w:t xml:space="preserve">16.1</w:t>
      </w:r>
      <w:r>
        <w:tab/>
      </w:r>
      <w:r>
        <w:t xml:space="preserve">The Contractor shall comply with all applicable laws, including the Building and Other Construction Workers (Regulation of Employment and Conditions of Service) Act, 1996 and the rules under it, the Contract Labour (Regulation and Abolition) Act, 1970, the Environment (Protection) Act, 1986 and the Construction and Demolition Waste Management Rules, 2016, and with the Employer's HSE Manual.</w:t>
      </w:r>
    </w:p>
    <w:p>
      <w:pPr>
        <w:tabs>
          <w:tab w:val="left" w:pos="720"/>
        </w:tabs>
        <w:spacing w:after="120" w:line="276"/>
        <w:ind w:left="720" w:hanging="720"/>
        <w:jc w:val="both"/>
      </w:pPr>
      <w:r>
        <w:rPr>
          <w:b/>
          <w:bCs/>
        </w:rPr>
        <w:t xml:space="preserve">16.2</w:t>
      </w:r>
      <w:r>
        <w:tab/>
      </w:r>
      <w:r>
        <w:t xml:space="preserve">The Contractor shall deploy a full-time qualified safety officer on Site and one additional safety supervisor for every 250 workers, and shall operate a permit-to-work system for work at height, excavations, hot work and heavy lifts.</w:t>
      </w:r>
    </w:p>
    <w:p>
      <w:pPr>
        <w:tabs>
          <w:tab w:val="left" w:pos="720"/>
        </w:tabs>
        <w:spacing w:after="120" w:line="276"/>
        <w:ind w:left="720" w:hanging="720"/>
        <w:jc w:val="both"/>
      </w:pPr>
      <w:r>
        <w:rPr>
          <w:b/>
          <w:bCs/>
        </w:rPr>
        <w:t xml:space="preserve">16.3</w:t>
      </w:r>
      <w:r>
        <w:tab/>
      </w:r>
      <w:r>
        <w:t xml:space="preserve">The Employer may levy a penalty of </w:t>
      </w:r>
      <w:r>
        <w:rPr>
          <w:b/>
          <w:bCs/>
        </w:rPr>
        <w:t xml:space="preserve">INR 50,000 per safety violation</w:t>
      </w:r>
      <w:r>
        <w:t xml:space="preserve"> recorded by the Employer's Representative, deducted from interim payments, and may stop any unsafe activity. A stoppage for safety reasons does not entitle the Contractor to an extension of time or additional cost.</w:t>
      </w:r>
    </w:p>
    <w:p>
      <w:pPr>
        <w:tabs>
          <w:tab w:val="left" w:pos="720"/>
        </w:tabs>
        <w:spacing w:after="120" w:line="276"/>
        <w:ind w:left="720" w:hanging="720"/>
        <w:jc w:val="both"/>
      </w:pPr>
      <w:r>
        <w:rPr>
          <w:b/>
          <w:bCs/>
        </w:rPr>
        <w:t xml:space="preserve">16.4</w:t>
      </w:r>
      <w:r>
        <w:tab/>
      </w:r>
      <w:r>
        <w:t xml:space="preserve">By 15 May each year the Contractor shall submit a monsoon preparedness plan covering dewatering, drainage of excavations and piling platforms, and protection of materials.</w:t>
      </w:r>
    </w:p>
    <w:p>
      <w:pPr>
        <w:tabs>
          <w:tab w:val="left" w:pos="720"/>
        </w:tabs>
        <w:spacing w:after="120" w:line="276"/>
        <w:ind w:left="720" w:hanging="720"/>
        <w:jc w:val="both"/>
      </w:pPr>
      <w:r>
        <w:rPr>
          <w:b/>
          <w:bCs/>
        </w:rPr>
        <w:t xml:space="preserve">16.5</w:t>
      </w:r>
      <w:r>
        <w:tab/>
      </w:r>
      <w:r>
        <w:t xml:space="preserve">The Contractor shall report any incident within 24 hours, and any fatal or serious incident within 2 hours.</w:t>
      </w:r>
    </w:p>
    <w:p>
      <w:pPr>
        <w:pStyle w:val="Heading1"/>
      </w:pPr>
      <w:r>
        <w:t xml:space="preserve">17.  SUSPENSION AND TERMINATION</w:t>
      </w:r>
    </w:p>
    <w:p>
      <w:pPr>
        <w:tabs>
          <w:tab w:val="left" w:pos="720"/>
        </w:tabs>
        <w:spacing w:after="120" w:line="276"/>
        <w:ind w:left="720" w:hanging="720"/>
        <w:jc w:val="both"/>
      </w:pPr>
      <w:r>
        <w:rPr>
          <w:b/>
          <w:bCs/>
        </w:rPr>
        <w:t xml:space="preserve">17.1</w:t>
      </w:r>
      <w:r>
        <w:tab/>
      </w:r>
      <w:r>
        <w:t xml:space="preserve">The Employer may suspend all or part of the Works by notice. If the suspension is not due to the Contractor's default, the Contractor shall be entitled to an extension of time and to its demonstrable costs.</w:t>
      </w:r>
    </w:p>
    <w:p>
      <w:pPr>
        <w:tabs>
          <w:tab w:val="left" w:pos="720"/>
        </w:tabs>
        <w:spacing w:after="120" w:line="276"/>
        <w:ind w:left="720" w:hanging="720"/>
        <w:jc w:val="both"/>
      </w:pPr>
      <w:r>
        <w:rPr>
          <w:b/>
          <w:bCs/>
        </w:rPr>
        <w:t xml:space="preserve">17.2</w:t>
      </w:r>
      <w:r>
        <w:tab/>
      </w:r>
      <w:r>
        <w:t xml:space="preserve">The Employer may terminate the Contract on 7 days' notice if the Contractor: (a) abandons the Works or fails to proceed for 14 days; (b) fails to comply with a notice to correct within 14 days; (c) becomes insolvent; (d) assigns the Contract or subcontracts the whole of the Works without consent; or (e) reaches the maximum delay damages under Clause 7.2. The Employer may then complete the Works itself or through others at the Contractor's risk and cost, and encash the performance security.</w:t>
      </w:r>
    </w:p>
    <w:p>
      <w:pPr>
        <w:tabs>
          <w:tab w:val="left" w:pos="720"/>
        </w:tabs>
        <w:spacing w:after="120" w:line="276"/>
        <w:ind w:left="720" w:hanging="720"/>
        <w:jc w:val="both"/>
      </w:pPr>
      <w:r>
        <w:rPr>
          <w:b/>
          <w:bCs/>
        </w:rPr>
        <w:t xml:space="preserve">17.3</w:t>
      </w:r>
      <w:r>
        <w:tab/>
      </w:r>
      <w:r>
        <w:t xml:space="preserve">The Employer may terminate the Contract at any time for its convenience by giving </w:t>
      </w:r>
      <w:r>
        <w:rPr>
          <w:b/>
          <w:bCs/>
        </w:rPr>
        <w:t xml:space="preserve">30 days' notice</w:t>
      </w:r>
      <w:r>
        <w:t xml:space="preserve">. The Contractor shall be paid for work executed, materials delivered to Site and reasonable demobilisation costs, but shall not be entitled to any compensation for loss of anticipated profit or overheads on work not executed.</w:t>
      </w:r>
    </w:p>
    <w:p>
      <w:pPr>
        <w:tabs>
          <w:tab w:val="left" w:pos="720"/>
        </w:tabs>
        <w:spacing w:after="120" w:line="276"/>
        <w:ind w:left="720" w:hanging="720"/>
        <w:jc w:val="both"/>
      </w:pPr>
      <w:r>
        <w:rPr>
          <w:b/>
          <w:bCs/>
        </w:rPr>
        <w:t xml:space="preserve">17.4</w:t>
      </w:r>
      <w:r>
        <w:tab/>
      </w:r>
      <w:r>
        <w:t xml:space="preserve">The Contractor may terminate the Contract only if the Employer fails to pay a certified amount within 90 days after its due date, by giving 30 days' notice, and only if the amount remains unpaid at the end of that notice.</w:t>
      </w:r>
    </w:p>
    <w:p>
      <w:pPr>
        <w:pStyle w:val="Heading1"/>
      </w:pPr>
      <w:r>
        <w:t xml:space="preserve">18.  FORCE MAJEURE</w:t>
      </w:r>
    </w:p>
    <w:p>
      <w:pPr>
        <w:tabs>
          <w:tab w:val="left" w:pos="720"/>
        </w:tabs>
        <w:spacing w:after="120" w:line="276"/>
        <w:ind w:left="720" w:hanging="720"/>
        <w:jc w:val="both"/>
      </w:pPr>
      <w:r>
        <w:rPr>
          <w:b/>
          <w:bCs/>
        </w:rPr>
        <w:t xml:space="preserve">18.1</w:t>
      </w:r>
      <w:r>
        <w:tab/>
      </w:r>
      <w:r>
        <w:rPr>
          <w:b/>
          <w:bCs/>
        </w:rPr>
        <w:t xml:space="preserve">"Force Majeure"</w:t>
      </w:r>
      <w:r>
        <w:t xml:space="preserve"> means an exceptional event beyond a Party's control, which that Party could not reasonably have provided against before entering into the Contract, and which it could not reasonably have avoided or overcome, including war, riot, an epidemic declared by government, earthquake, flood, cyclone and a government-ordered lockdown.</w:t>
      </w:r>
    </w:p>
    <w:p>
      <w:pPr>
        <w:tabs>
          <w:tab w:val="left" w:pos="720"/>
        </w:tabs>
        <w:spacing w:after="120" w:line="276"/>
        <w:ind w:left="720" w:hanging="720"/>
        <w:jc w:val="both"/>
      </w:pPr>
      <w:r>
        <w:rPr>
          <w:b/>
          <w:bCs/>
        </w:rPr>
        <w:t xml:space="preserve">18.2</w:t>
      </w:r>
      <w:r>
        <w:tab/>
      </w:r>
      <w:r>
        <w:t xml:space="preserve">Rainfall during the monsoon season (June to September) is not Force Majeure unless the daily rainfall recorded at the India Meteorological Department observatory at Pune (Shivajinagar) exceeds 100 mm on three or more consecutive days. The Contractor is deemed to have allowed for normal monsoon conditions in the Programme.</w:t>
      </w:r>
    </w:p>
    <w:p>
      <w:pPr>
        <w:tabs>
          <w:tab w:val="left" w:pos="720"/>
        </w:tabs>
        <w:spacing w:after="120" w:line="276"/>
        <w:ind w:left="720" w:hanging="720"/>
        <w:jc w:val="both"/>
      </w:pPr>
      <w:r>
        <w:rPr>
          <w:b/>
          <w:bCs/>
        </w:rPr>
        <w:t xml:space="preserve">18.3</w:t>
      </w:r>
      <w:r>
        <w:tab/>
      </w:r>
      <w:r>
        <w:t xml:space="preserve">The affected Party shall give notice within 7 days of becoming aware of the Force Majeure event, failing which it shall not be entitled to relief.</w:t>
      </w:r>
    </w:p>
    <w:p>
      <w:pPr>
        <w:tabs>
          <w:tab w:val="left" w:pos="720"/>
        </w:tabs>
        <w:spacing w:after="120" w:line="276"/>
        <w:ind w:left="720" w:hanging="720"/>
        <w:jc w:val="both"/>
      </w:pPr>
      <w:r>
        <w:rPr>
          <w:b/>
          <w:bCs/>
        </w:rPr>
        <w:t xml:space="preserve">18.4</w:t>
      </w:r>
      <w:r>
        <w:tab/>
      </w:r>
      <w:r>
        <w:t xml:space="preserve">Force Majeure entitles the Contractor to an extension of time only, without additional cost.</w:t>
      </w:r>
    </w:p>
    <w:p>
      <w:pPr>
        <w:tabs>
          <w:tab w:val="left" w:pos="720"/>
        </w:tabs>
        <w:spacing w:after="120" w:line="276"/>
        <w:ind w:left="720" w:hanging="720"/>
        <w:jc w:val="both"/>
      </w:pPr>
      <w:r>
        <w:rPr>
          <w:b/>
          <w:bCs/>
        </w:rPr>
        <w:t xml:space="preserve">18.5</w:t>
      </w:r>
      <w:r>
        <w:tab/>
      </w:r>
      <w:r>
        <w:t xml:space="preserve">If Force Majeure prevents the execution of substantially all the Works for a continuous period of 120 days, either Party may terminate the Contract on 30 days' notice, and the Contractor shall be paid for work done.</w:t>
      </w:r>
    </w:p>
    <w:p>
      <w:pPr>
        <w:pStyle w:val="Heading1"/>
      </w:pPr>
      <w:r>
        <w:t xml:space="preserve">19.  DISPUTE RESOLUTION</w:t>
      </w:r>
    </w:p>
    <w:p>
      <w:pPr>
        <w:tabs>
          <w:tab w:val="left" w:pos="720"/>
        </w:tabs>
        <w:spacing w:after="120" w:line="276"/>
        <w:ind w:left="720" w:hanging="720"/>
        <w:jc w:val="both"/>
      </w:pPr>
      <w:r>
        <w:rPr>
          <w:b/>
          <w:bCs/>
        </w:rPr>
        <w:t xml:space="preserve">19.1</w:t>
      </w:r>
      <w:r>
        <w:tab/>
      </w:r>
      <w:r>
        <w:t xml:space="preserve">Any dispute shall first be referred to the Employer's Project Director and the Contractor's Managing Director, who shall meet within 14 days and try in good faith to resolve it within 30 days of the referral.</w:t>
      </w:r>
    </w:p>
    <w:p>
      <w:pPr>
        <w:tabs>
          <w:tab w:val="left" w:pos="720"/>
        </w:tabs>
        <w:spacing w:after="120" w:line="276"/>
        <w:ind w:left="720" w:hanging="720"/>
        <w:jc w:val="both"/>
      </w:pPr>
      <w:r>
        <w:rPr>
          <w:b/>
          <w:bCs/>
        </w:rPr>
        <w:t xml:space="preserve">19.2</w:t>
      </w:r>
      <w:r>
        <w:tab/>
      </w:r>
      <w:r>
        <w:t xml:space="preserve">Any dispute not so resolved shall be finally settled by arbitration under the Arbitration and Conciliation Act, 1996, by a sole arbitrator appointed by the Managing Director of the Employer.</w:t>
      </w:r>
    </w:p>
    <w:p>
      <w:pPr>
        <w:tabs>
          <w:tab w:val="left" w:pos="720"/>
        </w:tabs>
        <w:spacing w:after="120" w:line="276"/>
        <w:ind w:left="720" w:hanging="720"/>
        <w:jc w:val="both"/>
      </w:pPr>
      <w:r>
        <w:rPr>
          <w:b/>
          <w:bCs/>
        </w:rPr>
        <w:t xml:space="preserve">19.3</w:t>
      </w:r>
      <w:r>
        <w:tab/>
      </w:r>
      <w:r>
        <w:t xml:space="preserve">The seat and venue of arbitration shall be Pune, and the language shall be English.</w:t>
      </w:r>
    </w:p>
    <w:p>
      <w:pPr>
        <w:tabs>
          <w:tab w:val="left" w:pos="720"/>
        </w:tabs>
        <w:spacing w:after="120" w:line="276"/>
        <w:ind w:left="720" w:hanging="720"/>
        <w:jc w:val="both"/>
      </w:pPr>
      <w:r>
        <w:rPr>
          <w:b/>
          <w:bCs/>
        </w:rPr>
        <w:t xml:space="preserve">19.4</w:t>
      </w:r>
      <w:r>
        <w:tab/>
      </w:r>
      <w:r>
        <w:t xml:space="preserve">The Contractor shall continue the Works during any dispute, and the Employer shall continue to pay undisputed amounts.</w:t>
      </w:r>
    </w:p>
    <w:p>
      <w:pPr>
        <w:pStyle w:val="Heading1"/>
      </w:pPr>
      <w:r>
        <w:t xml:space="preserve">20.  GOVERNING LAW AND JURISDICTION</w:t>
      </w:r>
    </w:p>
    <w:p>
      <w:pPr>
        <w:tabs>
          <w:tab w:val="left" w:pos="720"/>
        </w:tabs>
        <w:spacing w:after="120" w:line="276"/>
        <w:ind w:left="720" w:hanging="720"/>
        <w:jc w:val="both"/>
      </w:pPr>
      <w:r>
        <w:rPr>
          <w:b/>
          <w:bCs/>
        </w:rPr>
        <w:t xml:space="preserve">20.1</w:t>
      </w:r>
      <w:r>
        <w:tab/>
      </w:r>
      <w:r>
        <w:t xml:space="preserve">The Contract is governed by the laws of India. Subject to Clause 19, the courts at Pune shall have exclusive jurisdiction.</w:t>
      </w:r>
    </w:p>
    <w:p>
      <w:pPr>
        <w:pStyle w:val="Heading1"/>
      </w:pPr>
      <w:r>
        <w:t xml:space="preserve">21.  GENERAL</w:t>
      </w:r>
    </w:p>
    <w:p>
      <w:pPr>
        <w:tabs>
          <w:tab w:val="left" w:pos="720"/>
        </w:tabs>
        <w:spacing w:after="120" w:line="276"/>
        <w:ind w:left="720" w:hanging="720"/>
        <w:jc w:val="both"/>
      </w:pPr>
      <w:r>
        <w:rPr>
          <w:b/>
          <w:bCs/>
        </w:rPr>
        <w:t xml:space="preserve">21.1</w:t>
      </w:r>
      <w:r>
        <w:tab/>
      </w:r>
      <w:r>
        <w:t xml:space="preserve">Notices shall be in writing and delivered by hand, registered post or e-mail to: for the Employer, the Project Director, BepsiCo Projects Division, Chakan Phase II Site Office, MIDC Chakan, Pune 410501 (projects.chakan@bepsico.example); for the Contractor, the Managing Director, Rohan Builders Private Limited, Pune (contracts@rohanbuilders.example).</w:t>
      </w:r>
    </w:p>
    <w:p>
      <w:pPr>
        <w:tabs>
          <w:tab w:val="left" w:pos="720"/>
        </w:tabs>
        <w:spacing w:after="120" w:line="276"/>
        <w:ind w:left="720" w:hanging="720"/>
        <w:jc w:val="both"/>
      </w:pPr>
      <w:r>
        <w:rPr>
          <w:b/>
          <w:bCs/>
        </w:rPr>
        <w:t xml:space="preserve">21.2</w:t>
      </w:r>
      <w:r>
        <w:tab/>
      </w:r>
      <w:r>
        <w:t xml:space="preserve">The Contractor shall not assign the Contract. It shall not subcontract more than 40% of the Contract Price by value, or any piling or post-tensioning work, without the Employer's prior written consent.</w:t>
      </w:r>
    </w:p>
    <w:p>
      <w:pPr>
        <w:tabs>
          <w:tab w:val="left" w:pos="720"/>
        </w:tabs>
        <w:spacing w:after="120" w:line="276"/>
        <w:ind w:left="720" w:hanging="720"/>
        <w:jc w:val="both"/>
      </w:pPr>
      <w:r>
        <w:rPr>
          <w:b/>
          <w:bCs/>
        </w:rPr>
        <w:t xml:space="preserve">21.3</w:t>
      </w:r>
      <w:r>
        <w:tab/>
      </w:r>
      <w:r>
        <w:t xml:space="preserve">The Contractor shall keep confidential all information about the Employer's processes and facility, and shall not photograph the Site or publish any information about the Project without the Employer's consent.</w:t>
      </w:r>
    </w:p>
    <w:p>
      <w:pPr>
        <w:tabs>
          <w:tab w:val="left" w:pos="720"/>
        </w:tabs>
        <w:spacing w:after="120" w:line="276"/>
        <w:ind w:left="720" w:hanging="720"/>
        <w:jc w:val="both"/>
      </w:pPr>
      <w:r>
        <w:rPr>
          <w:b/>
          <w:bCs/>
        </w:rPr>
        <w:t xml:space="preserve">21.4</w:t>
      </w:r>
      <w:r>
        <w:tab/>
      </w:r>
      <w:r>
        <w:t xml:space="preserve">This Agreement is the entire agreement between the Parties about its subject matter. Any amendment must be in writing and signed by both Parties.</w:t>
      </w:r>
    </w:p>
    <w:p>
      <w:pPr>
        <w:keepNext/>
        <w:spacing w:after="240" w:before="240"/>
        <w:jc w:val="both"/>
      </w:pPr>
      <w:r>
        <w:rPr>
          <w:b/>
          <w:bCs/>
        </w:rPr>
        <w:t xml:space="preserve">IN WITNESS WHEREOF</w:t>
      </w:r>
      <w:r>
        <w:t xml:space="preserve"> the Parties have executed this Agreement on the date first written above.</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703"/>
        <w:gridCol w:w="4703"/>
      </w:tblGrid>
      <w:tr>
        <w:trPr>
          <w:cantSplit/>
          <w:tblHeader/>
        </w:trPr>
        <w:tc>
          <w:tcPr>
            <w:tcW w:type="dxa" w:w="4703"/>
            <w:shd w:fill="D9E2F3" w:color="auto" w:val="clear"/>
            <w:tcMar>
              <w:top w:type="dxa" w:w="70"/>
              <w:left w:type="dxa" w:w="110"/>
              <w:bottom w:type="dxa" w:w="70"/>
              <w:right w:type="dxa" w:w="110"/>
            </w:tcMar>
            <w:vAlign w:val="center"/>
          </w:tcPr>
          <w:p>
            <w:pPr>
              <w:spacing w:after="40"/>
              <w:jc w:val="left"/>
            </w:pPr>
            <w:r>
              <w:rPr>
                <w:b/>
                <w:bCs/>
                <w:color w:val="1F3864"/>
                <w:sz w:val="19"/>
                <w:szCs w:val="19"/>
              </w:rPr>
              <w:t xml:space="preserve">For and on behalf of BepsiCo India Manufacturing Private Limited</w:t>
            </w:r>
          </w:p>
        </w:tc>
        <w:tc>
          <w:tcPr>
            <w:tcW w:type="dxa" w:w="4703"/>
            <w:shd w:fill="D9E2F3" w:color="auto" w:val="clear"/>
            <w:tcMar>
              <w:top w:type="dxa" w:w="70"/>
              <w:left w:type="dxa" w:w="110"/>
              <w:bottom w:type="dxa" w:w="70"/>
              <w:right w:type="dxa" w:w="110"/>
            </w:tcMar>
            <w:vAlign w:val="center"/>
          </w:tcPr>
          <w:p>
            <w:pPr>
              <w:spacing w:after="40"/>
              <w:jc w:val="left"/>
            </w:pPr>
            <w:r>
              <w:rPr>
                <w:b/>
                <w:bCs/>
                <w:color w:val="1F3864"/>
                <w:sz w:val="19"/>
                <w:szCs w:val="19"/>
              </w:rPr>
              <w:t xml:space="preserve">For and on behalf of Rohan Builders Private Limited</w:t>
            </w:r>
          </w:p>
        </w:tc>
      </w:tr>
      <w:tr>
        <w:trPr>
          <w:cantSplit/>
          <w:tblHeader w:val="false"/>
        </w:trPr>
        <w:tc>
          <w:tcPr>
            <w:tcW w:type="dxa" w:w="4703"/>
            <w:tcMar>
              <w:top w:type="dxa" w:w="70"/>
              <w:left w:type="dxa" w:w="110"/>
              <w:bottom w:type="dxa" w:w="70"/>
              <w:right w:type="dxa" w:w="110"/>
            </w:tcMar>
            <w:vAlign w:val="center"/>
          </w:tcPr>
          <w:p>
            <w:pPr>
              <w:spacing w:after="40"/>
              <w:jc w:val="left"/>
            </w:pPr>
            <w:r>
              <w:rPr>
                <w:b w:val="false"/>
                <w:bCs w:val="false"/>
                <w:sz w:val="19"/>
                <w:szCs w:val="19"/>
              </w:rPr>
              <w:t xml:space="preserve">Signature: ______________________________</w:t>
            </w:r>
          </w:p>
        </w:tc>
        <w:tc>
          <w:tcPr>
            <w:tcW w:type="dxa" w:w="4703"/>
            <w:tcMar>
              <w:top w:type="dxa" w:w="70"/>
              <w:left w:type="dxa" w:w="110"/>
              <w:bottom w:type="dxa" w:w="70"/>
              <w:right w:type="dxa" w:w="110"/>
            </w:tcMar>
            <w:vAlign w:val="center"/>
          </w:tcPr>
          <w:p>
            <w:pPr>
              <w:spacing w:after="40"/>
              <w:jc w:val="left"/>
            </w:pPr>
            <w:r>
              <w:rPr>
                <w:b w:val="false"/>
                <w:bCs w:val="false"/>
                <w:sz w:val="19"/>
                <w:szCs w:val="19"/>
              </w:rPr>
              <w:t xml:space="preserve">Signature: ______________________________</w:t>
            </w:r>
          </w:p>
        </w:tc>
      </w:tr>
      <w:tr>
        <w:trPr>
          <w:cantSplit/>
          <w:tblHeader w:val="false"/>
        </w:trPr>
        <w:tc>
          <w:tcPr>
            <w:tcW w:type="dxa" w:w="4703"/>
            <w:tcMar>
              <w:top w:type="dxa" w:w="70"/>
              <w:left w:type="dxa" w:w="110"/>
              <w:bottom w:type="dxa" w:w="70"/>
              <w:right w:type="dxa" w:w="110"/>
            </w:tcMar>
            <w:vAlign w:val="center"/>
          </w:tcPr>
          <w:p>
            <w:pPr>
              <w:spacing w:after="40"/>
              <w:jc w:val="left"/>
            </w:pPr>
            <w:r>
              <w:rPr>
                <w:b w:val="false"/>
                <w:bCs w:val="false"/>
                <w:sz w:val="19"/>
                <w:szCs w:val="19"/>
              </w:rPr>
              <w:t xml:space="preserve">Name: ______________________________</w:t>
            </w:r>
          </w:p>
        </w:tc>
        <w:tc>
          <w:tcPr>
            <w:tcW w:type="dxa" w:w="4703"/>
            <w:tcMar>
              <w:top w:type="dxa" w:w="70"/>
              <w:left w:type="dxa" w:w="110"/>
              <w:bottom w:type="dxa" w:w="70"/>
              <w:right w:type="dxa" w:w="110"/>
            </w:tcMar>
            <w:vAlign w:val="center"/>
          </w:tcPr>
          <w:p>
            <w:pPr>
              <w:spacing w:after="40"/>
              <w:jc w:val="left"/>
            </w:pPr>
            <w:r>
              <w:rPr>
                <w:b w:val="false"/>
                <w:bCs w:val="false"/>
                <w:sz w:val="19"/>
                <w:szCs w:val="19"/>
              </w:rPr>
              <w:t xml:space="preserve">Name: ______________________________</w:t>
            </w:r>
          </w:p>
        </w:tc>
      </w:tr>
      <w:tr>
        <w:trPr>
          <w:cantSplit/>
          <w:tblHeader w:val="false"/>
        </w:trPr>
        <w:tc>
          <w:tcPr>
            <w:tcW w:type="dxa" w:w="4703"/>
            <w:tcMar>
              <w:top w:type="dxa" w:w="70"/>
              <w:left w:type="dxa" w:w="110"/>
              <w:bottom w:type="dxa" w:w="70"/>
              <w:right w:type="dxa" w:w="110"/>
            </w:tcMar>
            <w:vAlign w:val="center"/>
          </w:tcPr>
          <w:p>
            <w:pPr>
              <w:spacing w:after="40"/>
              <w:jc w:val="left"/>
            </w:pPr>
            <w:r>
              <w:rPr>
                <w:b w:val="false"/>
                <w:bCs w:val="false"/>
                <w:sz w:val="19"/>
                <w:szCs w:val="19"/>
              </w:rPr>
              <w:t xml:space="preserve">Designation: ______________________________</w:t>
            </w:r>
          </w:p>
        </w:tc>
        <w:tc>
          <w:tcPr>
            <w:tcW w:type="dxa" w:w="4703"/>
            <w:tcMar>
              <w:top w:type="dxa" w:w="70"/>
              <w:left w:type="dxa" w:w="110"/>
              <w:bottom w:type="dxa" w:w="70"/>
              <w:right w:type="dxa" w:w="110"/>
            </w:tcMar>
            <w:vAlign w:val="center"/>
          </w:tcPr>
          <w:p>
            <w:pPr>
              <w:spacing w:after="40"/>
              <w:jc w:val="left"/>
            </w:pPr>
            <w:r>
              <w:rPr>
                <w:b w:val="false"/>
                <w:bCs w:val="false"/>
                <w:sz w:val="19"/>
                <w:szCs w:val="19"/>
              </w:rPr>
              <w:t xml:space="preserve">Designation: ______________________________</w:t>
            </w:r>
          </w:p>
        </w:tc>
      </w:tr>
      <w:tr>
        <w:trPr>
          <w:cantSplit/>
          <w:tblHeader w:val="false"/>
        </w:trPr>
        <w:tc>
          <w:tcPr>
            <w:tcW w:type="dxa" w:w="4703"/>
            <w:tcMar>
              <w:top w:type="dxa" w:w="70"/>
              <w:left w:type="dxa" w:w="110"/>
              <w:bottom w:type="dxa" w:w="70"/>
              <w:right w:type="dxa" w:w="110"/>
            </w:tcMar>
            <w:vAlign w:val="center"/>
          </w:tcPr>
          <w:p>
            <w:pPr>
              <w:spacing w:after="40"/>
              <w:jc w:val="left"/>
            </w:pPr>
            <w:r>
              <w:rPr>
                <w:b w:val="false"/>
                <w:bCs w:val="false"/>
                <w:sz w:val="19"/>
                <w:szCs w:val="19"/>
              </w:rPr>
              <w:t xml:space="preserve">Date: ______________________________</w:t>
            </w:r>
          </w:p>
        </w:tc>
        <w:tc>
          <w:tcPr>
            <w:tcW w:type="dxa" w:w="4703"/>
            <w:tcMar>
              <w:top w:type="dxa" w:w="70"/>
              <w:left w:type="dxa" w:w="110"/>
              <w:bottom w:type="dxa" w:w="70"/>
              <w:right w:type="dxa" w:w="110"/>
            </w:tcMar>
            <w:vAlign w:val="center"/>
          </w:tcPr>
          <w:p>
            <w:pPr>
              <w:spacing w:after="40"/>
              <w:jc w:val="left"/>
            </w:pPr>
            <w:r>
              <w:rPr>
                <w:b w:val="false"/>
                <w:bCs w:val="false"/>
                <w:sz w:val="19"/>
                <w:szCs w:val="19"/>
              </w:rPr>
              <w:t xml:space="preserve">Date: ______________________________</w:t>
            </w:r>
          </w:p>
        </w:tc>
      </w:tr>
      <w:tr>
        <w:trPr>
          <w:cantSplit/>
          <w:tblHeader w:val="false"/>
        </w:trPr>
        <w:tc>
          <w:tcPr>
            <w:tcW w:type="dxa" w:w="4703"/>
            <w:tcMar>
              <w:top w:type="dxa" w:w="70"/>
              <w:left w:type="dxa" w:w="110"/>
              <w:bottom w:type="dxa" w:w="70"/>
              <w:right w:type="dxa" w:w="110"/>
            </w:tcMar>
            <w:vAlign w:val="center"/>
          </w:tcPr>
          <w:p>
            <w:pPr>
              <w:spacing w:after="40"/>
              <w:jc w:val="left"/>
            </w:pPr>
            <w:r>
              <w:rPr>
                <w:b w:val="false"/>
                <w:bCs w:val="false"/>
                <w:sz w:val="19"/>
                <w:szCs w:val="19"/>
              </w:rPr>
              <w:t xml:space="preserve">Witness: ______________________________</w:t>
            </w:r>
          </w:p>
        </w:tc>
        <w:tc>
          <w:tcPr>
            <w:tcW w:type="dxa" w:w="4703"/>
            <w:tcMar>
              <w:top w:type="dxa" w:w="70"/>
              <w:left w:type="dxa" w:w="110"/>
              <w:bottom w:type="dxa" w:w="70"/>
              <w:right w:type="dxa" w:w="110"/>
            </w:tcMar>
            <w:vAlign w:val="center"/>
          </w:tcPr>
          <w:p>
            <w:pPr>
              <w:spacing w:after="40"/>
              <w:jc w:val="left"/>
            </w:pPr>
            <w:r>
              <w:rPr>
                <w:b w:val="false"/>
                <w:bCs w:val="false"/>
                <w:sz w:val="19"/>
                <w:szCs w:val="19"/>
              </w:rPr>
              <w:t xml:space="preserve">Witness: ______________________________</w:t>
            </w:r>
          </w:p>
        </w:tc>
      </w:tr>
    </w:tbl>
    <w:p>
      <w:pPr>
        <w:pStyle w:val="Heading1"/>
        <w:pageBreakBefore/>
      </w:pPr>
      <w:r>
        <w:t xml:space="preserve">ANNEXURE A — SCOPE OF WORKS (SUMMARY)</w:t>
      </w:r>
    </w:p>
    <w:p>
      <w:pPr>
        <w:spacing w:after="120" w:line="276"/>
        <w:jc w:val="both"/>
      </w:pPr>
      <w:r>
        <w:t xml:space="preserve">The Process Building is a ground-plus-two-level structure measuring 120 m × 72 m in plan (footprint about 8,640 m²; built-up area about 25,900 m²). The detailed scope is defined in the Employer's drawings and Technical Specification Volume II (Ref. BPC/CHK/TS/02).</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6606"/>
      </w:tblGrid>
      <w:tr>
        <w:trPr>
          <w:cantSplit/>
          <w:tblHeader/>
        </w:trPr>
        <w:tc>
          <w:tcPr>
            <w:tcW w:type="dxa" w:w="700"/>
            <w:shd w:fill="D9E2F3" w:color="auto" w:val="clear"/>
            <w:tcMar>
              <w:top w:type="dxa" w:w="70"/>
              <w:left w:type="dxa" w:w="110"/>
              <w:bottom w:type="dxa" w:w="70"/>
              <w:right w:type="dxa" w:w="110"/>
            </w:tcMar>
            <w:vAlign w:val="center"/>
          </w:tcPr>
          <w:p>
            <w:pPr>
              <w:spacing w:after="40"/>
              <w:jc w:val="left"/>
            </w:pPr>
            <w:r>
              <w:rPr>
                <w:b/>
                <w:bCs/>
                <w:color w:val="1F3864"/>
                <w:sz w:val="19"/>
                <w:szCs w:val="19"/>
              </w:rPr>
              <w:t xml:space="preserve">Ref.</w:t>
            </w:r>
          </w:p>
        </w:tc>
        <w:tc>
          <w:tcPr>
            <w:tcW w:type="dxa" w:w="2100"/>
            <w:shd w:fill="D9E2F3" w:color="auto" w:val="clear"/>
            <w:tcMar>
              <w:top w:type="dxa" w:w="70"/>
              <w:left w:type="dxa" w:w="110"/>
              <w:bottom w:type="dxa" w:w="70"/>
              <w:right w:type="dxa" w:w="110"/>
            </w:tcMar>
            <w:vAlign w:val="center"/>
          </w:tcPr>
          <w:p>
            <w:pPr>
              <w:spacing w:after="40"/>
              <w:jc w:val="left"/>
            </w:pPr>
            <w:r>
              <w:rPr>
                <w:b/>
                <w:bCs/>
                <w:color w:val="1F3864"/>
                <w:sz w:val="19"/>
                <w:szCs w:val="19"/>
              </w:rPr>
              <w:t xml:space="preserve">Element</w:t>
            </w:r>
          </w:p>
        </w:tc>
        <w:tc>
          <w:tcPr>
            <w:tcW w:type="dxa" w:w="6606"/>
            <w:shd w:fill="D9E2F3" w:color="auto" w:val="clear"/>
            <w:tcMar>
              <w:top w:type="dxa" w:w="70"/>
              <w:left w:type="dxa" w:w="110"/>
              <w:bottom w:type="dxa" w:w="70"/>
              <w:right w:type="dxa" w:w="110"/>
            </w:tcMar>
            <w:vAlign w:val="center"/>
          </w:tcPr>
          <w:p>
            <w:pPr>
              <w:spacing w:after="40"/>
              <w:jc w:val="left"/>
            </w:pPr>
            <w:r>
              <w:rPr>
                <w:b/>
                <w:bCs/>
                <w:color w:val="1F3864"/>
                <w:sz w:val="19"/>
                <w:szCs w:val="19"/>
              </w:rPr>
              <w:t xml:space="preserve">Description</w:t>
            </w:r>
          </w:p>
        </w:tc>
      </w:tr>
      <w:tr>
        <w:trPr>
          <w:cantSplit/>
          <w:tblHeader w:val="false"/>
        </w:trPr>
        <w:tc>
          <w:tcPr>
            <w:tcW w:type="dxa" w:w="700"/>
            <w:tcMar>
              <w:top w:type="dxa" w:w="70"/>
              <w:left w:type="dxa" w:w="110"/>
              <w:bottom w:type="dxa" w:w="70"/>
              <w:right w:type="dxa" w:w="110"/>
            </w:tcMar>
            <w:vAlign w:val="center"/>
          </w:tcPr>
          <w:p>
            <w:pPr>
              <w:spacing w:after="40"/>
              <w:jc w:val="left"/>
            </w:pPr>
            <w:r>
              <w:rPr>
                <w:b w:val="false"/>
                <w:bCs w:val="false"/>
                <w:sz w:val="19"/>
                <w:szCs w:val="19"/>
              </w:rPr>
              <w:t xml:space="preserve">A1</w:t>
            </w:r>
          </w:p>
        </w:tc>
        <w:tc>
          <w:tcPr>
            <w:tcW w:type="dxa" w:w="2100"/>
            <w:tcMar>
              <w:top w:type="dxa" w:w="70"/>
              <w:left w:type="dxa" w:w="110"/>
              <w:bottom w:type="dxa" w:w="70"/>
              <w:right w:type="dxa" w:w="110"/>
            </w:tcMar>
            <w:vAlign w:val="center"/>
          </w:tcPr>
          <w:p>
            <w:pPr>
              <w:spacing w:after="40"/>
              <w:jc w:val="left"/>
            </w:pPr>
            <w:r>
              <w:rPr>
                <w:b w:val="false"/>
                <w:bCs w:val="false"/>
                <w:sz w:val="19"/>
                <w:szCs w:val="19"/>
              </w:rPr>
              <w:t xml:space="preserve">Site preparation</w:t>
            </w:r>
          </w:p>
        </w:tc>
        <w:tc>
          <w:tcPr>
            <w:tcW w:type="dxa" w:w="6606"/>
            <w:tcMar>
              <w:top w:type="dxa" w:w="70"/>
              <w:left w:type="dxa" w:w="110"/>
              <w:bottom w:type="dxa" w:w="70"/>
              <w:right w:type="dxa" w:w="110"/>
            </w:tcMar>
            <w:vAlign w:val="center"/>
          </w:tcPr>
          <w:p>
            <w:pPr>
              <w:spacing w:after="40"/>
              <w:jc w:val="left"/>
            </w:pPr>
            <w:r>
              <w:rPr>
                <w:b w:val="false"/>
                <w:bCs w:val="false"/>
                <w:sz w:val="19"/>
                <w:szCs w:val="19"/>
              </w:rPr>
              <w:t xml:space="preserve">Site clearance, grading to formation level, temporary drainage, and a 60 m² site office for the Employer's Representative.</w:t>
            </w:r>
          </w:p>
        </w:tc>
      </w:tr>
      <w:tr>
        <w:trPr>
          <w:cantSplit/>
          <w:tblHeader w:val="false"/>
        </w:trPr>
        <w:tc>
          <w:tcPr>
            <w:tcW w:type="dxa" w:w="700"/>
            <w:tcMar>
              <w:top w:type="dxa" w:w="70"/>
              <w:left w:type="dxa" w:w="110"/>
              <w:bottom w:type="dxa" w:w="70"/>
              <w:right w:type="dxa" w:w="110"/>
            </w:tcMar>
            <w:vAlign w:val="center"/>
          </w:tcPr>
          <w:p>
            <w:pPr>
              <w:spacing w:after="40"/>
              <w:jc w:val="left"/>
            </w:pPr>
            <w:r>
              <w:rPr>
                <w:b w:val="false"/>
                <w:bCs w:val="false"/>
                <w:sz w:val="19"/>
                <w:szCs w:val="19"/>
              </w:rPr>
              <w:t xml:space="preserve">A2</w:t>
            </w:r>
          </w:p>
        </w:tc>
        <w:tc>
          <w:tcPr>
            <w:tcW w:type="dxa" w:w="2100"/>
            <w:tcMar>
              <w:top w:type="dxa" w:w="70"/>
              <w:left w:type="dxa" w:w="110"/>
              <w:bottom w:type="dxa" w:w="70"/>
              <w:right w:type="dxa" w:w="110"/>
            </w:tcMar>
            <w:vAlign w:val="center"/>
          </w:tcPr>
          <w:p>
            <w:pPr>
              <w:spacing w:after="40"/>
              <w:jc w:val="left"/>
            </w:pPr>
            <w:r>
              <w:rPr>
                <w:b w:val="false"/>
                <w:bCs w:val="false"/>
                <w:sz w:val="19"/>
                <w:szCs w:val="19"/>
              </w:rPr>
              <w:t xml:space="preserve">Piling</w:t>
            </w:r>
          </w:p>
        </w:tc>
        <w:tc>
          <w:tcPr>
            <w:tcW w:type="dxa" w:w="6606"/>
            <w:tcMar>
              <w:top w:type="dxa" w:w="70"/>
              <w:left w:type="dxa" w:w="110"/>
              <w:bottom w:type="dxa" w:w="70"/>
              <w:right w:type="dxa" w:w="110"/>
            </w:tcMar>
            <w:vAlign w:val="center"/>
          </w:tcPr>
          <w:p>
            <w:pPr>
              <w:spacing w:after="40"/>
              <w:jc w:val="left"/>
            </w:pPr>
            <w:r>
              <w:rPr>
                <w:b w:val="false"/>
                <w:bCs w:val="false"/>
                <w:sz w:val="19"/>
                <w:szCs w:val="19"/>
              </w:rPr>
              <w:t xml:space="preserve">About 420 bored cast-in-situ piles of 600 mm and 750 mm diameter, socketed into basalt, typical depth 16–20 m; initial and routine load tests; pile integrity tests on all piles.</w:t>
            </w:r>
          </w:p>
        </w:tc>
      </w:tr>
      <w:tr>
        <w:trPr>
          <w:cantSplit/>
          <w:tblHeader w:val="false"/>
        </w:trPr>
        <w:tc>
          <w:tcPr>
            <w:tcW w:type="dxa" w:w="700"/>
            <w:tcMar>
              <w:top w:type="dxa" w:w="70"/>
              <w:left w:type="dxa" w:w="110"/>
              <w:bottom w:type="dxa" w:w="70"/>
              <w:right w:type="dxa" w:w="110"/>
            </w:tcMar>
            <w:vAlign w:val="center"/>
          </w:tcPr>
          <w:p>
            <w:pPr>
              <w:spacing w:after="40"/>
              <w:jc w:val="left"/>
            </w:pPr>
            <w:r>
              <w:rPr>
                <w:b w:val="false"/>
                <w:bCs w:val="false"/>
                <w:sz w:val="19"/>
                <w:szCs w:val="19"/>
              </w:rPr>
              <w:t xml:space="preserve">A3</w:t>
            </w:r>
          </w:p>
        </w:tc>
        <w:tc>
          <w:tcPr>
            <w:tcW w:type="dxa" w:w="2100"/>
            <w:tcMar>
              <w:top w:type="dxa" w:w="70"/>
              <w:left w:type="dxa" w:w="110"/>
              <w:bottom w:type="dxa" w:w="70"/>
              <w:right w:type="dxa" w:w="110"/>
            </w:tcMar>
            <w:vAlign w:val="center"/>
          </w:tcPr>
          <w:p>
            <w:pPr>
              <w:spacing w:after="40"/>
              <w:jc w:val="left"/>
            </w:pPr>
            <w:r>
              <w:rPr>
                <w:b w:val="false"/>
                <w:bCs w:val="false"/>
                <w:sz w:val="19"/>
                <w:szCs w:val="19"/>
              </w:rPr>
              <w:t xml:space="preserve">Foundations</w:t>
            </w:r>
          </w:p>
        </w:tc>
        <w:tc>
          <w:tcPr>
            <w:tcW w:type="dxa" w:w="6606"/>
            <w:tcMar>
              <w:top w:type="dxa" w:w="70"/>
              <w:left w:type="dxa" w:w="110"/>
              <w:bottom w:type="dxa" w:w="70"/>
              <w:right w:type="dxa" w:w="110"/>
            </w:tcMar>
            <w:vAlign w:val="center"/>
          </w:tcPr>
          <w:p>
            <w:pPr>
              <w:spacing w:after="40"/>
              <w:jc w:val="left"/>
            </w:pPr>
            <w:r>
              <w:rPr>
                <w:b w:val="false"/>
                <w:bCs w:val="false"/>
                <w:sz w:val="19"/>
                <w:szCs w:val="19"/>
              </w:rPr>
              <w:t xml:space="preserve">Pile caps, grade beams, sumps, pits and six vibration-isolated block foundations for process machines.</w:t>
            </w:r>
          </w:p>
        </w:tc>
      </w:tr>
      <w:tr>
        <w:trPr>
          <w:cantSplit/>
          <w:tblHeader w:val="false"/>
        </w:trPr>
        <w:tc>
          <w:tcPr>
            <w:tcW w:type="dxa" w:w="700"/>
            <w:tcMar>
              <w:top w:type="dxa" w:w="70"/>
              <w:left w:type="dxa" w:w="110"/>
              <w:bottom w:type="dxa" w:w="70"/>
              <w:right w:type="dxa" w:w="110"/>
            </w:tcMar>
            <w:vAlign w:val="center"/>
          </w:tcPr>
          <w:p>
            <w:pPr>
              <w:spacing w:after="40"/>
              <w:jc w:val="left"/>
            </w:pPr>
            <w:r>
              <w:rPr>
                <w:b w:val="false"/>
                <w:bCs w:val="false"/>
                <w:sz w:val="19"/>
                <w:szCs w:val="19"/>
              </w:rPr>
              <w:t xml:space="preserve">A4</w:t>
            </w:r>
          </w:p>
        </w:tc>
        <w:tc>
          <w:tcPr>
            <w:tcW w:type="dxa" w:w="2100"/>
            <w:tcMar>
              <w:top w:type="dxa" w:w="70"/>
              <w:left w:type="dxa" w:w="110"/>
              <w:bottom w:type="dxa" w:w="70"/>
              <w:right w:type="dxa" w:w="110"/>
            </w:tcMar>
            <w:vAlign w:val="center"/>
          </w:tcPr>
          <w:p>
            <w:pPr>
              <w:spacing w:after="40"/>
              <w:jc w:val="left"/>
            </w:pPr>
            <w:r>
              <w:rPr>
                <w:b w:val="false"/>
                <w:bCs w:val="false"/>
                <w:sz w:val="19"/>
                <w:szCs w:val="19"/>
              </w:rPr>
              <w:t xml:space="preserve">Superstructure</w:t>
            </w:r>
          </w:p>
        </w:tc>
        <w:tc>
          <w:tcPr>
            <w:tcW w:type="dxa" w:w="6606"/>
            <w:tcMar>
              <w:top w:type="dxa" w:w="70"/>
              <w:left w:type="dxa" w:w="110"/>
              <w:bottom w:type="dxa" w:w="70"/>
              <w:right w:type="dxa" w:w="110"/>
            </w:tcMar>
            <w:vAlign w:val="center"/>
          </w:tcPr>
          <w:p>
            <w:pPr>
              <w:spacing w:after="40"/>
              <w:jc w:val="left"/>
            </w:pPr>
            <w:r>
              <w:rPr>
                <w:b w:val="false"/>
                <w:bCs w:val="false"/>
                <w:sz w:val="19"/>
                <w:szCs w:val="19"/>
              </w:rPr>
              <w:t xml:space="preserve">RCC frame in M40 concrete; 250 mm post-tensioned flat slabs at +7.50 m and +15.00 m; staircases, lift cores and pipe-rack supports.</w:t>
            </w:r>
          </w:p>
        </w:tc>
      </w:tr>
      <w:tr>
        <w:trPr>
          <w:cantSplit/>
          <w:tblHeader w:val="false"/>
        </w:trPr>
        <w:tc>
          <w:tcPr>
            <w:tcW w:type="dxa" w:w="700"/>
            <w:tcMar>
              <w:top w:type="dxa" w:w="70"/>
              <w:left w:type="dxa" w:w="110"/>
              <w:bottom w:type="dxa" w:w="70"/>
              <w:right w:type="dxa" w:w="110"/>
            </w:tcMar>
            <w:vAlign w:val="center"/>
          </w:tcPr>
          <w:p>
            <w:pPr>
              <w:spacing w:after="40"/>
              <w:jc w:val="left"/>
            </w:pPr>
            <w:r>
              <w:rPr>
                <w:b w:val="false"/>
                <w:bCs w:val="false"/>
                <w:sz w:val="19"/>
                <w:szCs w:val="19"/>
              </w:rPr>
              <w:t xml:space="preserve">A5</w:t>
            </w:r>
          </w:p>
        </w:tc>
        <w:tc>
          <w:tcPr>
            <w:tcW w:type="dxa" w:w="2100"/>
            <w:tcMar>
              <w:top w:type="dxa" w:w="70"/>
              <w:left w:type="dxa" w:w="110"/>
              <w:bottom w:type="dxa" w:w="70"/>
              <w:right w:type="dxa" w:w="110"/>
            </w:tcMar>
            <w:vAlign w:val="center"/>
          </w:tcPr>
          <w:p>
            <w:pPr>
              <w:spacing w:after="40"/>
              <w:jc w:val="left"/>
            </w:pPr>
            <w:r>
              <w:rPr>
                <w:b w:val="false"/>
                <w:bCs w:val="false"/>
                <w:sz w:val="19"/>
                <w:szCs w:val="19"/>
              </w:rPr>
              <w:t xml:space="preserve">Roof and cladding</w:t>
            </w:r>
          </w:p>
        </w:tc>
        <w:tc>
          <w:tcPr>
            <w:tcW w:type="dxa" w:w="6606"/>
            <w:tcMar>
              <w:top w:type="dxa" w:w="70"/>
              <w:left w:type="dxa" w:w="110"/>
              <w:bottom w:type="dxa" w:w="70"/>
              <w:right w:type="dxa" w:w="110"/>
            </w:tcMar>
            <w:vAlign w:val="center"/>
          </w:tcPr>
          <w:p>
            <w:pPr>
              <w:spacing w:after="40"/>
              <w:jc w:val="left"/>
            </w:pPr>
            <w:r>
              <w:rPr>
                <w:b w:val="false"/>
                <w:bCs w:val="false"/>
                <w:sz w:val="19"/>
                <w:szCs w:val="19"/>
              </w:rPr>
              <w:t xml:space="preserve">Pre-engineered steel building (PEB) roof at +24.00 m with standing-seam insulated roof sheeting, skylights and wall cladding, including design, supply and erection.</w:t>
            </w:r>
          </w:p>
        </w:tc>
      </w:tr>
      <w:tr>
        <w:trPr>
          <w:cantSplit/>
          <w:tblHeader w:val="false"/>
        </w:trPr>
        <w:tc>
          <w:tcPr>
            <w:tcW w:type="dxa" w:w="700"/>
            <w:tcMar>
              <w:top w:type="dxa" w:w="70"/>
              <w:left w:type="dxa" w:w="110"/>
              <w:bottom w:type="dxa" w:w="70"/>
              <w:right w:type="dxa" w:w="110"/>
            </w:tcMar>
            <w:vAlign w:val="center"/>
          </w:tcPr>
          <w:p>
            <w:pPr>
              <w:spacing w:after="40"/>
              <w:jc w:val="left"/>
            </w:pPr>
            <w:r>
              <w:rPr>
                <w:b w:val="false"/>
                <w:bCs w:val="false"/>
                <w:sz w:val="19"/>
                <w:szCs w:val="19"/>
              </w:rPr>
              <w:t xml:space="preserve">A6</w:t>
            </w:r>
          </w:p>
        </w:tc>
        <w:tc>
          <w:tcPr>
            <w:tcW w:type="dxa" w:w="2100"/>
            <w:tcMar>
              <w:top w:type="dxa" w:w="70"/>
              <w:left w:type="dxa" w:w="110"/>
              <w:bottom w:type="dxa" w:w="70"/>
              <w:right w:type="dxa" w:w="110"/>
            </w:tcMar>
            <w:vAlign w:val="center"/>
          </w:tcPr>
          <w:p>
            <w:pPr>
              <w:spacing w:after="40"/>
              <w:jc w:val="left"/>
            </w:pPr>
            <w:r>
              <w:rPr>
                <w:b w:val="false"/>
                <w:bCs w:val="false"/>
                <w:sz w:val="19"/>
                <w:szCs w:val="19"/>
              </w:rPr>
              <w:t xml:space="preserve">Ground-floor slab</w:t>
            </w:r>
          </w:p>
        </w:tc>
        <w:tc>
          <w:tcPr>
            <w:tcW w:type="dxa" w:w="6606"/>
            <w:tcMar>
              <w:top w:type="dxa" w:w="70"/>
              <w:left w:type="dxa" w:w="110"/>
              <w:bottom w:type="dxa" w:w="70"/>
              <w:right w:type="dxa" w:w="110"/>
            </w:tcMar>
            <w:vAlign w:val="center"/>
          </w:tcPr>
          <w:p>
            <w:pPr>
              <w:spacing w:after="40"/>
              <w:jc w:val="left"/>
            </w:pPr>
            <w:r>
              <w:rPr>
                <w:b w:val="false"/>
                <w:bCs w:val="false"/>
                <w:sz w:val="19"/>
                <w:szCs w:val="19"/>
              </w:rPr>
              <w:t xml:space="preserve">200 mm steel-fibre-reinforced industrial floor to FM2 flatness, designed for 50 kN/m², with epoxy finish in process areas.</w:t>
            </w:r>
          </w:p>
        </w:tc>
      </w:tr>
      <w:tr>
        <w:trPr>
          <w:cantSplit/>
          <w:tblHeader w:val="false"/>
        </w:trPr>
        <w:tc>
          <w:tcPr>
            <w:tcW w:type="dxa" w:w="700"/>
            <w:tcMar>
              <w:top w:type="dxa" w:w="70"/>
              <w:left w:type="dxa" w:w="110"/>
              <w:bottom w:type="dxa" w:w="70"/>
              <w:right w:type="dxa" w:w="110"/>
            </w:tcMar>
            <w:vAlign w:val="center"/>
          </w:tcPr>
          <w:p>
            <w:pPr>
              <w:spacing w:after="40"/>
              <w:jc w:val="left"/>
            </w:pPr>
            <w:r>
              <w:rPr>
                <w:b w:val="false"/>
                <w:bCs w:val="false"/>
                <w:sz w:val="19"/>
                <w:szCs w:val="19"/>
              </w:rPr>
              <w:t xml:space="preserve">A7</w:t>
            </w:r>
          </w:p>
        </w:tc>
        <w:tc>
          <w:tcPr>
            <w:tcW w:type="dxa" w:w="2100"/>
            <w:tcMar>
              <w:top w:type="dxa" w:w="70"/>
              <w:left w:type="dxa" w:w="110"/>
              <w:bottom w:type="dxa" w:w="70"/>
              <w:right w:type="dxa" w:w="110"/>
            </w:tcMar>
            <w:vAlign w:val="center"/>
          </w:tcPr>
          <w:p>
            <w:pPr>
              <w:spacing w:after="40"/>
              <w:jc w:val="left"/>
            </w:pPr>
            <w:r>
              <w:rPr>
                <w:b w:val="false"/>
                <w:bCs w:val="false"/>
                <w:sz w:val="19"/>
                <w:szCs w:val="19"/>
              </w:rPr>
              <w:t xml:space="preserve">Building finishes</w:t>
            </w:r>
          </w:p>
        </w:tc>
        <w:tc>
          <w:tcPr>
            <w:tcW w:type="dxa" w:w="6606"/>
            <w:tcMar>
              <w:top w:type="dxa" w:w="70"/>
              <w:left w:type="dxa" w:w="110"/>
              <w:bottom w:type="dxa" w:w="70"/>
              <w:right w:type="dxa" w:w="110"/>
            </w:tcMar>
            <w:vAlign w:val="center"/>
          </w:tcPr>
          <w:p>
            <w:pPr>
              <w:spacing w:after="40"/>
              <w:jc w:val="left"/>
            </w:pPr>
            <w:r>
              <w:rPr>
                <w:b w:val="false"/>
                <w:bCs w:val="false"/>
                <w:sz w:val="19"/>
                <w:szCs w:val="19"/>
              </w:rPr>
              <w:t xml:space="preserve">Blockwork, plaster, doors, windows, flooring, painting and false ceilings in control rooms.</w:t>
            </w:r>
          </w:p>
        </w:tc>
      </w:tr>
      <w:tr>
        <w:trPr>
          <w:cantSplit/>
          <w:tblHeader w:val="false"/>
        </w:trPr>
        <w:tc>
          <w:tcPr>
            <w:tcW w:type="dxa" w:w="700"/>
            <w:tcMar>
              <w:top w:type="dxa" w:w="70"/>
              <w:left w:type="dxa" w:w="110"/>
              <w:bottom w:type="dxa" w:w="70"/>
              <w:right w:type="dxa" w:w="110"/>
            </w:tcMar>
            <w:vAlign w:val="center"/>
          </w:tcPr>
          <w:p>
            <w:pPr>
              <w:spacing w:after="40"/>
              <w:jc w:val="left"/>
            </w:pPr>
            <w:r>
              <w:rPr>
                <w:b w:val="false"/>
                <w:bCs w:val="false"/>
                <w:sz w:val="19"/>
                <w:szCs w:val="19"/>
              </w:rPr>
              <w:t xml:space="preserve">A8</w:t>
            </w:r>
          </w:p>
        </w:tc>
        <w:tc>
          <w:tcPr>
            <w:tcW w:type="dxa" w:w="2100"/>
            <w:tcMar>
              <w:top w:type="dxa" w:w="70"/>
              <w:left w:type="dxa" w:w="110"/>
              <w:bottom w:type="dxa" w:w="70"/>
              <w:right w:type="dxa" w:w="110"/>
            </w:tcMar>
            <w:vAlign w:val="center"/>
          </w:tcPr>
          <w:p>
            <w:pPr>
              <w:spacing w:after="40"/>
              <w:jc w:val="left"/>
            </w:pPr>
            <w:r>
              <w:rPr>
                <w:b w:val="false"/>
                <w:bCs w:val="false"/>
                <w:sz w:val="19"/>
                <w:szCs w:val="19"/>
              </w:rPr>
              <w:t xml:space="preserve">Waterproofing</w:t>
            </w:r>
          </w:p>
        </w:tc>
        <w:tc>
          <w:tcPr>
            <w:tcW w:type="dxa" w:w="6606"/>
            <w:tcMar>
              <w:top w:type="dxa" w:w="70"/>
              <w:left w:type="dxa" w:w="110"/>
              <w:bottom w:type="dxa" w:w="70"/>
              <w:right w:type="dxa" w:w="110"/>
            </w:tcMar>
            <w:vAlign w:val="center"/>
          </w:tcPr>
          <w:p>
            <w:pPr>
              <w:spacing w:after="40"/>
              <w:jc w:val="left"/>
            </w:pPr>
            <w:r>
              <w:rPr>
                <w:b w:val="false"/>
                <w:bCs w:val="false"/>
                <w:sz w:val="19"/>
                <w:szCs w:val="19"/>
              </w:rPr>
              <w:t xml:space="preserve">Below-ground waterproofing to pits and sumps; membrane waterproofing to RCC canopies and wet areas.</w:t>
            </w:r>
          </w:p>
        </w:tc>
      </w:tr>
      <w:tr>
        <w:trPr>
          <w:cantSplit/>
          <w:tblHeader w:val="false"/>
        </w:trPr>
        <w:tc>
          <w:tcPr>
            <w:tcW w:type="dxa" w:w="700"/>
            <w:tcMar>
              <w:top w:type="dxa" w:w="70"/>
              <w:left w:type="dxa" w:w="110"/>
              <w:bottom w:type="dxa" w:w="70"/>
              <w:right w:type="dxa" w:w="110"/>
            </w:tcMar>
            <w:vAlign w:val="center"/>
          </w:tcPr>
          <w:p>
            <w:pPr>
              <w:spacing w:after="40"/>
              <w:jc w:val="left"/>
            </w:pPr>
            <w:r>
              <w:rPr>
                <w:b w:val="false"/>
                <w:bCs w:val="false"/>
                <w:sz w:val="19"/>
                <w:szCs w:val="19"/>
              </w:rPr>
              <w:t xml:space="preserve">A9</w:t>
            </w:r>
          </w:p>
        </w:tc>
        <w:tc>
          <w:tcPr>
            <w:tcW w:type="dxa" w:w="2100"/>
            <w:tcMar>
              <w:top w:type="dxa" w:w="70"/>
              <w:left w:type="dxa" w:w="110"/>
              <w:bottom w:type="dxa" w:w="70"/>
              <w:right w:type="dxa" w:w="110"/>
            </w:tcMar>
            <w:vAlign w:val="center"/>
          </w:tcPr>
          <w:p>
            <w:pPr>
              <w:spacing w:after="40"/>
              <w:jc w:val="left"/>
            </w:pPr>
            <w:r>
              <w:rPr>
                <w:b w:val="false"/>
                <w:bCs w:val="false"/>
                <w:sz w:val="19"/>
                <w:szCs w:val="19"/>
              </w:rPr>
              <w:t xml:space="preserve">External works</w:t>
            </w:r>
          </w:p>
        </w:tc>
        <w:tc>
          <w:tcPr>
            <w:tcW w:type="dxa" w:w="6606"/>
            <w:tcMar>
              <w:top w:type="dxa" w:w="70"/>
              <w:left w:type="dxa" w:w="110"/>
              <w:bottom w:type="dxa" w:w="70"/>
              <w:right w:type="dxa" w:w="110"/>
            </w:tcMar>
            <w:vAlign w:val="center"/>
          </w:tcPr>
          <w:p>
            <w:pPr>
              <w:spacing w:after="40"/>
              <w:jc w:val="left"/>
            </w:pPr>
            <w:r>
              <w:rPr>
                <w:b w:val="false"/>
                <w:bCs w:val="false"/>
                <w:sz w:val="19"/>
                <w:szCs w:val="19"/>
              </w:rPr>
              <w:t xml:space="preserve">RCC internal roads, storm-water drains and rainwater harvesting within the building zone.</w:t>
            </w:r>
          </w:p>
        </w:tc>
      </w:tr>
      <w:tr>
        <w:trPr>
          <w:cantSplit/>
          <w:tblHeader w:val="false"/>
        </w:trPr>
        <w:tc>
          <w:tcPr>
            <w:tcW w:type="dxa" w:w="700"/>
            <w:tcMar>
              <w:top w:type="dxa" w:w="70"/>
              <w:left w:type="dxa" w:w="110"/>
              <w:bottom w:type="dxa" w:w="70"/>
              <w:right w:type="dxa" w:w="110"/>
            </w:tcMar>
            <w:vAlign w:val="center"/>
          </w:tcPr>
          <w:p>
            <w:pPr>
              <w:spacing w:after="40"/>
              <w:jc w:val="left"/>
            </w:pPr>
            <w:r>
              <w:rPr>
                <w:b w:val="false"/>
                <w:bCs w:val="false"/>
                <w:sz w:val="19"/>
                <w:szCs w:val="19"/>
              </w:rPr>
              <w:t xml:space="preserve">A10</w:t>
            </w:r>
          </w:p>
        </w:tc>
        <w:tc>
          <w:tcPr>
            <w:tcW w:type="dxa" w:w="2100"/>
            <w:tcMar>
              <w:top w:type="dxa" w:w="70"/>
              <w:left w:type="dxa" w:w="110"/>
              <w:bottom w:type="dxa" w:w="70"/>
              <w:right w:type="dxa" w:w="110"/>
            </w:tcMar>
            <w:vAlign w:val="center"/>
          </w:tcPr>
          <w:p>
            <w:pPr>
              <w:spacing w:after="40"/>
              <w:jc w:val="left"/>
            </w:pPr>
            <w:r>
              <w:rPr>
                <w:b w:val="false"/>
                <w:bCs w:val="false"/>
                <w:sz w:val="19"/>
                <w:szCs w:val="19"/>
              </w:rPr>
              <w:t xml:space="preserve">Exclusions</w:t>
            </w:r>
          </w:p>
        </w:tc>
        <w:tc>
          <w:tcPr>
            <w:tcW w:type="dxa" w:w="6606"/>
            <w:tcMar>
              <w:top w:type="dxa" w:w="70"/>
              <w:left w:type="dxa" w:w="110"/>
              <w:bottom w:type="dxa" w:w="70"/>
              <w:right w:type="dxa" w:w="110"/>
            </w:tcMar>
            <w:vAlign w:val="center"/>
          </w:tcPr>
          <w:p>
            <w:pPr>
              <w:spacing w:after="40"/>
              <w:jc w:val="left"/>
            </w:pPr>
            <w:r>
              <w:rPr>
                <w:b w:val="false"/>
                <w:bCs w:val="false"/>
                <w:sz w:val="19"/>
                <w:szCs w:val="19"/>
              </w:rPr>
              <w:t xml:space="preserve">Process equipment, MEP services, fire-fighting systems and electrical substations (by the Employer's other contractors). The Contractor provides builder's works, embedments and coordination.</w:t>
            </w:r>
          </w:p>
        </w:tc>
      </w:tr>
    </w:tbl>
    <w:p>
      <w:pPr>
        <w:pStyle w:val="Heading1"/>
        <w:pageBreakBefore/>
      </w:pPr>
      <w:r>
        <w:t xml:space="preserve">ANNEXURE B — KEY TECHNICAL SPECIFICATIONS</w:t>
      </w:r>
    </w:p>
    <w:p>
      <w:pPr>
        <w:spacing w:after="120" w:line="276"/>
        <w:jc w:val="both"/>
      </w:pPr>
      <w:r>
        <w:t xml:space="preserve">This Annexure summarises key requirements. The full requirements are in Technical Specification Volume II (Ref. BPC/CHK/TS/02).</w:t>
      </w:r>
    </w:p>
    <w:p>
      <w:pPr>
        <w:pStyle w:val="Heading2"/>
      </w:pPr>
      <w:r>
        <w:t xml:space="preserve">B1  Piling</w:t>
      </w:r>
    </w:p>
    <w:p>
      <w:pPr>
        <w:tabs>
          <w:tab w:val="left" w:pos="720"/>
        </w:tabs>
        <w:spacing w:after="120" w:line="276"/>
        <w:ind w:left="720" w:hanging="720"/>
        <w:jc w:val="both"/>
      </w:pPr>
      <w:r>
        <w:rPr>
          <w:b/>
          <w:bCs/>
        </w:rPr>
        <w:t xml:space="preserve">B1.1</w:t>
      </w:r>
      <w:r>
        <w:tab/>
      </w:r>
      <w:r>
        <w:t xml:space="preserve">Bored cast-in-situ piles to IS 2911 (Part 1/Section 2): 2010, in M35 concrete with a minimum cement content of 400 kg/m³, placed by tremie. Minimum rock socket of 1.5 × pile diameter into hard basalt, confirmed by the Employer's geotechnical engineer.</w:t>
      </w:r>
    </w:p>
    <w:p>
      <w:pPr>
        <w:tabs>
          <w:tab w:val="left" w:pos="720"/>
        </w:tabs>
        <w:spacing w:after="120" w:line="276"/>
        <w:ind w:left="720" w:hanging="720"/>
        <w:jc w:val="both"/>
      </w:pPr>
      <w:r>
        <w:rPr>
          <w:b/>
          <w:bCs/>
        </w:rPr>
        <w:t xml:space="preserve">B1.2</w:t>
      </w:r>
      <w:r>
        <w:tab/>
      </w:r>
      <w:r>
        <w:t xml:space="preserve">Safe working load in compression: 150 t for 600 mm piles and 230 t for 750 mm piles.</w:t>
      </w:r>
    </w:p>
    <w:p>
      <w:pPr>
        <w:tabs>
          <w:tab w:val="left" w:pos="720"/>
        </w:tabs>
        <w:spacing w:after="120" w:line="276"/>
        <w:ind w:left="720" w:hanging="720"/>
        <w:jc w:val="both"/>
      </w:pPr>
      <w:r>
        <w:rPr>
          <w:b/>
          <w:bCs/>
        </w:rPr>
        <w:t xml:space="preserve">B1.3</w:t>
      </w:r>
      <w:r>
        <w:tab/>
      </w:r>
      <w:r>
        <w:t xml:space="preserve">Initial load tests: two test piles for each diameter, loaded to 2.5 × safe working load in accordance with IS 2911 (Part 4): 2013, completed before production piling starts.</w:t>
      </w:r>
    </w:p>
    <w:p>
      <w:pPr>
        <w:tabs>
          <w:tab w:val="left" w:pos="720"/>
        </w:tabs>
        <w:spacing w:after="120" w:line="276"/>
        <w:ind w:left="720" w:hanging="720"/>
        <w:jc w:val="both"/>
      </w:pPr>
      <w:r>
        <w:rPr>
          <w:b/>
          <w:bCs/>
        </w:rPr>
        <w:t xml:space="preserve">B1.4</w:t>
      </w:r>
      <w:r>
        <w:tab/>
      </w:r>
      <w:r>
        <w:t xml:space="preserve">Routine load tests on 0.5% of working piles, loaded to 1.5 × safe working load. Low-strain pile integrity tests on 100% of working piles.</w:t>
      </w:r>
    </w:p>
    <w:p>
      <w:pPr>
        <w:pStyle w:val="Heading2"/>
      </w:pPr>
      <w:r>
        <w:t xml:space="preserve">B2  Concrete</w:t>
      </w:r>
    </w:p>
    <w:p>
      <w:pPr>
        <w:tabs>
          <w:tab w:val="left" w:pos="720"/>
        </w:tabs>
        <w:spacing w:after="120" w:line="276"/>
        <w:ind w:left="720" w:hanging="720"/>
        <w:jc w:val="both"/>
      </w:pPr>
      <w:r>
        <w:rPr>
          <w:b/>
          <w:bCs/>
        </w:rPr>
        <w:t xml:space="preserve">B2.1</w:t>
      </w:r>
      <w:r>
        <w:tab/>
      </w:r>
      <w:r>
        <w:t xml:space="preserve">Design mixes to IS 10262: 2019. Grades: M40 for columns, beams and slabs; M35 for piles and pile caps; M30 for external works.</w:t>
      </w:r>
    </w:p>
    <w:p>
      <w:pPr>
        <w:tabs>
          <w:tab w:val="left" w:pos="720"/>
        </w:tabs>
        <w:spacing w:after="120" w:line="276"/>
        <w:ind w:left="720" w:hanging="720"/>
        <w:jc w:val="both"/>
      </w:pPr>
      <w:r>
        <w:rPr>
          <w:b/>
          <w:bCs/>
        </w:rPr>
        <w:t xml:space="preserve">B2.2</w:t>
      </w:r>
      <w:r>
        <w:tab/>
      </w:r>
      <w:r>
        <w:t xml:space="preserve">Maximum water-cement ratio 0.40 for M40. Slump 100 ± 25 mm at the point of placement.</w:t>
      </w:r>
    </w:p>
    <w:p>
      <w:pPr>
        <w:tabs>
          <w:tab w:val="left" w:pos="720"/>
        </w:tabs>
        <w:spacing w:after="120" w:line="276"/>
        <w:ind w:left="720" w:hanging="720"/>
        <w:jc w:val="both"/>
      </w:pPr>
      <w:r>
        <w:rPr>
          <w:b/>
          <w:bCs/>
        </w:rPr>
        <w:t xml:space="preserve">B2.3</w:t>
      </w:r>
      <w:r>
        <w:tab/>
      </w:r>
      <w:r>
        <w:t xml:space="preserve">Cube sampling frequency per IS 456 Clause 15.2.2; cubes tested at 7 and 28 days; acceptance per IS 456 Clause 16.</w:t>
      </w:r>
    </w:p>
    <w:p>
      <w:pPr>
        <w:tabs>
          <w:tab w:val="left" w:pos="720"/>
        </w:tabs>
        <w:spacing w:after="120" w:line="276"/>
        <w:ind w:left="720" w:hanging="720"/>
        <w:jc w:val="both"/>
      </w:pPr>
      <w:r>
        <w:rPr>
          <w:b/>
          <w:bCs/>
        </w:rPr>
        <w:t xml:space="preserve">B2.4</w:t>
      </w:r>
      <w:r>
        <w:tab/>
      </w:r>
      <w:r>
        <w:t xml:space="preserve">Minimum 14 days' continuous moist curing for all structural concrete. Concrete temperature at placement shall not exceed 32 °C.</w:t>
      </w:r>
    </w:p>
    <w:p>
      <w:pPr>
        <w:pStyle w:val="Heading2"/>
      </w:pPr>
      <w:r>
        <w:t xml:space="preserve">B3  Reinforcement</w:t>
      </w:r>
    </w:p>
    <w:p>
      <w:pPr>
        <w:tabs>
          <w:tab w:val="left" w:pos="720"/>
        </w:tabs>
        <w:spacing w:after="120" w:line="276"/>
        <w:ind w:left="720" w:hanging="720"/>
        <w:jc w:val="both"/>
      </w:pPr>
      <w:r>
        <w:rPr>
          <w:b/>
          <w:bCs/>
        </w:rPr>
        <w:t xml:space="preserve">B3.1</w:t>
      </w:r>
      <w:r>
        <w:tab/>
      </w:r>
      <w:r>
        <w:t xml:space="preserve">High-strength deformed bars of grade Fe 550D to IS 1786: 2008 from primary producers approved by the Employer, with mill test certificates for every lot.</w:t>
      </w:r>
    </w:p>
    <w:p>
      <w:pPr>
        <w:tabs>
          <w:tab w:val="left" w:pos="720"/>
        </w:tabs>
        <w:spacing w:after="120" w:line="276"/>
        <w:ind w:left="720" w:hanging="720"/>
        <w:jc w:val="both"/>
      </w:pPr>
      <w:r>
        <w:rPr>
          <w:b/>
          <w:bCs/>
        </w:rPr>
        <w:t xml:space="preserve">B3.2</w:t>
      </w:r>
      <w:r>
        <w:tab/>
      </w:r>
      <w:r>
        <w:t xml:space="preserve">Nominal cover: piles 75 mm; pile caps 50 mm; columns 40 mm; beams and slabs 30 mm. Ductile detailing to IS 13920: 2016.</w:t>
      </w:r>
    </w:p>
    <w:p>
      <w:pPr>
        <w:pStyle w:val="Heading2"/>
      </w:pPr>
      <w:r>
        <w:t xml:space="preserve">B4  Post-tensioned slabs</w:t>
      </w:r>
    </w:p>
    <w:p>
      <w:pPr>
        <w:tabs>
          <w:tab w:val="left" w:pos="720"/>
        </w:tabs>
        <w:spacing w:after="120" w:line="276"/>
        <w:ind w:left="720" w:hanging="720"/>
        <w:jc w:val="both"/>
      </w:pPr>
      <w:r>
        <w:rPr>
          <w:b/>
          <w:bCs/>
        </w:rPr>
        <w:t xml:space="preserve">B4.1</w:t>
      </w:r>
      <w:r>
        <w:tab/>
      </w:r>
      <w:r>
        <w:t xml:space="preserve">250 mm bonded post-tensioned flat slabs to IS 1343: 2012, using low-relaxation 7-wire strands to IS 14268 in flat galvanised ducts.</w:t>
      </w:r>
    </w:p>
    <w:p>
      <w:pPr>
        <w:tabs>
          <w:tab w:val="left" w:pos="720"/>
        </w:tabs>
        <w:spacing w:after="120" w:line="276"/>
        <w:ind w:left="720" w:hanging="720"/>
        <w:jc w:val="both"/>
      </w:pPr>
      <w:r>
        <w:rPr>
          <w:b/>
          <w:bCs/>
        </w:rPr>
        <w:t xml:space="preserve">B4.2</w:t>
      </w:r>
      <w:r>
        <w:tab/>
      </w:r>
      <w:r>
        <w:t xml:space="preserve">Stressing only when site-cured cubes reach 25 N/mm². Measured elongations must be within ±7% of calculated values; otherwise stressing stops pending review. Ducts shall be grouted within 7 days of stressing.</w:t>
      </w:r>
    </w:p>
    <w:p>
      <w:pPr>
        <w:tabs>
          <w:tab w:val="left" w:pos="720"/>
        </w:tabs>
        <w:spacing w:after="120" w:line="276"/>
        <w:ind w:left="720" w:hanging="720"/>
        <w:jc w:val="both"/>
      </w:pPr>
      <w:r>
        <w:rPr>
          <w:b/>
          <w:bCs/>
        </w:rPr>
        <w:t xml:space="preserve">B4.3</w:t>
      </w:r>
      <w:r>
        <w:tab/>
      </w:r>
      <w:r>
        <w:t xml:space="preserve">No drilling, coring or fixing into post-tensioned slabs without locating tendons by scanning and obtaining written approval.</w:t>
      </w:r>
    </w:p>
    <w:p>
      <w:pPr>
        <w:pStyle w:val="Heading2"/>
      </w:pPr>
      <w:r>
        <w:t xml:space="preserve">B5  Industrial ground-floor slab</w:t>
      </w:r>
    </w:p>
    <w:p>
      <w:pPr>
        <w:tabs>
          <w:tab w:val="left" w:pos="720"/>
        </w:tabs>
        <w:spacing w:after="120" w:line="276"/>
        <w:ind w:left="720" w:hanging="720"/>
        <w:jc w:val="both"/>
      </w:pPr>
      <w:r>
        <w:rPr>
          <w:b/>
          <w:bCs/>
        </w:rPr>
        <w:t xml:space="preserve">B5.1</w:t>
      </w:r>
      <w:r>
        <w:tab/>
      </w:r>
      <w:r>
        <w:t xml:space="preserve">200 mm steel-fibre-reinforced ground-bearing slab in M35 concrete, with a minimum fibre dosage of 30 kg/m³, on a 150 mm compacted granular sub-base with a 250-micron separation membrane.</w:t>
      </w:r>
    </w:p>
    <w:p>
      <w:pPr>
        <w:tabs>
          <w:tab w:val="left" w:pos="720"/>
        </w:tabs>
        <w:spacing w:after="120" w:line="276"/>
        <w:ind w:left="720" w:hanging="720"/>
        <w:jc w:val="both"/>
      </w:pPr>
      <w:r>
        <w:rPr>
          <w:b/>
          <w:bCs/>
        </w:rPr>
        <w:t xml:space="preserve">B5.2</w:t>
      </w:r>
      <w:r>
        <w:tab/>
      </w:r>
      <w:r>
        <w:t xml:space="preserve">Surface regularity to FM2 in accordance with Concrete Society Technical Report 34 (4th Edition), surveyed within 7 days of placing. Non-compliant areas shall be ground or replaced at the Contractor's cost.</w:t>
      </w:r>
    </w:p>
    <w:p>
      <w:pPr>
        <w:tabs>
          <w:tab w:val="left" w:pos="720"/>
        </w:tabs>
        <w:spacing w:after="120" w:line="276"/>
        <w:ind w:left="720" w:hanging="720"/>
        <w:jc w:val="both"/>
      </w:pPr>
      <w:r>
        <w:rPr>
          <w:b/>
          <w:bCs/>
        </w:rPr>
        <w:t xml:space="preserve">B5.3</w:t>
      </w:r>
      <w:r>
        <w:tab/>
      </w:r>
      <w:r>
        <w:t xml:space="preserve">Saw-cut contraction joints at a maximum of 6 m centres, cut within 12 to 18 hours of placing.</w:t>
      </w:r>
    </w:p>
    <w:p>
      <w:pPr>
        <w:pStyle w:val="Heading2"/>
      </w:pPr>
      <w:r>
        <w:t xml:space="preserve">B6  Roofing, waterproofing and monitoring</w:t>
      </w:r>
    </w:p>
    <w:p>
      <w:pPr>
        <w:tabs>
          <w:tab w:val="left" w:pos="720"/>
        </w:tabs>
        <w:spacing w:after="120" w:line="276"/>
        <w:ind w:left="720" w:hanging="720"/>
        <w:jc w:val="both"/>
      </w:pPr>
      <w:r>
        <w:rPr>
          <w:b/>
          <w:bCs/>
        </w:rPr>
        <w:t xml:space="preserve">B6.1</w:t>
      </w:r>
      <w:r>
        <w:tab/>
      </w:r>
      <w:r>
        <w:t xml:space="preserve">PEB roof designed to IS 800: 2007 and IS 875 (Part 3): 2015 for a basic wind speed of 39 m/s.</w:t>
      </w:r>
    </w:p>
    <w:p>
      <w:pPr>
        <w:tabs>
          <w:tab w:val="left" w:pos="720"/>
        </w:tabs>
        <w:spacing w:after="120" w:line="276"/>
        <w:ind w:left="720" w:hanging="720"/>
        <w:jc w:val="both"/>
      </w:pPr>
      <w:r>
        <w:rPr>
          <w:b/>
          <w:bCs/>
        </w:rPr>
        <w:t xml:space="preserve">B6.2</w:t>
      </w:r>
      <w:r>
        <w:tab/>
      </w:r>
      <w:r>
        <w:t xml:space="preserve">All waterproofed areas shall pass a 48-hour flood test before being covered.</w:t>
      </w:r>
    </w:p>
    <w:p>
      <w:pPr>
        <w:tabs>
          <w:tab w:val="left" w:pos="720"/>
        </w:tabs>
        <w:spacing w:after="120" w:line="276"/>
        <w:ind w:left="720" w:hanging="720"/>
        <w:jc w:val="both"/>
      </w:pPr>
      <w:r>
        <w:rPr>
          <w:b/>
          <w:bCs/>
        </w:rPr>
        <w:t xml:space="preserve">B6.3</w:t>
      </w:r>
      <w:r>
        <w:tab/>
      </w:r>
      <w:r>
        <w:t xml:space="preserve">Settlement monitoring points on all perimeter columns, read fortnightly until Taking Over. Alert level: 10 mm total settlement or 1 in 1,000 differential settlement. Action level: 20 mm total settlement, at which point work above the affected area stops pending review.</w:t>
      </w:r>
    </w:p>
    <w:p>
      <w:pPr>
        <w:pStyle w:val="Heading2"/>
      </w:pPr>
      <w:r>
        <w:t xml:space="preserve">B7  Summary of Hold Points</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00"/>
        <w:gridCol w:w="4906"/>
        <w:gridCol w:w="3600"/>
      </w:tblGrid>
      <w:tr>
        <w:trPr>
          <w:cantSplit/>
          <w:tblHeader/>
        </w:trPr>
        <w:tc>
          <w:tcPr>
            <w:tcW w:type="dxa" w:w="900"/>
            <w:shd w:fill="D9E2F3" w:color="auto" w:val="clear"/>
            <w:tcMar>
              <w:top w:type="dxa" w:w="70"/>
              <w:left w:type="dxa" w:w="110"/>
              <w:bottom w:type="dxa" w:w="70"/>
              <w:right w:type="dxa" w:w="110"/>
            </w:tcMar>
            <w:vAlign w:val="center"/>
          </w:tcPr>
          <w:p>
            <w:pPr>
              <w:spacing w:after="40"/>
              <w:jc w:val="left"/>
            </w:pPr>
            <w:r>
              <w:rPr>
                <w:b/>
                <w:bCs/>
                <w:color w:val="1F3864"/>
                <w:sz w:val="19"/>
                <w:szCs w:val="19"/>
              </w:rPr>
              <w:t xml:space="preserve">HP</w:t>
            </w:r>
          </w:p>
        </w:tc>
        <w:tc>
          <w:tcPr>
            <w:tcW w:type="dxa" w:w="4906"/>
            <w:shd w:fill="D9E2F3" w:color="auto" w:val="clear"/>
            <w:tcMar>
              <w:top w:type="dxa" w:w="70"/>
              <w:left w:type="dxa" w:w="110"/>
              <w:bottom w:type="dxa" w:w="70"/>
              <w:right w:type="dxa" w:w="110"/>
            </w:tcMar>
            <w:vAlign w:val="center"/>
          </w:tcPr>
          <w:p>
            <w:pPr>
              <w:spacing w:after="40"/>
              <w:jc w:val="left"/>
            </w:pPr>
            <w:r>
              <w:rPr>
                <w:b/>
                <w:bCs/>
                <w:color w:val="1F3864"/>
                <w:sz w:val="19"/>
                <w:szCs w:val="19"/>
              </w:rPr>
              <w:t xml:space="preserve">Stage</w:t>
            </w:r>
          </w:p>
        </w:tc>
        <w:tc>
          <w:tcPr>
            <w:tcW w:type="dxa" w:w="3600"/>
            <w:shd w:fill="D9E2F3" w:color="auto" w:val="clear"/>
            <w:tcMar>
              <w:top w:type="dxa" w:w="70"/>
              <w:left w:type="dxa" w:w="110"/>
              <w:bottom w:type="dxa" w:w="70"/>
              <w:right w:type="dxa" w:w="110"/>
            </w:tcMar>
            <w:vAlign w:val="center"/>
          </w:tcPr>
          <w:p>
            <w:pPr>
              <w:spacing w:after="40"/>
              <w:jc w:val="left"/>
            </w:pPr>
            <w:r>
              <w:rPr>
                <w:b/>
                <w:bCs/>
                <w:color w:val="1F3864"/>
                <w:sz w:val="19"/>
                <w:szCs w:val="19"/>
              </w:rPr>
              <w:t xml:space="preserve">Release required before</w:t>
            </w:r>
          </w:p>
        </w:tc>
      </w:tr>
      <w:tr>
        <w:trPr>
          <w:cantSplit/>
          <w:tblHeader w:val="false"/>
        </w:trPr>
        <w:tc>
          <w:tcPr>
            <w:tcW w:type="dxa" w:w="900"/>
            <w:tcMar>
              <w:top w:type="dxa" w:w="70"/>
              <w:left w:type="dxa" w:w="110"/>
              <w:bottom w:type="dxa" w:w="70"/>
              <w:right w:type="dxa" w:w="110"/>
            </w:tcMar>
            <w:vAlign w:val="center"/>
          </w:tcPr>
          <w:p>
            <w:pPr>
              <w:spacing w:after="40"/>
              <w:jc w:val="left"/>
            </w:pPr>
            <w:r>
              <w:rPr>
                <w:b w:val="false"/>
                <w:bCs w:val="false"/>
                <w:sz w:val="19"/>
                <w:szCs w:val="19"/>
              </w:rPr>
              <w:t xml:space="preserve">HP-1</w:t>
            </w:r>
          </w:p>
        </w:tc>
        <w:tc>
          <w:tcPr>
            <w:tcW w:type="dxa" w:w="4906"/>
            <w:tcMar>
              <w:top w:type="dxa" w:w="70"/>
              <w:left w:type="dxa" w:w="110"/>
              <w:bottom w:type="dxa" w:w="70"/>
              <w:right w:type="dxa" w:w="110"/>
            </w:tcMar>
            <w:vAlign w:val="center"/>
          </w:tcPr>
          <w:p>
            <w:pPr>
              <w:spacing w:after="40"/>
              <w:jc w:val="left"/>
            </w:pPr>
            <w:r>
              <w:rPr>
                <w:b w:val="false"/>
                <w:bCs w:val="false"/>
                <w:sz w:val="19"/>
                <w:szCs w:val="19"/>
              </w:rPr>
              <w:t xml:space="preserve">Initial pile load test reports approved</w:t>
            </w:r>
          </w:p>
        </w:tc>
        <w:tc>
          <w:tcPr>
            <w:tcW w:type="dxa" w:w="3600"/>
            <w:tcMar>
              <w:top w:type="dxa" w:w="70"/>
              <w:left w:type="dxa" w:w="110"/>
              <w:bottom w:type="dxa" w:w="70"/>
              <w:right w:type="dxa" w:w="110"/>
            </w:tcMar>
            <w:vAlign w:val="center"/>
          </w:tcPr>
          <w:p>
            <w:pPr>
              <w:spacing w:after="40"/>
              <w:jc w:val="left"/>
            </w:pPr>
            <w:r>
              <w:rPr>
                <w:b w:val="false"/>
                <w:bCs w:val="false"/>
                <w:sz w:val="19"/>
                <w:szCs w:val="19"/>
              </w:rPr>
              <w:t xml:space="preserve">Production piling</w:t>
            </w:r>
          </w:p>
        </w:tc>
      </w:tr>
      <w:tr>
        <w:trPr>
          <w:cantSplit/>
          <w:tblHeader w:val="false"/>
        </w:trPr>
        <w:tc>
          <w:tcPr>
            <w:tcW w:type="dxa" w:w="900"/>
            <w:tcMar>
              <w:top w:type="dxa" w:w="70"/>
              <w:left w:type="dxa" w:w="110"/>
              <w:bottom w:type="dxa" w:w="70"/>
              <w:right w:type="dxa" w:w="110"/>
            </w:tcMar>
            <w:vAlign w:val="center"/>
          </w:tcPr>
          <w:p>
            <w:pPr>
              <w:spacing w:after="40"/>
              <w:jc w:val="left"/>
            </w:pPr>
            <w:r>
              <w:rPr>
                <w:b w:val="false"/>
                <w:bCs w:val="false"/>
                <w:sz w:val="19"/>
                <w:szCs w:val="19"/>
              </w:rPr>
              <w:t xml:space="preserve">HP-2</w:t>
            </w:r>
          </w:p>
        </w:tc>
        <w:tc>
          <w:tcPr>
            <w:tcW w:type="dxa" w:w="4906"/>
            <w:tcMar>
              <w:top w:type="dxa" w:w="70"/>
              <w:left w:type="dxa" w:w="110"/>
              <w:bottom w:type="dxa" w:w="70"/>
              <w:right w:type="dxa" w:w="110"/>
            </w:tcMar>
            <w:vAlign w:val="center"/>
          </w:tcPr>
          <w:p>
            <w:pPr>
              <w:spacing w:after="40"/>
              <w:jc w:val="left"/>
            </w:pPr>
            <w:r>
              <w:rPr>
                <w:b w:val="false"/>
                <w:bCs w:val="false"/>
                <w:sz w:val="19"/>
                <w:szCs w:val="19"/>
              </w:rPr>
              <w:t xml:space="preserve">Pile integrity test report for the pile group approved</w:t>
            </w:r>
          </w:p>
        </w:tc>
        <w:tc>
          <w:tcPr>
            <w:tcW w:type="dxa" w:w="3600"/>
            <w:tcMar>
              <w:top w:type="dxa" w:w="70"/>
              <w:left w:type="dxa" w:w="110"/>
              <w:bottom w:type="dxa" w:w="70"/>
              <w:right w:type="dxa" w:w="110"/>
            </w:tcMar>
            <w:vAlign w:val="center"/>
          </w:tcPr>
          <w:p>
            <w:pPr>
              <w:spacing w:after="40"/>
              <w:jc w:val="left"/>
            </w:pPr>
            <w:r>
              <w:rPr>
                <w:b w:val="false"/>
                <w:bCs w:val="false"/>
                <w:sz w:val="19"/>
                <w:szCs w:val="19"/>
              </w:rPr>
              <w:t xml:space="preserve">Concreting the pile cap</w:t>
            </w:r>
          </w:p>
        </w:tc>
      </w:tr>
      <w:tr>
        <w:trPr>
          <w:cantSplit/>
          <w:tblHeader w:val="false"/>
        </w:trPr>
        <w:tc>
          <w:tcPr>
            <w:tcW w:type="dxa" w:w="900"/>
            <w:tcMar>
              <w:top w:type="dxa" w:w="70"/>
              <w:left w:type="dxa" w:w="110"/>
              <w:bottom w:type="dxa" w:w="70"/>
              <w:right w:type="dxa" w:w="110"/>
            </w:tcMar>
            <w:vAlign w:val="center"/>
          </w:tcPr>
          <w:p>
            <w:pPr>
              <w:spacing w:after="40"/>
              <w:jc w:val="left"/>
            </w:pPr>
            <w:r>
              <w:rPr>
                <w:b w:val="false"/>
                <w:bCs w:val="false"/>
                <w:sz w:val="19"/>
                <w:szCs w:val="19"/>
              </w:rPr>
              <w:t xml:space="preserve">HP-3</w:t>
            </w:r>
          </w:p>
        </w:tc>
        <w:tc>
          <w:tcPr>
            <w:tcW w:type="dxa" w:w="4906"/>
            <w:tcMar>
              <w:top w:type="dxa" w:w="70"/>
              <w:left w:type="dxa" w:w="110"/>
              <w:bottom w:type="dxa" w:w="70"/>
              <w:right w:type="dxa" w:w="110"/>
            </w:tcMar>
            <w:vAlign w:val="center"/>
          </w:tcPr>
          <w:p>
            <w:pPr>
              <w:spacing w:after="40"/>
              <w:jc w:val="left"/>
            </w:pPr>
            <w:r>
              <w:rPr>
                <w:b w:val="false"/>
                <w:bCs w:val="false"/>
                <w:sz w:val="19"/>
                <w:szCs w:val="19"/>
              </w:rPr>
              <w:t xml:space="preserve">Reinforcement, formwork and embedments inspected (pour card signed)</w:t>
            </w:r>
          </w:p>
        </w:tc>
        <w:tc>
          <w:tcPr>
            <w:tcW w:type="dxa" w:w="3600"/>
            <w:tcMar>
              <w:top w:type="dxa" w:w="70"/>
              <w:left w:type="dxa" w:w="110"/>
              <w:bottom w:type="dxa" w:w="70"/>
              <w:right w:type="dxa" w:w="110"/>
            </w:tcMar>
            <w:vAlign w:val="center"/>
          </w:tcPr>
          <w:p>
            <w:pPr>
              <w:spacing w:after="40"/>
              <w:jc w:val="left"/>
            </w:pPr>
            <w:r>
              <w:rPr>
                <w:b w:val="false"/>
                <w:bCs w:val="false"/>
                <w:sz w:val="19"/>
                <w:szCs w:val="19"/>
              </w:rPr>
              <w:t xml:space="preserve">Any structural concrete pour</w:t>
            </w:r>
          </w:p>
        </w:tc>
      </w:tr>
      <w:tr>
        <w:trPr>
          <w:cantSplit/>
          <w:tblHeader w:val="false"/>
        </w:trPr>
        <w:tc>
          <w:tcPr>
            <w:tcW w:type="dxa" w:w="900"/>
            <w:tcMar>
              <w:top w:type="dxa" w:w="70"/>
              <w:left w:type="dxa" w:w="110"/>
              <w:bottom w:type="dxa" w:w="70"/>
              <w:right w:type="dxa" w:w="110"/>
            </w:tcMar>
            <w:vAlign w:val="center"/>
          </w:tcPr>
          <w:p>
            <w:pPr>
              <w:spacing w:after="40"/>
              <w:jc w:val="left"/>
            </w:pPr>
            <w:r>
              <w:rPr>
                <w:b w:val="false"/>
                <w:bCs w:val="false"/>
                <w:sz w:val="19"/>
                <w:szCs w:val="19"/>
              </w:rPr>
              <w:t xml:space="preserve">HP-4</w:t>
            </w:r>
          </w:p>
        </w:tc>
        <w:tc>
          <w:tcPr>
            <w:tcW w:type="dxa" w:w="4906"/>
            <w:tcMar>
              <w:top w:type="dxa" w:w="70"/>
              <w:left w:type="dxa" w:w="110"/>
              <w:bottom w:type="dxa" w:w="70"/>
              <w:right w:type="dxa" w:w="110"/>
            </w:tcMar>
            <w:vAlign w:val="center"/>
          </w:tcPr>
          <w:p>
            <w:pPr>
              <w:spacing w:after="40"/>
              <w:jc w:val="left"/>
            </w:pPr>
            <w:r>
              <w:rPr>
                <w:b w:val="false"/>
                <w:bCs w:val="false"/>
                <w:sz w:val="19"/>
                <w:szCs w:val="19"/>
              </w:rPr>
              <w:t xml:space="preserve">Post-tensioning stressing records approved</w:t>
            </w:r>
          </w:p>
        </w:tc>
        <w:tc>
          <w:tcPr>
            <w:tcW w:type="dxa" w:w="3600"/>
            <w:tcMar>
              <w:top w:type="dxa" w:w="70"/>
              <w:left w:type="dxa" w:w="110"/>
              <w:bottom w:type="dxa" w:w="70"/>
              <w:right w:type="dxa" w:w="110"/>
            </w:tcMar>
            <w:vAlign w:val="center"/>
          </w:tcPr>
          <w:p>
            <w:pPr>
              <w:spacing w:after="40"/>
              <w:jc w:val="left"/>
            </w:pPr>
            <w:r>
              <w:rPr>
                <w:b w:val="false"/>
                <w:bCs w:val="false"/>
                <w:sz w:val="19"/>
                <w:szCs w:val="19"/>
              </w:rPr>
              <w:t xml:space="preserve">Removing back-props and formwork</w:t>
            </w:r>
          </w:p>
        </w:tc>
      </w:tr>
      <w:tr>
        <w:trPr>
          <w:cantSplit/>
          <w:tblHeader w:val="false"/>
        </w:trPr>
        <w:tc>
          <w:tcPr>
            <w:tcW w:type="dxa" w:w="900"/>
            <w:tcMar>
              <w:top w:type="dxa" w:w="70"/>
              <w:left w:type="dxa" w:w="110"/>
              <w:bottom w:type="dxa" w:w="70"/>
              <w:right w:type="dxa" w:w="110"/>
            </w:tcMar>
            <w:vAlign w:val="center"/>
          </w:tcPr>
          <w:p>
            <w:pPr>
              <w:spacing w:after="40"/>
              <w:jc w:val="left"/>
            </w:pPr>
            <w:r>
              <w:rPr>
                <w:b w:val="false"/>
                <w:bCs w:val="false"/>
                <w:sz w:val="19"/>
                <w:szCs w:val="19"/>
              </w:rPr>
              <w:t xml:space="preserve">HP-5</w:t>
            </w:r>
          </w:p>
        </w:tc>
        <w:tc>
          <w:tcPr>
            <w:tcW w:type="dxa" w:w="4906"/>
            <w:tcMar>
              <w:top w:type="dxa" w:w="70"/>
              <w:left w:type="dxa" w:w="110"/>
              <w:bottom w:type="dxa" w:w="70"/>
              <w:right w:type="dxa" w:w="110"/>
            </w:tcMar>
            <w:vAlign w:val="center"/>
          </w:tcPr>
          <w:p>
            <w:pPr>
              <w:spacing w:after="40"/>
              <w:jc w:val="left"/>
            </w:pPr>
            <w:r>
              <w:rPr>
                <w:b w:val="false"/>
                <w:bCs w:val="false"/>
                <w:sz w:val="19"/>
                <w:szCs w:val="19"/>
              </w:rPr>
              <w:t xml:space="preserve">Floor flatness survey approved</w:t>
            </w:r>
          </w:p>
        </w:tc>
        <w:tc>
          <w:tcPr>
            <w:tcW w:type="dxa" w:w="3600"/>
            <w:tcMar>
              <w:top w:type="dxa" w:w="70"/>
              <w:left w:type="dxa" w:w="110"/>
              <w:bottom w:type="dxa" w:w="70"/>
              <w:right w:type="dxa" w:w="110"/>
            </w:tcMar>
            <w:vAlign w:val="center"/>
          </w:tcPr>
          <w:p>
            <w:pPr>
              <w:spacing w:after="40"/>
              <w:jc w:val="left"/>
            </w:pPr>
            <w:r>
              <w:rPr>
                <w:b w:val="false"/>
                <w:bCs w:val="false"/>
                <w:sz w:val="19"/>
                <w:szCs w:val="19"/>
              </w:rPr>
              <w:t xml:space="preserve">Installing process equipment</w:t>
            </w:r>
          </w:p>
        </w:tc>
      </w:tr>
    </w:tbl>
    <w:p>
      <w:pPr>
        <w:pStyle w:val="Heading1"/>
        <w:pageBreakBefore/>
      </w:pPr>
      <w:r>
        <w:t xml:space="preserve">ANNEXURE C — MILESTONES, DELAY DAMAGES AND PAYMENT BREAKDOWN</w:t>
      </w:r>
    </w:p>
    <w:p>
      <w:pPr>
        <w:pStyle w:val="Heading2"/>
      </w:pPr>
      <w:r>
        <w:t xml:space="preserve">C1  Milestones and delay damages</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1700"/>
        <w:gridCol w:w="2206"/>
        <w:gridCol w:w="1700"/>
      </w:tblGrid>
      <w:tr>
        <w:trPr>
          <w:cantSplit/>
          <w:tblHeader/>
        </w:trPr>
        <w:tc>
          <w:tcPr>
            <w:tcW w:type="dxa" w:w="800"/>
            <w:shd w:fill="D9E2F3" w:color="auto" w:val="clear"/>
            <w:tcMar>
              <w:top w:type="dxa" w:w="70"/>
              <w:left w:type="dxa" w:w="110"/>
              <w:bottom w:type="dxa" w:w="70"/>
              <w:right w:type="dxa" w:w="110"/>
            </w:tcMar>
            <w:vAlign w:val="center"/>
          </w:tcPr>
          <w:p>
            <w:pPr>
              <w:spacing w:after="40"/>
              <w:jc w:val="left"/>
            </w:pPr>
            <w:r>
              <w:rPr>
                <w:b/>
                <w:bCs/>
                <w:color w:val="1F3864"/>
                <w:sz w:val="19"/>
                <w:szCs w:val="19"/>
              </w:rPr>
              <w:t xml:space="preserve">No.</w:t>
            </w:r>
          </w:p>
        </w:tc>
        <w:tc>
          <w:tcPr>
            <w:tcW w:type="dxa" w:w="3000"/>
            <w:shd w:fill="D9E2F3" w:color="auto" w:val="clear"/>
            <w:tcMar>
              <w:top w:type="dxa" w:w="70"/>
              <w:left w:type="dxa" w:w="110"/>
              <w:bottom w:type="dxa" w:w="70"/>
              <w:right w:type="dxa" w:w="110"/>
            </w:tcMar>
            <w:vAlign w:val="center"/>
          </w:tcPr>
          <w:p>
            <w:pPr>
              <w:spacing w:after="40"/>
              <w:jc w:val="left"/>
            </w:pPr>
            <w:r>
              <w:rPr>
                <w:b/>
                <w:bCs/>
                <w:color w:val="1F3864"/>
                <w:sz w:val="19"/>
                <w:szCs w:val="19"/>
              </w:rPr>
              <w:t xml:space="preserve">Milestone</w:t>
            </w:r>
          </w:p>
        </w:tc>
        <w:tc>
          <w:tcPr>
            <w:tcW w:type="dxa" w:w="1700"/>
            <w:shd w:fill="D9E2F3" w:color="auto" w:val="clear"/>
            <w:tcMar>
              <w:top w:type="dxa" w:w="70"/>
              <w:left w:type="dxa" w:w="110"/>
              <w:bottom w:type="dxa" w:w="70"/>
              <w:right w:type="dxa" w:w="110"/>
            </w:tcMar>
            <w:vAlign w:val="center"/>
          </w:tcPr>
          <w:p>
            <w:pPr>
              <w:spacing w:after="40"/>
              <w:jc w:val="left"/>
            </w:pPr>
            <w:r>
              <w:rPr>
                <w:b/>
                <w:bCs/>
                <w:color w:val="1F3864"/>
                <w:sz w:val="19"/>
                <w:szCs w:val="19"/>
              </w:rPr>
              <w:t xml:space="preserve">Date</w:t>
            </w:r>
          </w:p>
        </w:tc>
        <w:tc>
          <w:tcPr>
            <w:tcW w:type="dxa" w:w="2206"/>
            <w:shd w:fill="D9E2F3" w:color="auto" w:val="clear"/>
            <w:tcMar>
              <w:top w:type="dxa" w:w="70"/>
              <w:left w:type="dxa" w:w="110"/>
              <w:bottom w:type="dxa" w:w="70"/>
              <w:right w:type="dxa" w:w="110"/>
            </w:tcMar>
            <w:vAlign w:val="center"/>
          </w:tcPr>
          <w:p>
            <w:pPr>
              <w:spacing w:after="40"/>
              <w:jc w:val="left"/>
            </w:pPr>
            <w:r>
              <w:rPr>
                <w:b/>
                <w:bCs/>
                <w:color w:val="1F3864"/>
                <w:sz w:val="19"/>
                <w:szCs w:val="19"/>
              </w:rPr>
              <w:t xml:space="preserve">Delay damages</w:t>
            </w:r>
          </w:p>
        </w:tc>
        <w:tc>
          <w:tcPr>
            <w:tcW w:type="dxa" w:w="1700"/>
            <w:shd w:fill="D9E2F3" w:color="auto" w:val="clear"/>
            <w:tcMar>
              <w:top w:type="dxa" w:w="70"/>
              <w:left w:type="dxa" w:w="110"/>
              <w:bottom w:type="dxa" w:w="70"/>
              <w:right w:type="dxa" w:w="110"/>
            </w:tcMar>
            <w:vAlign w:val="center"/>
          </w:tcPr>
          <w:p>
            <w:pPr>
              <w:spacing w:after="40"/>
              <w:jc w:val="left"/>
            </w:pPr>
            <w:r>
              <w:rPr>
                <w:b/>
                <w:bCs/>
                <w:color w:val="1F3864"/>
                <w:sz w:val="19"/>
                <w:szCs w:val="19"/>
              </w:rPr>
              <w:t xml:space="preserve">Reference</w:t>
            </w:r>
          </w:p>
        </w:tc>
      </w:tr>
      <w:tr>
        <w:trPr>
          <w:cantSplit/>
          <w:tblHeader w:val="false"/>
        </w:trPr>
        <w:tc>
          <w:tcPr>
            <w:tcW w:type="dxa" w:w="800"/>
            <w:tcMar>
              <w:top w:type="dxa" w:w="70"/>
              <w:left w:type="dxa" w:w="110"/>
              <w:bottom w:type="dxa" w:w="70"/>
              <w:right w:type="dxa" w:w="110"/>
            </w:tcMar>
            <w:vAlign w:val="center"/>
          </w:tcPr>
          <w:p>
            <w:pPr>
              <w:spacing w:after="40"/>
              <w:jc w:val="left"/>
            </w:pPr>
            <w:r>
              <w:rPr>
                <w:b w:val="false"/>
                <w:bCs w:val="false"/>
                <w:sz w:val="19"/>
                <w:szCs w:val="19"/>
              </w:rPr>
              <w:t xml:space="preserve">M1</w:t>
            </w:r>
          </w:p>
        </w:tc>
        <w:tc>
          <w:tcPr>
            <w:tcW w:type="dxa" w:w="3000"/>
            <w:tcMar>
              <w:top w:type="dxa" w:w="70"/>
              <w:left w:type="dxa" w:w="110"/>
              <w:bottom w:type="dxa" w:w="70"/>
              <w:right w:type="dxa" w:w="110"/>
            </w:tcMar>
            <w:vAlign w:val="center"/>
          </w:tcPr>
          <w:p>
            <w:pPr>
              <w:spacing w:after="40"/>
              <w:jc w:val="left"/>
            </w:pPr>
            <w:r>
              <w:rPr>
                <w:b w:val="false"/>
                <w:bCs w:val="false"/>
                <w:sz w:val="19"/>
                <w:szCs w:val="19"/>
              </w:rPr>
              <w:t xml:space="preserve">Piling complete; all pile test reports approved</w:t>
            </w:r>
          </w:p>
        </w:tc>
        <w:tc>
          <w:tcPr>
            <w:tcW w:type="dxa" w:w="1700"/>
            <w:tcMar>
              <w:top w:type="dxa" w:w="70"/>
              <w:left w:type="dxa" w:w="110"/>
              <w:bottom w:type="dxa" w:w="70"/>
              <w:right w:type="dxa" w:w="110"/>
            </w:tcMar>
            <w:vAlign w:val="center"/>
          </w:tcPr>
          <w:p>
            <w:pPr>
              <w:spacing w:after="40"/>
              <w:jc w:val="left"/>
            </w:pPr>
            <w:r>
              <w:rPr>
                <w:b w:val="false"/>
                <w:bCs w:val="false"/>
                <w:sz w:val="19"/>
                <w:szCs w:val="19"/>
              </w:rPr>
              <w:t xml:space="preserve">31 Jul 2026</w:t>
            </w:r>
          </w:p>
        </w:tc>
        <w:tc>
          <w:tcPr>
            <w:tcW w:type="dxa" w:w="2206"/>
            <w:tcMar>
              <w:top w:type="dxa" w:w="70"/>
              <w:left w:type="dxa" w:w="110"/>
              <w:bottom w:type="dxa" w:w="70"/>
              <w:right w:type="dxa" w:w="110"/>
            </w:tcMar>
            <w:vAlign w:val="center"/>
          </w:tcPr>
          <w:p>
            <w:pPr>
              <w:spacing w:after="40"/>
              <w:jc w:val="left"/>
            </w:pPr>
            <w:r>
              <w:rPr>
                <w:b w:val="false"/>
                <w:bCs w:val="false"/>
                <w:sz w:val="19"/>
                <w:szCs w:val="19"/>
              </w:rPr>
              <w:t xml:space="preserve">None</w:t>
            </w:r>
          </w:p>
        </w:tc>
        <w:tc>
          <w:tcPr>
            <w:tcW w:type="dxa" w:w="1700"/>
            <w:tcMar>
              <w:top w:type="dxa" w:w="70"/>
              <w:left w:type="dxa" w:w="110"/>
              <w:bottom w:type="dxa" w:w="70"/>
              <w:right w:type="dxa" w:w="110"/>
            </w:tcMar>
            <w:vAlign w:val="center"/>
          </w:tcPr>
          <w:p>
            <w:pPr>
              <w:spacing w:after="40"/>
              <w:jc w:val="left"/>
            </w:pPr>
            <w:r>
              <w:rPr>
                <w:b w:val="false"/>
                <w:bCs w:val="false"/>
                <w:sz w:val="19"/>
                <w:szCs w:val="19"/>
              </w:rPr>
              <w:t xml:space="preserve">Monitored in progress reports</w:t>
            </w:r>
          </w:p>
        </w:tc>
      </w:tr>
      <w:tr>
        <w:trPr>
          <w:cantSplit/>
          <w:tblHeader w:val="false"/>
        </w:trPr>
        <w:tc>
          <w:tcPr>
            <w:tcW w:type="dxa" w:w="800"/>
            <w:tcMar>
              <w:top w:type="dxa" w:w="70"/>
              <w:left w:type="dxa" w:w="110"/>
              <w:bottom w:type="dxa" w:w="70"/>
              <w:right w:type="dxa" w:w="110"/>
            </w:tcMar>
            <w:vAlign w:val="center"/>
          </w:tcPr>
          <w:p>
            <w:pPr>
              <w:spacing w:after="40"/>
              <w:jc w:val="left"/>
            </w:pPr>
            <w:r>
              <w:rPr>
                <w:b w:val="false"/>
                <w:bCs w:val="false"/>
                <w:sz w:val="19"/>
                <w:szCs w:val="19"/>
              </w:rPr>
              <w:t xml:space="preserve">M2</w:t>
            </w:r>
          </w:p>
        </w:tc>
        <w:tc>
          <w:tcPr>
            <w:tcW w:type="dxa" w:w="3000"/>
            <w:tcMar>
              <w:top w:type="dxa" w:w="70"/>
              <w:left w:type="dxa" w:w="110"/>
              <w:bottom w:type="dxa" w:w="70"/>
              <w:right w:type="dxa" w:w="110"/>
            </w:tcMar>
            <w:vAlign w:val="center"/>
          </w:tcPr>
          <w:p>
            <w:pPr>
              <w:spacing w:after="40"/>
              <w:jc w:val="left"/>
            </w:pPr>
            <w:r>
              <w:rPr>
                <w:b w:val="false"/>
                <w:bCs w:val="false"/>
                <w:sz w:val="19"/>
                <w:szCs w:val="19"/>
              </w:rPr>
              <w:t xml:space="preserve">Superstructure complete: RCC frame and PT slabs to roof level</w:t>
            </w:r>
          </w:p>
        </w:tc>
        <w:tc>
          <w:tcPr>
            <w:tcW w:type="dxa" w:w="1700"/>
            <w:tcMar>
              <w:top w:type="dxa" w:w="70"/>
              <w:left w:type="dxa" w:w="110"/>
              <w:bottom w:type="dxa" w:w="70"/>
              <w:right w:type="dxa" w:w="110"/>
            </w:tcMar>
            <w:vAlign w:val="center"/>
          </w:tcPr>
          <w:p>
            <w:pPr>
              <w:spacing w:after="40"/>
              <w:jc w:val="left"/>
            </w:pPr>
            <w:r>
              <w:rPr>
                <w:b w:val="false"/>
                <w:bCs w:val="false"/>
                <w:sz w:val="19"/>
                <w:szCs w:val="19"/>
              </w:rPr>
              <w:t xml:space="preserve">30 Nov 2026</w:t>
            </w:r>
          </w:p>
        </w:tc>
        <w:tc>
          <w:tcPr>
            <w:tcW w:type="dxa" w:w="2206"/>
            <w:tcMar>
              <w:top w:type="dxa" w:w="70"/>
              <w:left w:type="dxa" w:w="110"/>
              <w:bottom w:type="dxa" w:w="70"/>
              <w:right w:type="dxa" w:w="110"/>
            </w:tcMar>
            <w:vAlign w:val="center"/>
          </w:tcPr>
          <w:p>
            <w:pPr>
              <w:spacing w:after="40"/>
              <w:jc w:val="left"/>
            </w:pPr>
            <w:r>
              <w:rPr>
                <w:b w:val="false"/>
                <w:bCs w:val="false"/>
                <w:sz w:val="19"/>
                <w:szCs w:val="19"/>
              </w:rPr>
              <w:t xml:space="preserve">0.1% of Contract Price per week (INR 14.86 lakh)</w:t>
            </w:r>
          </w:p>
        </w:tc>
        <w:tc>
          <w:tcPr>
            <w:tcW w:type="dxa" w:w="1700"/>
            <w:tcMar>
              <w:top w:type="dxa" w:w="70"/>
              <w:left w:type="dxa" w:w="110"/>
              <w:bottom w:type="dxa" w:w="70"/>
              <w:right w:type="dxa" w:w="110"/>
            </w:tcMar>
            <w:vAlign w:val="center"/>
          </w:tcPr>
          <w:p>
            <w:pPr>
              <w:spacing w:after="40"/>
              <w:jc w:val="left"/>
            </w:pPr>
            <w:r>
              <w:rPr>
                <w:b w:val="false"/>
                <w:bCs w:val="false"/>
                <w:sz w:val="19"/>
                <w:szCs w:val="19"/>
              </w:rPr>
              <w:t xml:space="preserve">Clause 7.3</w:t>
            </w:r>
          </w:p>
        </w:tc>
      </w:tr>
      <w:tr>
        <w:trPr>
          <w:cantSplit/>
          <w:tblHeader w:val="false"/>
        </w:trPr>
        <w:tc>
          <w:tcPr>
            <w:tcW w:type="dxa" w:w="800"/>
            <w:tcMar>
              <w:top w:type="dxa" w:w="70"/>
              <w:left w:type="dxa" w:w="110"/>
              <w:bottom w:type="dxa" w:w="70"/>
              <w:right w:type="dxa" w:w="110"/>
            </w:tcMar>
            <w:vAlign w:val="center"/>
          </w:tcPr>
          <w:p>
            <w:pPr>
              <w:spacing w:after="40"/>
              <w:jc w:val="left"/>
            </w:pPr>
            <w:r>
              <w:rPr>
                <w:b w:val="false"/>
                <w:bCs w:val="false"/>
                <w:sz w:val="19"/>
                <w:szCs w:val="19"/>
              </w:rPr>
              <w:t xml:space="preserve">M3</w:t>
            </w:r>
          </w:p>
        </w:tc>
        <w:tc>
          <w:tcPr>
            <w:tcW w:type="dxa" w:w="3000"/>
            <w:tcMar>
              <w:top w:type="dxa" w:w="70"/>
              <w:left w:type="dxa" w:w="110"/>
              <w:bottom w:type="dxa" w:w="70"/>
              <w:right w:type="dxa" w:w="110"/>
            </w:tcMar>
            <w:vAlign w:val="center"/>
          </w:tcPr>
          <w:p>
            <w:pPr>
              <w:spacing w:after="40"/>
              <w:jc w:val="left"/>
            </w:pPr>
            <w:r>
              <w:rPr>
                <w:b w:val="false"/>
                <w:bCs w:val="false"/>
                <w:sz w:val="19"/>
                <w:szCs w:val="19"/>
              </w:rPr>
              <w:t xml:space="preserve">Mechanical Completion</w:t>
            </w:r>
          </w:p>
        </w:tc>
        <w:tc>
          <w:tcPr>
            <w:tcW w:type="dxa" w:w="1700"/>
            <w:tcMar>
              <w:top w:type="dxa" w:w="70"/>
              <w:left w:type="dxa" w:w="110"/>
              <w:bottom w:type="dxa" w:w="70"/>
              <w:right w:type="dxa" w:w="110"/>
            </w:tcMar>
            <w:vAlign w:val="center"/>
          </w:tcPr>
          <w:p>
            <w:pPr>
              <w:spacing w:after="40"/>
              <w:jc w:val="left"/>
            </w:pPr>
            <w:r>
              <w:rPr>
                <w:b w:val="false"/>
                <w:bCs w:val="false"/>
                <w:sz w:val="19"/>
                <w:szCs w:val="19"/>
              </w:rPr>
              <w:t xml:space="preserve">15 Feb 2027</w:t>
            </w:r>
          </w:p>
        </w:tc>
        <w:tc>
          <w:tcPr>
            <w:tcW w:type="dxa" w:w="2206"/>
            <w:tcMar>
              <w:top w:type="dxa" w:w="70"/>
              <w:left w:type="dxa" w:w="110"/>
              <w:bottom w:type="dxa" w:w="70"/>
              <w:right w:type="dxa" w:w="110"/>
            </w:tcMar>
            <w:vAlign w:val="center"/>
          </w:tcPr>
          <w:p>
            <w:pPr>
              <w:spacing w:after="40"/>
              <w:jc w:val="left"/>
            </w:pPr>
            <w:r>
              <w:rPr>
                <w:b w:val="false"/>
                <w:bCs w:val="false"/>
                <w:sz w:val="19"/>
                <w:szCs w:val="19"/>
              </w:rPr>
              <w:t xml:space="preserve">0.5% of Contract Price per week (INR 74.30 lakh)</w:t>
            </w:r>
          </w:p>
        </w:tc>
        <w:tc>
          <w:tcPr>
            <w:tcW w:type="dxa" w:w="1700"/>
            <w:tcMar>
              <w:top w:type="dxa" w:w="70"/>
              <w:left w:type="dxa" w:w="110"/>
              <w:bottom w:type="dxa" w:w="70"/>
              <w:right w:type="dxa" w:w="110"/>
            </w:tcMar>
            <w:vAlign w:val="center"/>
          </w:tcPr>
          <w:p>
            <w:pPr>
              <w:spacing w:after="40"/>
              <w:jc w:val="left"/>
            </w:pPr>
            <w:r>
              <w:rPr>
                <w:b w:val="false"/>
                <w:bCs w:val="false"/>
                <w:sz w:val="19"/>
                <w:szCs w:val="19"/>
              </w:rPr>
              <w:t xml:space="preserve">Clauses 7.1, 7.2 (max INR 14.86 Crore)</w:t>
            </w:r>
          </w:p>
        </w:tc>
      </w:tr>
      <w:tr>
        <w:trPr>
          <w:cantSplit/>
          <w:tblHeader w:val="false"/>
        </w:trPr>
        <w:tc>
          <w:tcPr>
            <w:tcW w:type="dxa" w:w="800"/>
            <w:tcMar>
              <w:top w:type="dxa" w:w="70"/>
              <w:left w:type="dxa" w:w="110"/>
              <w:bottom w:type="dxa" w:w="70"/>
              <w:right w:type="dxa" w:w="110"/>
            </w:tcMar>
            <w:vAlign w:val="center"/>
          </w:tcPr>
          <w:p>
            <w:pPr>
              <w:spacing w:after="40"/>
              <w:jc w:val="left"/>
            </w:pPr>
            <w:r>
              <w:rPr>
                <w:b w:val="false"/>
                <w:bCs w:val="false"/>
                <w:sz w:val="19"/>
                <w:szCs w:val="19"/>
              </w:rPr>
              <w:t xml:space="preserve">TO</w:t>
            </w:r>
          </w:p>
        </w:tc>
        <w:tc>
          <w:tcPr>
            <w:tcW w:type="dxa" w:w="3000"/>
            <w:tcMar>
              <w:top w:type="dxa" w:w="70"/>
              <w:left w:type="dxa" w:w="110"/>
              <w:bottom w:type="dxa" w:w="70"/>
              <w:right w:type="dxa" w:w="110"/>
            </w:tcMar>
            <w:vAlign w:val="center"/>
          </w:tcPr>
          <w:p>
            <w:pPr>
              <w:spacing w:after="40"/>
              <w:jc w:val="left"/>
            </w:pPr>
            <w:r>
              <w:rPr>
                <w:b w:val="false"/>
                <w:bCs w:val="false"/>
                <w:sz w:val="19"/>
                <w:szCs w:val="19"/>
              </w:rPr>
              <w:t xml:space="preserve">Taking Over: all Works, finishes and as-built documents</w:t>
            </w:r>
          </w:p>
        </w:tc>
        <w:tc>
          <w:tcPr>
            <w:tcW w:type="dxa" w:w="1700"/>
            <w:tcMar>
              <w:top w:type="dxa" w:w="70"/>
              <w:left w:type="dxa" w:w="110"/>
              <w:bottom w:type="dxa" w:w="70"/>
              <w:right w:type="dxa" w:w="110"/>
            </w:tcMar>
            <w:vAlign w:val="center"/>
          </w:tcPr>
          <w:p>
            <w:pPr>
              <w:spacing w:after="40"/>
              <w:jc w:val="left"/>
            </w:pPr>
            <w:r>
              <w:rPr>
                <w:b w:val="false"/>
                <w:bCs w:val="false"/>
                <w:sz w:val="19"/>
                <w:szCs w:val="19"/>
              </w:rPr>
              <w:t xml:space="preserve">31 Mar 2027</w:t>
            </w:r>
          </w:p>
        </w:tc>
        <w:tc>
          <w:tcPr>
            <w:tcW w:type="dxa" w:w="2206"/>
            <w:tcMar>
              <w:top w:type="dxa" w:w="70"/>
              <w:left w:type="dxa" w:w="110"/>
              <w:bottom w:type="dxa" w:w="70"/>
              <w:right w:type="dxa" w:w="110"/>
            </w:tcMar>
            <w:vAlign w:val="center"/>
          </w:tcPr>
          <w:p>
            <w:pPr>
              <w:spacing w:after="40"/>
              <w:jc w:val="left"/>
            </w:pPr>
            <w:r>
              <w:rPr>
                <w:b w:val="false"/>
                <w:bCs w:val="false"/>
                <w:sz w:val="19"/>
                <w:szCs w:val="19"/>
              </w:rPr>
              <w:t xml:space="preserve">None</w:t>
            </w:r>
          </w:p>
        </w:tc>
        <w:tc>
          <w:tcPr>
            <w:tcW w:type="dxa" w:w="1700"/>
            <w:tcMar>
              <w:top w:type="dxa" w:w="70"/>
              <w:left w:type="dxa" w:w="110"/>
              <w:bottom w:type="dxa" w:w="70"/>
              <w:right w:type="dxa" w:w="110"/>
            </w:tcMar>
            <w:vAlign w:val="center"/>
          </w:tcPr>
          <w:p>
            <w:pPr>
              <w:spacing w:after="40"/>
              <w:jc w:val="left"/>
            </w:pPr>
            <w:r>
              <w:rPr>
                <w:b w:val="false"/>
                <w:bCs w:val="false"/>
                <w:sz w:val="19"/>
                <w:szCs w:val="19"/>
              </w:rPr>
              <w:t xml:space="preserve">Retention release, Clause 10.2</w:t>
            </w:r>
          </w:p>
        </w:tc>
      </w:tr>
    </w:tbl>
    <w:p>
      <w:pPr>
        <w:spacing w:after="240"/>
      </w:pPr>
    </w:p>
    <w:p>
      <w:pPr>
        <w:pStyle w:val="Heading2"/>
      </w:pPr>
      <w:r>
        <w:t xml:space="preserve">C2  Payment breakdown</w:t>
      </w:r>
    </w:p>
    <w:p>
      <w:pPr>
        <w:spacing w:after="120" w:line="276"/>
        <w:jc w:val="both"/>
      </w:pPr>
      <w:r>
        <w:t xml:space="preserve">Interim payments are valued against the following breakdown of the Contract Price.</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700"/>
        <w:gridCol w:w="5606"/>
        <w:gridCol w:w="1400"/>
        <w:gridCol w:w="1700"/>
      </w:tblGrid>
      <w:tr>
        <w:trPr>
          <w:cantSplit/>
          <w:tblHeader/>
        </w:trPr>
        <w:tc>
          <w:tcPr>
            <w:tcW w:type="dxa" w:w="700"/>
            <w:shd w:fill="D9E2F3" w:color="auto" w:val="clear"/>
            <w:tcMar>
              <w:top w:type="dxa" w:w="70"/>
              <w:left w:type="dxa" w:w="110"/>
              <w:bottom w:type="dxa" w:w="70"/>
              <w:right w:type="dxa" w:w="110"/>
            </w:tcMar>
            <w:vAlign w:val="center"/>
          </w:tcPr>
          <w:p>
            <w:pPr>
              <w:spacing w:after="40"/>
              <w:jc w:val="left"/>
            </w:pPr>
            <w:r>
              <w:rPr>
                <w:b/>
                <w:bCs/>
                <w:color w:val="1F3864"/>
                <w:sz w:val="19"/>
                <w:szCs w:val="19"/>
              </w:rPr>
              <w:t xml:space="preserve">Ref.</w:t>
            </w:r>
          </w:p>
        </w:tc>
        <w:tc>
          <w:tcPr>
            <w:tcW w:type="dxa" w:w="5606"/>
            <w:shd w:fill="D9E2F3" w:color="auto" w:val="clear"/>
            <w:tcMar>
              <w:top w:type="dxa" w:w="70"/>
              <w:left w:type="dxa" w:w="110"/>
              <w:bottom w:type="dxa" w:w="70"/>
              <w:right w:type="dxa" w:w="110"/>
            </w:tcMar>
            <w:vAlign w:val="center"/>
          </w:tcPr>
          <w:p>
            <w:pPr>
              <w:spacing w:after="40"/>
              <w:jc w:val="left"/>
            </w:pPr>
            <w:r>
              <w:rPr>
                <w:b/>
                <w:bCs/>
                <w:color w:val="1F3864"/>
                <w:sz w:val="19"/>
                <w:szCs w:val="19"/>
              </w:rPr>
              <w:t xml:space="preserve">Work package</w:t>
            </w:r>
          </w:p>
        </w:tc>
        <w:tc>
          <w:tcPr>
            <w:tcW w:type="dxa" w:w="1400"/>
            <w:shd w:fill="D9E2F3" w:color="auto" w:val="clear"/>
            <w:tcMar>
              <w:top w:type="dxa" w:w="70"/>
              <w:left w:type="dxa" w:w="110"/>
              <w:bottom w:type="dxa" w:w="70"/>
              <w:right w:type="dxa" w:w="110"/>
            </w:tcMar>
            <w:vAlign w:val="center"/>
          </w:tcPr>
          <w:p>
            <w:pPr>
              <w:spacing w:after="40"/>
              <w:jc w:val="left"/>
            </w:pPr>
            <w:r>
              <w:rPr>
                <w:b/>
                <w:bCs/>
                <w:color w:val="1F3864"/>
                <w:sz w:val="19"/>
                <w:szCs w:val="19"/>
              </w:rPr>
              <w:t xml:space="preserve">% of price</w:t>
            </w:r>
          </w:p>
        </w:tc>
        <w:tc>
          <w:tcPr>
            <w:tcW w:type="dxa" w:w="1700"/>
            <w:shd w:fill="D9E2F3" w:color="auto" w:val="clear"/>
            <w:tcMar>
              <w:top w:type="dxa" w:w="70"/>
              <w:left w:type="dxa" w:w="110"/>
              <w:bottom w:type="dxa" w:w="70"/>
              <w:right w:type="dxa" w:w="110"/>
            </w:tcMar>
            <w:vAlign w:val="center"/>
          </w:tcPr>
          <w:p>
            <w:pPr>
              <w:spacing w:after="40"/>
              <w:jc w:val="left"/>
            </w:pPr>
            <w:r>
              <w:rPr>
                <w:b/>
                <w:bCs/>
                <w:color w:val="1F3864"/>
                <w:sz w:val="19"/>
                <w:szCs w:val="19"/>
              </w:rPr>
              <w:t xml:space="preserve">INR Crore (rounded)</w:t>
            </w:r>
          </w:p>
        </w:tc>
      </w:tr>
      <w:tr>
        <w:trPr>
          <w:cantSplit/>
          <w:tblHeader w:val="false"/>
        </w:trPr>
        <w:tc>
          <w:tcPr>
            <w:tcW w:type="dxa" w:w="700"/>
            <w:tcMar>
              <w:top w:type="dxa" w:w="70"/>
              <w:left w:type="dxa" w:w="110"/>
              <w:bottom w:type="dxa" w:w="70"/>
              <w:right w:type="dxa" w:w="110"/>
            </w:tcMar>
            <w:vAlign w:val="center"/>
          </w:tcPr>
          <w:p>
            <w:pPr>
              <w:spacing w:after="40"/>
              <w:jc w:val="left"/>
            </w:pPr>
            <w:r>
              <w:rPr>
                <w:b w:val="false"/>
                <w:bCs w:val="false"/>
                <w:sz w:val="19"/>
                <w:szCs w:val="19"/>
              </w:rPr>
              <w:t xml:space="preserve">1</w:t>
            </w:r>
          </w:p>
        </w:tc>
        <w:tc>
          <w:tcPr>
            <w:tcW w:type="dxa" w:w="5606"/>
            <w:tcMar>
              <w:top w:type="dxa" w:w="70"/>
              <w:left w:type="dxa" w:w="110"/>
              <w:bottom w:type="dxa" w:w="70"/>
              <w:right w:type="dxa" w:w="110"/>
            </w:tcMar>
            <w:vAlign w:val="center"/>
          </w:tcPr>
          <w:p>
            <w:pPr>
              <w:spacing w:after="40"/>
              <w:jc w:val="left"/>
            </w:pPr>
            <w:r>
              <w:rPr>
                <w:b w:val="false"/>
                <w:bCs w:val="false"/>
                <w:sz w:val="19"/>
                <w:szCs w:val="19"/>
              </w:rPr>
              <w:t xml:space="preserve">Mobilisation and site set-up</w:t>
            </w:r>
          </w:p>
        </w:tc>
        <w:tc>
          <w:tcPr>
            <w:tcW w:type="dxa" w:w="1400"/>
            <w:tcMar>
              <w:top w:type="dxa" w:w="70"/>
              <w:left w:type="dxa" w:w="110"/>
              <w:bottom w:type="dxa" w:w="70"/>
              <w:right w:type="dxa" w:w="110"/>
            </w:tcMar>
            <w:vAlign w:val="center"/>
          </w:tcPr>
          <w:p>
            <w:pPr>
              <w:spacing w:after="40"/>
              <w:jc w:val="left"/>
            </w:pPr>
            <w:r>
              <w:rPr>
                <w:b w:val="false"/>
                <w:bCs w:val="false"/>
                <w:sz w:val="19"/>
                <w:szCs w:val="19"/>
              </w:rPr>
              <w:t xml:space="preserve">2%</w:t>
            </w:r>
          </w:p>
        </w:tc>
        <w:tc>
          <w:tcPr>
            <w:tcW w:type="dxa" w:w="1700"/>
            <w:tcMar>
              <w:top w:type="dxa" w:w="70"/>
              <w:left w:type="dxa" w:w="110"/>
              <w:bottom w:type="dxa" w:w="70"/>
              <w:right w:type="dxa" w:w="110"/>
            </w:tcMar>
            <w:vAlign w:val="center"/>
          </w:tcPr>
          <w:p>
            <w:pPr>
              <w:spacing w:after="40"/>
              <w:jc w:val="left"/>
            </w:pPr>
            <w:r>
              <w:rPr>
                <w:b w:val="false"/>
                <w:bCs w:val="false"/>
                <w:sz w:val="19"/>
                <w:szCs w:val="19"/>
              </w:rPr>
              <w:t xml:space="preserve">2.97</w:t>
            </w:r>
          </w:p>
        </w:tc>
      </w:tr>
      <w:tr>
        <w:trPr>
          <w:cantSplit/>
          <w:tblHeader w:val="false"/>
        </w:trPr>
        <w:tc>
          <w:tcPr>
            <w:tcW w:type="dxa" w:w="700"/>
            <w:tcMar>
              <w:top w:type="dxa" w:w="70"/>
              <w:left w:type="dxa" w:w="110"/>
              <w:bottom w:type="dxa" w:w="70"/>
              <w:right w:type="dxa" w:w="110"/>
            </w:tcMar>
            <w:vAlign w:val="center"/>
          </w:tcPr>
          <w:p>
            <w:pPr>
              <w:spacing w:after="40"/>
              <w:jc w:val="left"/>
            </w:pPr>
            <w:r>
              <w:rPr>
                <w:b w:val="false"/>
                <w:bCs w:val="false"/>
                <w:sz w:val="19"/>
                <w:szCs w:val="19"/>
              </w:rPr>
              <w:t xml:space="preserve">2</w:t>
            </w:r>
          </w:p>
        </w:tc>
        <w:tc>
          <w:tcPr>
            <w:tcW w:type="dxa" w:w="5606"/>
            <w:tcMar>
              <w:top w:type="dxa" w:w="70"/>
              <w:left w:type="dxa" w:w="110"/>
              <w:bottom w:type="dxa" w:w="70"/>
              <w:right w:type="dxa" w:w="110"/>
            </w:tcMar>
            <w:vAlign w:val="center"/>
          </w:tcPr>
          <w:p>
            <w:pPr>
              <w:spacing w:after="40"/>
              <w:jc w:val="left"/>
            </w:pPr>
            <w:r>
              <w:rPr>
                <w:b w:val="false"/>
                <w:bCs w:val="false"/>
                <w:sz w:val="19"/>
                <w:szCs w:val="19"/>
              </w:rPr>
              <w:t xml:space="preserve">Piling and pile testing</w:t>
            </w:r>
          </w:p>
        </w:tc>
        <w:tc>
          <w:tcPr>
            <w:tcW w:type="dxa" w:w="1400"/>
            <w:tcMar>
              <w:top w:type="dxa" w:w="70"/>
              <w:left w:type="dxa" w:w="110"/>
              <w:bottom w:type="dxa" w:w="70"/>
              <w:right w:type="dxa" w:w="110"/>
            </w:tcMar>
            <w:vAlign w:val="center"/>
          </w:tcPr>
          <w:p>
            <w:pPr>
              <w:spacing w:after="40"/>
              <w:jc w:val="left"/>
            </w:pPr>
            <w:r>
              <w:rPr>
                <w:b w:val="false"/>
                <w:bCs w:val="false"/>
                <w:sz w:val="19"/>
                <w:szCs w:val="19"/>
              </w:rPr>
              <w:t xml:space="preserve">14%</w:t>
            </w:r>
          </w:p>
        </w:tc>
        <w:tc>
          <w:tcPr>
            <w:tcW w:type="dxa" w:w="1700"/>
            <w:tcMar>
              <w:top w:type="dxa" w:w="70"/>
              <w:left w:type="dxa" w:w="110"/>
              <w:bottom w:type="dxa" w:w="70"/>
              <w:right w:type="dxa" w:w="110"/>
            </w:tcMar>
            <w:vAlign w:val="center"/>
          </w:tcPr>
          <w:p>
            <w:pPr>
              <w:spacing w:after="40"/>
              <w:jc w:val="left"/>
            </w:pPr>
            <w:r>
              <w:rPr>
                <w:b w:val="false"/>
                <w:bCs w:val="false"/>
                <w:sz w:val="19"/>
                <w:szCs w:val="19"/>
              </w:rPr>
              <w:t xml:space="preserve">20.80</w:t>
            </w:r>
          </w:p>
        </w:tc>
      </w:tr>
      <w:tr>
        <w:trPr>
          <w:cantSplit/>
          <w:tblHeader w:val="false"/>
        </w:trPr>
        <w:tc>
          <w:tcPr>
            <w:tcW w:type="dxa" w:w="700"/>
            <w:tcMar>
              <w:top w:type="dxa" w:w="70"/>
              <w:left w:type="dxa" w:w="110"/>
              <w:bottom w:type="dxa" w:w="70"/>
              <w:right w:type="dxa" w:w="110"/>
            </w:tcMar>
            <w:vAlign w:val="center"/>
          </w:tcPr>
          <w:p>
            <w:pPr>
              <w:spacing w:after="40"/>
              <w:jc w:val="left"/>
            </w:pPr>
            <w:r>
              <w:rPr>
                <w:b w:val="false"/>
                <w:bCs w:val="false"/>
                <w:sz w:val="19"/>
                <w:szCs w:val="19"/>
              </w:rPr>
              <w:t xml:space="preserve">3</w:t>
            </w:r>
          </w:p>
        </w:tc>
        <w:tc>
          <w:tcPr>
            <w:tcW w:type="dxa" w:w="5606"/>
            <w:tcMar>
              <w:top w:type="dxa" w:w="70"/>
              <w:left w:type="dxa" w:w="110"/>
              <w:bottom w:type="dxa" w:w="70"/>
              <w:right w:type="dxa" w:w="110"/>
            </w:tcMar>
            <w:vAlign w:val="center"/>
          </w:tcPr>
          <w:p>
            <w:pPr>
              <w:spacing w:after="40"/>
              <w:jc w:val="left"/>
            </w:pPr>
            <w:r>
              <w:rPr>
                <w:b w:val="false"/>
                <w:bCs w:val="false"/>
                <w:sz w:val="19"/>
                <w:szCs w:val="19"/>
              </w:rPr>
              <w:t xml:space="preserve">Pile caps, grade beams and machine foundations</w:t>
            </w:r>
          </w:p>
        </w:tc>
        <w:tc>
          <w:tcPr>
            <w:tcW w:type="dxa" w:w="1400"/>
            <w:tcMar>
              <w:top w:type="dxa" w:w="70"/>
              <w:left w:type="dxa" w:w="110"/>
              <w:bottom w:type="dxa" w:w="70"/>
              <w:right w:type="dxa" w:w="110"/>
            </w:tcMar>
            <w:vAlign w:val="center"/>
          </w:tcPr>
          <w:p>
            <w:pPr>
              <w:spacing w:after="40"/>
              <w:jc w:val="left"/>
            </w:pPr>
            <w:r>
              <w:rPr>
                <w:b w:val="false"/>
                <w:bCs w:val="false"/>
                <w:sz w:val="19"/>
                <w:szCs w:val="19"/>
              </w:rPr>
              <w:t xml:space="preserve">12%</w:t>
            </w:r>
          </w:p>
        </w:tc>
        <w:tc>
          <w:tcPr>
            <w:tcW w:type="dxa" w:w="1700"/>
            <w:tcMar>
              <w:top w:type="dxa" w:w="70"/>
              <w:left w:type="dxa" w:w="110"/>
              <w:bottom w:type="dxa" w:w="70"/>
              <w:right w:type="dxa" w:w="110"/>
            </w:tcMar>
            <w:vAlign w:val="center"/>
          </w:tcPr>
          <w:p>
            <w:pPr>
              <w:spacing w:after="40"/>
              <w:jc w:val="left"/>
            </w:pPr>
            <w:r>
              <w:rPr>
                <w:b w:val="false"/>
                <w:bCs w:val="false"/>
                <w:sz w:val="19"/>
                <w:szCs w:val="19"/>
              </w:rPr>
              <w:t xml:space="preserve">17.83</w:t>
            </w:r>
          </w:p>
        </w:tc>
      </w:tr>
      <w:tr>
        <w:trPr>
          <w:cantSplit/>
          <w:tblHeader w:val="false"/>
        </w:trPr>
        <w:tc>
          <w:tcPr>
            <w:tcW w:type="dxa" w:w="700"/>
            <w:tcMar>
              <w:top w:type="dxa" w:w="70"/>
              <w:left w:type="dxa" w:w="110"/>
              <w:bottom w:type="dxa" w:w="70"/>
              <w:right w:type="dxa" w:w="110"/>
            </w:tcMar>
            <w:vAlign w:val="center"/>
          </w:tcPr>
          <w:p>
            <w:pPr>
              <w:spacing w:after="40"/>
              <w:jc w:val="left"/>
            </w:pPr>
            <w:r>
              <w:rPr>
                <w:b w:val="false"/>
                <w:bCs w:val="false"/>
                <w:sz w:val="19"/>
                <w:szCs w:val="19"/>
              </w:rPr>
              <w:t xml:space="preserve">4</w:t>
            </w:r>
          </w:p>
        </w:tc>
        <w:tc>
          <w:tcPr>
            <w:tcW w:type="dxa" w:w="5606"/>
            <w:tcMar>
              <w:top w:type="dxa" w:w="70"/>
              <w:left w:type="dxa" w:w="110"/>
              <w:bottom w:type="dxa" w:w="70"/>
              <w:right w:type="dxa" w:w="110"/>
            </w:tcMar>
            <w:vAlign w:val="center"/>
          </w:tcPr>
          <w:p>
            <w:pPr>
              <w:spacing w:after="40"/>
              <w:jc w:val="left"/>
            </w:pPr>
            <w:r>
              <w:rPr>
                <w:b w:val="false"/>
                <w:bCs w:val="false"/>
                <w:sz w:val="19"/>
                <w:szCs w:val="19"/>
              </w:rPr>
              <w:t xml:space="preserve">Superstructure: RCC frame and post-tensioned slabs</w:t>
            </w:r>
          </w:p>
        </w:tc>
        <w:tc>
          <w:tcPr>
            <w:tcW w:type="dxa" w:w="1400"/>
            <w:tcMar>
              <w:top w:type="dxa" w:w="70"/>
              <w:left w:type="dxa" w:w="110"/>
              <w:bottom w:type="dxa" w:w="70"/>
              <w:right w:type="dxa" w:w="110"/>
            </w:tcMar>
            <w:vAlign w:val="center"/>
          </w:tcPr>
          <w:p>
            <w:pPr>
              <w:spacing w:after="40"/>
              <w:jc w:val="left"/>
            </w:pPr>
            <w:r>
              <w:rPr>
                <w:b w:val="false"/>
                <w:bCs w:val="false"/>
                <w:sz w:val="19"/>
                <w:szCs w:val="19"/>
              </w:rPr>
              <w:t xml:space="preserve">34%</w:t>
            </w:r>
          </w:p>
        </w:tc>
        <w:tc>
          <w:tcPr>
            <w:tcW w:type="dxa" w:w="1700"/>
            <w:tcMar>
              <w:top w:type="dxa" w:w="70"/>
              <w:left w:type="dxa" w:w="110"/>
              <w:bottom w:type="dxa" w:w="70"/>
              <w:right w:type="dxa" w:w="110"/>
            </w:tcMar>
            <w:vAlign w:val="center"/>
          </w:tcPr>
          <w:p>
            <w:pPr>
              <w:spacing w:after="40"/>
              <w:jc w:val="left"/>
            </w:pPr>
            <w:r>
              <w:rPr>
                <w:b w:val="false"/>
                <w:bCs w:val="false"/>
                <w:sz w:val="19"/>
                <w:szCs w:val="19"/>
              </w:rPr>
              <w:t xml:space="preserve">50.52</w:t>
            </w:r>
          </w:p>
        </w:tc>
      </w:tr>
      <w:tr>
        <w:trPr>
          <w:cantSplit/>
          <w:tblHeader w:val="false"/>
        </w:trPr>
        <w:tc>
          <w:tcPr>
            <w:tcW w:type="dxa" w:w="700"/>
            <w:tcMar>
              <w:top w:type="dxa" w:w="70"/>
              <w:left w:type="dxa" w:w="110"/>
              <w:bottom w:type="dxa" w:w="70"/>
              <w:right w:type="dxa" w:w="110"/>
            </w:tcMar>
            <w:vAlign w:val="center"/>
          </w:tcPr>
          <w:p>
            <w:pPr>
              <w:spacing w:after="40"/>
              <w:jc w:val="left"/>
            </w:pPr>
            <w:r>
              <w:rPr>
                <w:b w:val="false"/>
                <w:bCs w:val="false"/>
                <w:sz w:val="19"/>
                <w:szCs w:val="19"/>
              </w:rPr>
              <w:t xml:space="preserve">5</w:t>
            </w:r>
          </w:p>
        </w:tc>
        <w:tc>
          <w:tcPr>
            <w:tcW w:type="dxa" w:w="5606"/>
            <w:tcMar>
              <w:top w:type="dxa" w:w="70"/>
              <w:left w:type="dxa" w:w="110"/>
              <w:bottom w:type="dxa" w:w="70"/>
              <w:right w:type="dxa" w:w="110"/>
            </w:tcMar>
            <w:vAlign w:val="center"/>
          </w:tcPr>
          <w:p>
            <w:pPr>
              <w:spacing w:after="40"/>
              <w:jc w:val="left"/>
            </w:pPr>
            <w:r>
              <w:rPr>
                <w:b w:val="false"/>
                <w:bCs w:val="false"/>
                <w:sz w:val="19"/>
                <w:szCs w:val="19"/>
              </w:rPr>
              <w:t xml:space="preserve">PEB roof and cladding</w:t>
            </w:r>
          </w:p>
        </w:tc>
        <w:tc>
          <w:tcPr>
            <w:tcW w:type="dxa" w:w="1400"/>
            <w:tcMar>
              <w:top w:type="dxa" w:w="70"/>
              <w:left w:type="dxa" w:w="110"/>
              <w:bottom w:type="dxa" w:w="70"/>
              <w:right w:type="dxa" w:w="110"/>
            </w:tcMar>
            <w:vAlign w:val="center"/>
          </w:tcPr>
          <w:p>
            <w:pPr>
              <w:spacing w:after="40"/>
              <w:jc w:val="left"/>
            </w:pPr>
            <w:r>
              <w:rPr>
                <w:b w:val="false"/>
                <w:bCs w:val="false"/>
                <w:sz w:val="19"/>
                <w:szCs w:val="19"/>
              </w:rPr>
              <w:t xml:space="preserve">12%</w:t>
            </w:r>
          </w:p>
        </w:tc>
        <w:tc>
          <w:tcPr>
            <w:tcW w:type="dxa" w:w="1700"/>
            <w:tcMar>
              <w:top w:type="dxa" w:w="70"/>
              <w:left w:type="dxa" w:w="110"/>
              <w:bottom w:type="dxa" w:w="70"/>
              <w:right w:type="dxa" w:w="110"/>
            </w:tcMar>
            <w:vAlign w:val="center"/>
          </w:tcPr>
          <w:p>
            <w:pPr>
              <w:spacing w:after="40"/>
              <w:jc w:val="left"/>
            </w:pPr>
            <w:r>
              <w:rPr>
                <w:b w:val="false"/>
                <w:bCs w:val="false"/>
                <w:sz w:val="19"/>
                <w:szCs w:val="19"/>
              </w:rPr>
              <w:t xml:space="preserve">17.83</w:t>
            </w:r>
          </w:p>
        </w:tc>
      </w:tr>
      <w:tr>
        <w:trPr>
          <w:cantSplit/>
          <w:tblHeader w:val="false"/>
        </w:trPr>
        <w:tc>
          <w:tcPr>
            <w:tcW w:type="dxa" w:w="700"/>
            <w:tcMar>
              <w:top w:type="dxa" w:w="70"/>
              <w:left w:type="dxa" w:w="110"/>
              <w:bottom w:type="dxa" w:w="70"/>
              <w:right w:type="dxa" w:w="110"/>
            </w:tcMar>
            <w:vAlign w:val="center"/>
          </w:tcPr>
          <w:p>
            <w:pPr>
              <w:spacing w:after="40"/>
              <w:jc w:val="left"/>
            </w:pPr>
            <w:r>
              <w:rPr>
                <w:b w:val="false"/>
                <w:bCs w:val="false"/>
                <w:sz w:val="19"/>
                <w:szCs w:val="19"/>
              </w:rPr>
              <w:t xml:space="preserve">6</w:t>
            </w:r>
          </w:p>
        </w:tc>
        <w:tc>
          <w:tcPr>
            <w:tcW w:type="dxa" w:w="5606"/>
            <w:tcMar>
              <w:top w:type="dxa" w:w="70"/>
              <w:left w:type="dxa" w:w="110"/>
              <w:bottom w:type="dxa" w:w="70"/>
              <w:right w:type="dxa" w:w="110"/>
            </w:tcMar>
            <w:vAlign w:val="center"/>
          </w:tcPr>
          <w:p>
            <w:pPr>
              <w:spacing w:after="40"/>
              <w:jc w:val="left"/>
            </w:pPr>
            <w:r>
              <w:rPr>
                <w:b w:val="false"/>
                <w:bCs w:val="false"/>
                <w:sz w:val="19"/>
                <w:szCs w:val="19"/>
              </w:rPr>
              <w:t xml:space="preserve">Industrial ground-floor slab</w:t>
            </w:r>
          </w:p>
        </w:tc>
        <w:tc>
          <w:tcPr>
            <w:tcW w:type="dxa" w:w="1400"/>
            <w:tcMar>
              <w:top w:type="dxa" w:w="70"/>
              <w:left w:type="dxa" w:w="110"/>
              <w:bottom w:type="dxa" w:w="70"/>
              <w:right w:type="dxa" w:w="110"/>
            </w:tcMar>
            <w:vAlign w:val="center"/>
          </w:tcPr>
          <w:p>
            <w:pPr>
              <w:spacing w:after="40"/>
              <w:jc w:val="left"/>
            </w:pPr>
            <w:r>
              <w:rPr>
                <w:b w:val="false"/>
                <w:bCs w:val="false"/>
                <w:sz w:val="19"/>
                <w:szCs w:val="19"/>
              </w:rPr>
              <w:t xml:space="preserve">8%</w:t>
            </w:r>
          </w:p>
        </w:tc>
        <w:tc>
          <w:tcPr>
            <w:tcW w:type="dxa" w:w="1700"/>
            <w:tcMar>
              <w:top w:type="dxa" w:w="70"/>
              <w:left w:type="dxa" w:w="110"/>
              <w:bottom w:type="dxa" w:w="70"/>
              <w:right w:type="dxa" w:w="110"/>
            </w:tcMar>
            <w:vAlign w:val="center"/>
          </w:tcPr>
          <w:p>
            <w:pPr>
              <w:spacing w:after="40"/>
              <w:jc w:val="left"/>
            </w:pPr>
            <w:r>
              <w:rPr>
                <w:b w:val="false"/>
                <w:bCs w:val="false"/>
                <w:sz w:val="19"/>
                <w:szCs w:val="19"/>
              </w:rPr>
              <w:t xml:space="preserve">11.89</w:t>
            </w:r>
          </w:p>
        </w:tc>
      </w:tr>
      <w:tr>
        <w:trPr>
          <w:cantSplit/>
          <w:tblHeader w:val="false"/>
        </w:trPr>
        <w:tc>
          <w:tcPr>
            <w:tcW w:type="dxa" w:w="700"/>
            <w:tcMar>
              <w:top w:type="dxa" w:w="70"/>
              <w:left w:type="dxa" w:w="110"/>
              <w:bottom w:type="dxa" w:w="70"/>
              <w:right w:type="dxa" w:w="110"/>
            </w:tcMar>
            <w:vAlign w:val="center"/>
          </w:tcPr>
          <w:p>
            <w:pPr>
              <w:spacing w:after="40"/>
              <w:jc w:val="left"/>
            </w:pPr>
            <w:r>
              <w:rPr>
                <w:b w:val="false"/>
                <w:bCs w:val="false"/>
                <w:sz w:val="19"/>
                <w:szCs w:val="19"/>
              </w:rPr>
              <w:t xml:space="preserve">7</w:t>
            </w:r>
          </w:p>
        </w:tc>
        <w:tc>
          <w:tcPr>
            <w:tcW w:type="dxa" w:w="5606"/>
            <w:tcMar>
              <w:top w:type="dxa" w:w="70"/>
              <w:left w:type="dxa" w:w="110"/>
              <w:bottom w:type="dxa" w:w="70"/>
              <w:right w:type="dxa" w:w="110"/>
            </w:tcMar>
            <w:vAlign w:val="center"/>
          </w:tcPr>
          <w:p>
            <w:pPr>
              <w:spacing w:after="40"/>
              <w:jc w:val="left"/>
            </w:pPr>
            <w:r>
              <w:rPr>
                <w:b w:val="false"/>
                <w:bCs w:val="false"/>
                <w:sz w:val="19"/>
                <w:szCs w:val="19"/>
              </w:rPr>
              <w:t xml:space="preserve">Finishes and waterproofing</w:t>
            </w:r>
          </w:p>
        </w:tc>
        <w:tc>
          <w:tcPr>
            <w:tcW w:type="dxa" w:w="1400"/>
            <w:tcMar>
              <w:top w:type="dxa" w:w="70"/>
              <w:left w:type="dxa" w:w="110"/>
              <w:bottom w:type="dxa" w:w="70"/>
              <w:right w:type="dxa" w:w="110"/>
            </w:tcMar>
            <w:vAlign w:val="center"/>
          </w:tcPr>
          <w:p>
            <w:pPr>
              <w:spacing w:after="40"/>
              <w:jc w:val="left"/>
            </w:pPr>
            <w:r>
              <w:rPr>
                <w:b w:val="false"/>
                <w:bCs w:val="false"/>
                <w:sz w:val="19"/>
                <w:szCs w:val="19"/>
              </w:rPr>
              <w:t xml:space="preserve">10%</w:t>
            </w:r>
          </w:p>
        </w:tc>
        <w:tc>
          <w:tcPr>
            <w:tcW w:type="dxa" w:w="1700"/>
            <w:tcMar>
              <w:top w:type="dxa" w:w="70"/>
              <w:left w:type="dxa" w:w="110"/>
              <w:bottom w:type="dxa" w:w="70"/>
              <w:right w:type="dxa" w:w="110"/>
            </w:tcMar>
            <w:vAlign w:val="center"/>
          </w:tcPr>
          <w:p>
            <w:pPr>
              <w:spacing w:after="40"/>
              <w:jc w:val="left"/>
            </w:pPr>
            <w:r>
              <w:rPr>
                <w:b w:val="false"/>
                <w:bCs w:val="false"/>
                <w:sz w:val="19"/>
                <w:szCs w:val="19"/>
              </w:rPr>
              <w:t xml:space="preserve">14.86</w:t>
            </w:r>
          </w:p>
        </w:tc>
      </w:tr>
      <w:tr>
        <w:trPr>
          <w:cantSplit/>
          <w:tblHeader w:val="false"/>
        </w:trPr>
        <w:tc>
          <w:tcPr>
            <w:tcW w:type="dxa" w:w="700"/>
            <w:tcMar>
              <w:top w:type="dxa" w:w="70"/>
              <w:left w:type="dxa" w:w="110"/>
              <w:bottom w:type="dxa" w:w="70"/>
              <w:right w:type="dxa" w:w="110"/>
            </w:tcMar>
            <w:vAlign w:val="center"/>
          </w:tcPr>
          <w:p>
            <w:pPr>
              <w:spacing w:after="40"/>
              <w:jc w:val="left"/>
            </w:pPr>
            <w:r>
              <w:rPr>
                <w:b w:val="false"/>
                <w:bCs w:val="false"/>
                <w:sz w:val="19"/>
                <w:szCs w:val="19"/>
              </w:rPr>
              <w:t xml:space="preserve">8</w:t>
            </w:r>
          </w:p>
        </w:tc>
        <w:tc>
          <w:tcPr>
            <w:tcW w:type="dxa" w:w="5606"/>
            <w:tcMar>
              <w:top w:type="dxa" w:w="70"/>
              <w:left w:type="dxa" w:w="110"/>
              <w:bottom w:type="dxa" w:w="70"/>
              <w:right w:type="dxa" w:w="110"/>
            </w:tcMar>
            <w:vAlign w:val="center"/>
          </w:tcPr>
          <w:p>
            <w:pPr>
              <w:spacing w:after="40"/>
              <w:jc w:val="left"/>
            </w:pPr>
            <w:r>
              <w:rPr>
                <w:b w:val="false"/>
                <w:bCs w:val="false"/>
                <w:sz w:val="19"/>
                <w:szCs w:val="19"/>
              </w:rPr>
              <w:t xml:space="preserve">External works</w:t>
            </w:r>
          </w:p>
        </w:tc>
        <w:tc>
          <w:tcPr>
            <w:tcW w:type="dxa" w:w="1400"/>
            <w:tcMar>
              <w:top w:type="dxa" w:w="70"/>
              <w:left w:type="dxa" w:w="110"/>
              <w:bottom w:type="dxa" w:w="70"/>
              <w:right w:type="dxa" w:w="110"/>
            </w:tcMar>
            <w:vAlign w:val="center"/>
          </w:tcPr>
          <w:p>
            <w:pPr>
              <w:spacing w:after="40"/>
              <w:jc w:val="left"/>
            </w:pPr>
            <w:r>
              <w:rPr>
                <w:b w:val="false"/>
                <w:bCs w:val="false"/>
                <w:sz w:val="19"/>
                <w:szCs w:val="19"/>
              </w:rPr>
              <w:t xml:space="preserve">5%</w:t>
            </w:r>
          </w:p>
        </w:tc>
        <w:tc>
          <w:tcPr>
            <w:tcW w:type="dxa" w:w="1700"/>
            <w:tcMar>
              <w:top w:type="dxa" w:w="70"/>
              <w:left w:type="dxa" w:w="110"/>
              <w:bottom w:type="dxa" w:w="70"/>
              <w:right w:type="dxa" w:w="110"/>
            </w:tcMar>
            <w:vAlign w:val="center"/>
          </w:tcPr>
          <w:p>
            <w:pPr>
              <w:spacing w:after="40"/>
              <w:jc w:val="left"/>
            </w:pPr>
            <w:r>
              <w:rPr>
                <w:b w:val="false"/>
                <w:bCs w:val="false"/>
                <w:sz w:val="19"/>
                <w:szCs w:val="19"/>
              </w:rPr>
              <w:t xml:space="preserve">7.43</w:t>
            </w:r>
          </w:p>
        </w:tc>
      </w:tr>
      <w:tr>
        <w:trPr>
          <w:cantSplit/>
          <w:tblHeader w:val="false"/>
        </w:trPr>
        <w:tc>
          <w:tcPr>
            <w:tcW w:type="dxa" w:w="700"/>
            <w:tcMar>
              <w:top w:type="dxa" w:w="70"/>
              <w:left w:type="dxa" w:w="110"/>
              <w:bottom w:type="dxa" w:w="70"/>
              <w:right w:type="dxa" w:w="110"/>
            </w:tcMar>
            <w:vAlign w:val="center"/>
          </w:tcPr>
          <w:p>
            <w:pPr>
              <w:spacing w:after="40"/>
              <w:jc w:val="left"/>
            </w:pPr>
            <w:r>
              <w:rPr>
                <w:b w:val="false"/>
                <w:bCs w:val="false"/>
                <w:sz w:val="19"/>
                <w:szCs w:val="19"/>
              </w:rPr>
              <w:t xml:space="preserve">9</w:t>
            </w:r>
          </w:p>
        </w:tc>
        <w:tc>
          <w:tcPr>
            <w:tcW w:type="dxa" w:w="5606"/>
            <w:tcMar>
              <w:top w:type="dxa" w:w="70"/>
              <w:left w:type="dxa" w:w="110"/>
              <w:bottom w:type="dxa" w:w="70"/>
              <w:right w:type="dxa" w:w="110"/>
            </w:tcMar>
            <w:vAlign w:val="center"/>
          </w:tcPr>
          <w:p>
            <w:pPr>
              <w:spacing w:after="40"/>
              <w:jc w:val="left"/>
            </w:pPr>
            <w:r>
              <w:rPr>
                <w:b w:val="false"/>
                <w:bCs w:val="false"/>
                <w:sz w:val="19"/>
                <w:szCs w:val="19"/>
              </w:rPr>
              <w:t xml:space="preserve">As-built documents, testing records and handover</w:t>
            </w:r>
          </w:p>
        </w:tc>
        <w:tc>
          <w:tcPr>
            <w:tcW w:type="dxa" w:w="1400"/>
            <w:tcMar>
              <w:top w:type="dxa" w:w="70"/>
              <w:left w:type="dxa" w:w="110"/>
              <w:bottom w:type="dxa" w:w="70"/>
              <w:right w:type="dxa" w:w="110"/>
            </w:tcMar>
            <w:vAlign w:val="center"/>
          </w:tcPr>
          <w:p>
            <w:pPr>
              <w:spacing w:after="40"/>
              <w:jc w:val="left"/>
            </w:pPr>
            <w:r>
              <w:rPr>
                <w:b w:val="false"/>
                <w:bCs w:val="false"/>
                <w:sz w:val="19"/>
                <w:szCs w:val="19"/>
              </w:rPr>
              <w:t xml:space="preserve">3%</w:t>
            </w:r>
          </w:p>
        </w:tc>
        <w:tc>
          <w:tcPr>
            <w:tcW w:type="dxa" w:w="1700"/>
            <w:tcMar>
              <w:top w:type="dxa" w:w="70"/>
              <w:left w:type="dxa" w:w="110"/>
              <w:bottom w:type="dxa" w:w="70"/>
              <w:right w:type="dxa" w:w="110"/>
            </w:tcMar>
            <w:vAlign w:val="center"/>
          </w:tcPr>
          <w:p>
            <w:pPr>
              <w:spacing w:after="40"/>
              <w:jc w:val="left"/>
            </w:pPr>
            <w:r>
              <w:rPr>
                <w:b w:val="false"/>
                <w:bCs w:val="false"/>
                <w:sz w:val="19"/>
                <w:szCs w:val="19"/>
              </w:rPr>
              <w:t xml:space="preserve">4.46</w:t>
            </w:r>
          </w:p>
        </w:tc>
      </w:tr>
      <w:tr>
        <w:trPr>
          <w:cantSplit/>
          <w:tblHeader w:val="false"/>
        </w:trPr>
        <w:tc>
          <w:tcPr>
            <w:tcW w:type="dxa" w:w="700"/>
            <w:tcMar>
              <w:top w:type="dxa" w:w="70"/>
              <w:left w:type="dxa" w:w="110"/>
              <w:bottom w:type="dxa" w:w="70"/>
              <w:right w:type="dxa" w:w="110"/>
            </w:tcMar>
            <w:vAlign w:val="center"/>
          </w:tcPr>
          <w:p>
            <w:pPr>
              <w:spacing w:after="40"/>
              <w:jc w:val="left"/>
            </w:pPr>
          </w:p>
        </w:tc>
        <w:tc>
          <w:tcPr>
            <w:tcW w:type="dxa" w:w="5606"/>
            <w:tcMar>
              <w:top w:type="dxa" w:w="70"/>
              <w:left w:type="dxa" w:w="110"/>
              <w:bottom w:type="dxa" w:w="70"/>
              <w:right w:type="dxa" w:w="110"/>
            </w:tcMar>
            <w:vAlign w:val="center"/>
          </w:tcPr>
          <w:p>
            <w:pPr>
              <w:spacing w:after="40"/>
              <w:jc w:val="left"/>
            </w:pPr>
            <w:r>
              <w:rPr>
                <w:b/>
                <w:bCs/>
                <w:sz w:val="19"/>
                <w:szCs w:val="19"/>
              </w:rPr>
              <w:t xml:space="preserve">Total</w:t>
            </w:r>
          </w:p>
        </w:tc>
        <w:tc>
          <w:tcPr>
            <w:tcW w:type="dxa" w:w="1400"/>
            <w:tcMar>
              <w:top w:type="dxa" w:w="70"/>
              <w:left w:type="dxa" w:w="110"/>
              <w:bottom w:type="dxa" w:w="70"/>
              <w:right w:type="dxa" w:w="110"/>
            </w:tcMar>
            <w:vAlign w:val="center"/>
          </w:tcPr>
          <w:p>
            <w:pPr>
              <w:spacing w:after="40"/>
              <w:jc w:val="left"/>
            </w:pPr>
            <w:r>
              <w:rPr>
                <w:b/>
                <w:bCs/>
                <w:sz w:val="19"/>
                <w:szCs w:val="19"/>
              </w:rPr>
              <w:t xml:space="preserve">100%</w:t>
            </w:r>
          </w:p>
        </w:tc>
        <w:tc>
          <w:tcPr>
            <w:tcW w:type="dxa" w:w="1700"/>
            <w:tcMar>
              <w:top w:type="dxa" w:w="70"/>
              <w:left w:type="dxa" w:w="110"/>
              <w:bottom w:type="dxa" w:w="70"/>
              <w:right w:type="dxa" w:w="110"/>
            </w:tcMar>
            <w:vAlign w:val="center"/>
          </w:tcPr>
          <w:p>
            <w:pPr>
              <w:spacing w:after="40"/>
              <w:jc w:val="left"/>
            </w:pPr>
            <w:r>
              <w:rPr>
                <w:b/>
                <w:bCs/>
                <w:sz w:val="19"/>
                <w:szCs w:val="19"/>
              </w:rPr>
              <w:t xml:space="preserve">148.60</w:t>
            </w:r>
          </w:p>
        </w:tc>
      </w:tr>
    </w:tbl>
    <w:p>
      <w:pPr>
        <w:pStyle w:val="Heading1"/>
        <w:pageBreakBefore/>
      </w:pPr>
      <w:r>
        <w:t xml:space="preserve">ANNEXURE D — APPLICABLE CODES, STANDARDS AND LAWS (AS AT BASE DATE)</w:t>
      </w:r>
    </w:p>
    <w:p>
      <w:pPr>
        <w:spacing w:after="120" w:line="276"/>
        <w:jc w:val="both"/>
      </w:pPr>
      <w:r>
        <w:t xml:space="preserve">The following are applicable as at the Base Date, together with any amendment, re-enactment or replacement, subject to Clause 15.</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2600"/>
        <w:gridCol w:w="6806"/>
      </w:tblGrid>
      <w:tr>
        <w:trPr>
          <w:cantSplit/>
          <w:tblHeader/>
        </w:trPr>
        <w:tc>
          <w:tcPr>
            <w:tcW w:type="dxa" w:w="2600"/>
            <w:shd w:fill="D9E2F3" w:color="auto" w:val="clear"/>
            <w:tcMar>
              <w:top w:type="dxa" w:w="70"/>
              <w:left w:type="dxa" w:w="110"/>
              <w:bottom w:type="dxa" w:w="70"/>
              <w:right w:type="dxa" w:w="110"/>
            </w:tcMar>
            <w:vAlign w:val="center"/>
          </w:tcPr>
          <w:p>
            <w:pPr>
              <w:spacing w:after="40"/>
              <w:jc w:val="left"/>
            </w:pPr>
            <w:r>
              <w:rPr>
                <w:b/>
                <w:bCs/>
                <w:color w:val="1F3864"/>
                <w:sz w:val="19"/>
                <w:szCs w:val="19"/>
              </w:rPr>
              <w:t xml:space="preserve">Category</w:t>
            </w:r>
          </w:p>
        </w:tc>
        <w:tc>
          <w:tcPr>
            <w:tcW w:type="dxa" w:w="6806"/>
            <w:shd w:fill="D9E2F3" w:color="auto" w:val="clear"/>
            <w:tcMar>
              <w:top w:type="dxa" w:w="70"/>
              <w:left w:type="dxa" w:w="110"/>
              <w:bottom w:type="dxa" w:w="70"/>
              <w:right w:type="dxa" w:w="110"/>
            </w:tcMar>
            <w:vAlign w:val="center"/>
          </w:tcPr>
          <w:p>
            <w:pPr>
              <w:spacing w:after="40"/>
              <w:jc w:val="left"/>
            </w:pPr>
            <w:r>
              <w:rPr>
                <w:b/>
                <w:bCs/>
                <w:color w:val="1F3864"/>
                <w:sz w:val="19"/>
                <w:szCs w:val="19"/>
              </w:rPr>
              <w:t xml:space="preserve">Reference</w:t>
            </w:r>
          </w:p>
        </w:tc>
      </w:tr>
      <w:tr>
        <w:trPr>
          <w:cantSplit/>
          <w:tblHeader w:val="false"/>
        </w:trPr>
        <w:tc>
          <w:tcPr>
            <w:tcW w:type="dxa" w:w="2600"/>
            <w:tcMar>
              <w:top w:type="dxa" w:w="70"/>
              <w:left w:type="dxa" w:w="110"/>
              <w:bottom w:type="dxa" w:w="70"/>
              <w:right w:type="dxa" w:w="110"/>
            </w:tcMar>
            <w:vAlign w:val="center"/>
          </w:tcPr>
          <w:p>
            <w:pPr>
              <w:spacing w:after="40"/>
              <w:jc w:val="left"/>
            </w:pPr>
            <w:r>
              <w:rPr>
                <w:b w:val="false"/>
                <w:bCs w:val="false"/>
                <w:sz w:val="19"/>
                <w:szCs w:val="19"/>
              </w:rPr>
              <w:t xml:space="preserve">Structural design and loads</w:t>
            </w:r>
          </w:p>
        </w:tc>
        <w:tc>
          <w:tcPr>
            <w:tcW w:type="dxa" w:w="6806"/>
            <w:tcMar>
              <w:top w:type="dxa" w:w="70"/>
              <w:left w:type="dxa" w:w="110"/>
              <w:bottom w:type="dxa" w:w="70"/>
              <w:right w:type="dxa" w:w="110"/>
            </w:tcMar>
            <w:vAlign w:val="center"/>
          </w:tcPr>
          <w:p>
            <w:pPr>
              <w:spacing w:after="40"/>
              <w:jc w:val="left"/>
            </w:pPr>
            <w:r>
              <w:rPr>
                <w:b w:val="false"/>
                <w:bCs w:val="false"/>
                <w:sz w:val="19"/>
                <w:szCs w:val="19"/>
              </w:rPr>
              <w:t xml:space="preserve">IS 456: 2000 – Plain and reinforced concrete</w:t>
            </w:r>
          </w:p>
          <w:p>
            <w:pPr>
              <w:spacing w:after="40"/>
              <w:jc w:val="left"/>
            </w:pPr>
            <w:r>
              <w:rPr>
                <w:b w:val="false"/>
                <w:bCs w:val="false"/>
                <w:sz w:val="19"/>
                <w:szCs w:val="19"/>
              </w:rPr>
              <w:t xml:space="preserve">IS 875 (Parts 1–5) – Design loads</w:t>
            </w:r>
          </w:p>
          <w:p>
            <w:pPr>
              <w:spacing w:after="40"/>
              <w:jc w:val="left"/>
            </w:pPr>
            <w:r>
              <w:rPr>
                <w:b w:val="false"/>
                <w:bCs w:val="false"/>
                <w:sz w:val="19"/>
                <w:szCs w:val="19"/>
              </w:rPr>
              <w:t xml:space="preserve">IS 1893 (Part 1): 2016 – Earthquake-resistant design</w:t>
            </w:r>
          </w:p>
          <w:p>
            <w:pPr>
              <w:spacing w:after="40"/>
              <w:jc w:val="left"/>
            </w:pPr>
            <w:r>
              <w:rPr>
                <w:b w:val="false"/>
                <w:bCs w:val="false"/>
                <w:sz w:val="19"/>
                <w:szCs w:val="19"/>
              </w:rPr>
              <w:t xml:space="preserve">IS 13920: 2016 – Ductile detailing</w:t>
            </w:r>
          </w:p>
          <w:p>
            <w:pPr>
              <w:spacing w:after="40"/>
              <w:jc w:val="left"/>
            </w:pPr>
            <w:r>
              <w:rPr>
                <w:b w:val="false"/>
                <w:bCs w:val="false"/>
                <w:sz w:val="19"/>
                <w:szCs w:val="19"/>
              </w:rPr>
              <w:t xml:space="preserve">IS 1343: 2012 – Prestressed concrete</w:t>
            </w:r>
          </w:p>
          <w:p>
            <w:pPr>
              <w:spacing w:after="40"/>
              <w:jc w:val="left"/>
            </w:pPr>
            <w:r>
              <w:rPr>
                <w:b w:val="false"/>
                <w:bCs w:val="false"/>
                <w:sz w:val="19"/>
                <w:szCs w:val="19"/>
              </w:rPr>
              <w:t xml:space="preserve">IS 800: 2007 – General construction in steel</w:t>
            </w:r>
          </w:p>
        </w:tc>
      </w:tr>
      <w:tr>
        <w:trPr>
          <w:cantSplit/>
          <w:tblHeader w:val="false"/>
        </w:trPr>
        <w:tc>
          <w:tcPr>
            <w:tcW w:type="dxa" w:w="2600"/>
            <w:tcMar>
              <w:top w:type="dxa" w:w="70"/>
              <w:left w:type="dxa" w:w="110"/>
              <w:bottom w:type="dxa" w:w="70"/>
              <w:right w:type="dxa" w:w="110"/>
            </w:tcMar>
            <w:vAlign w:val="center"/>
          </w:tcPr>
          <w:p>
            <w:pPr>
              <w:spacing w:after="40"/>
              <w:jc w:val="left"/>
            </w:pPr>
            <w:r>
              <w:rPr>
                <w:b w:val="false"/>
                <w:bCs w:val="false"/>
                <w:sz w:val="19"/>
                <w:szCs w:val="19"/>
              </w:rPr>
              <w:t xml:space="preserve">Foundations and piling</w:t>
            </w:r>
          </w:p>
        </w:tc>
        <w:tc>
          <w:tcPr>
            <w:tcW w:type="dxa" w:w="6806"/>
            <w:tcMar>
              <w:top w:type="dxa" w:w="70"/>
              <w:left w:type="dxa" w:w="110"/>
              <w:bottom w:type="dxa" w:w="70"/>
              <w:right w:type="dxa" w:w="110"/>
            </w:tcMar>
            <w:vAlign w:val="center"/>
          </w:tcPr>
          <w:p>
            <w:pPr>
              <w:spacing w:after="40"/>
              <w:jc w:val="left"/>
            </w:pPr>
            <w:r>
              <w:rPr>
                <w:b w:val="false"/>
                <w:bCs w:val="false"/>
                <w:sz w:val="19"/>
                <w:szCs w:val="19"/>
              </w:rPr>
              <w:t xml:space="preserve">IS 2911 (Part 1/Section 2): 2010 – Bored cast-in-situ piles</w:t>
            </w:r>
          </w:p>
          <w:p>
            <w:pPr>
              <w:spacing w:after="40"/>
              <w:jc w:val="left"/>
            </w:pPr>
            <w:r>
              <w:rPr>
                <w:b w:val="false"/>
                <w:bCs w:val="false"/>
                <w:sz w:val="19"/>
                <w:szCs w:val="19"/>
              </w:rPr>
              <w:t xml:space="preserve">IS 2911 (Part 4): 2013 – Load test on piles</w:t>
            </w:r>
          </w:p>
        </w:tc>
      </w:tr>
      <w:tr>
        <w:trPr>
          <w:cantSplit/>
          <w:tblHeader w:val="false"/>
        </w:trPr>
        <w:tc>
          <w:tcPr>
            <w:tcW w:type="dxa" w:w="2600"/>
            <w:tcMar>
              <w:top w:type="dxa" w:w="70"/>
              <w:left w:type="dxa" w:w="110"/>
              <w:bottom w:type="dxa" w:w="70"/>
              <w:right w:type="dxa" w:w="110"/>
            </w:tcMar>
            <w:vAlign w:val="center"/>
          </w:tcPr>
          <w:p>
            <w:pPr>
              <w:spacing w:after="40"/>
              <w:jc w:val="left"/>
            </w:pPr>
            <w:r>
              <w:rPr>
                <w:b w:val="false"/>
                <w:bCs w:val="false"/>
                <w:sz w:val="19"/>
                <w:szCs w:val="19"/>
              </w:rPr>
              <w:t xml:space="preserve">Materials</w:t>
            </w:r>
          </w:p>
        </w:tc>
        <w:tc>
          <w:tcPr>
            <w:tcW w:type="dxa" w:w="6806"/>
            <w:tcMar>
              <w:top w:type="dxa" w:w="70"/>
              <w:left w:type="dxa" w:w="110"/>
              <w:bottom w:type="dxa" w:w="70"/>
              <w:right w:type="dxa" w:w="110"/>
            </w:tcMar>
            <w:vAlign w:val="center"/>
          </w:tcPr>
          <w:p>
            <w:pPr>
              <w:spacing w:after="40"/>
              <w:jc w:val="left"/>
            </w:pPr>
            <w:r>
              <w:rPr>
                <w:b w:val="false"/>
                <w:bCs w:val="false"/>
                <w:sz w:val="19"/>
                <w:szCs w:val="19"/>
              </w:rPr>
              <w:t xml:space="preserve">IS 1786: 2008 – High-strength deformed steel bars</w:t>
            </w:r>
          </w:p>
          <w:p>
            <w:pPr>
              <w:spacing w:after="40"/>
              <w:jc w:val="left"/>
            </w:pPr>
            <w:r>
              <w:rPr>
                <w:b w:val="false"/>
                <w:bCs w:val="false"/>
                <w:sz w:val="19"/>
                <w:szCs w:val="19"/>
              </w:rPr>
              <w:t xml:space="preserve">IS 269: 2015 – Ordinary Portland cement</w:t>
            </w:r>
          </w:p>
          <w:p>
            <w:pPr>
              <w:spacing w:after="40"/>
              <w:jc w:val="left"/>
            </w:pPr>
            <w:r>
              <w:rPr>
                <w:b w:val="false"/>
                <w:bCs w:val="false"/>
                <w:sz w:val="19"/>
                <w:szCs w:val="19"/>
              </w:rPr>
              <w:t xml:space="preserve">IS 383: 2016 – Aggregates for concrete</w:t>
            </w:r>
          </w:p>
          <w:p>
            <w:pPr>
              <w:spacing w:after="40"/>
              <w:jc w:val="left"/>
            </w:pPr>
            <w:r>
              <w:rPr>
                <w:b w:val="false"/>
                <w:bCs w:val="false"/>
                <w:sz w:val="19"/>
                <w:szCs w:val="19"/>
              </w:rPr>
              <w:t xml:space="preserve">IS 10262: 2019 – Concrete mix proportioning</w:t>
            </w:r>
          </w:p>
          <w:p>
            <w:pPr>
              <w:spacing w:after="40"/>
              <w:jc w:val="left"/>
            </w:pPr>
            <w:r>
              <w:rPr>
                <w:b w:val="false"/>
                <w:bCs w:val="false"/>
                <w:sz w:val="19"/>
                <w:szCs w:val="19"/>
              </w:rPr>
              <w:t xml:space="preserve">IS 14268 – Uncoated stress-relieved low-relaxation strands</w:t>
            </w:r>
          </w:p>
        </w:tc>
      </w:tr>
      <w:tr>
        <w:trPr>
          <w:cantSplit/>
          <w:tblHeader w:val="false"/>
        </w:trPr>
        <w:tc>
          <w:tcPr>
            <w:tcW w:type="dxa" w:w="2600"/>
            <w:tcMar>
              <w:top w:type="dxa" w:w="70"/>
              <w:left w:type="dxa" w:w="110"/>
              <w:bottom w:type="dxa" w:w="70"/>
              <w:right w:type="dxa" w:w="110"/>
            </w:tcMar>
            <w:vAlign w:val="center"/>
          </w:tcPr>
          <w:p>
            <w:pPr>
              <w:spacing w:after="40"/>
              <w:jc w:val="left"/>
            </w:pPr>
            <w:r>
              <w:rPr>
                <w:b w:val="false"/>
                <w:bCs w:val="false"/>
                <w:sz w:val="19"/>
                <w:szCs w:val="19"/>
              </w:rPr>
              <w:t xml:space="preserve">Building and fire</w:t>
            </w:r>
          </w:p>
        </w:tc>
        <w:tc>
          <w:tcPr>
            <w:tcW w:type="dxa" w:w="6806"/>
            <w:tcMar>
              <w:top w:type="dxa" w:w="70"/>
              <w:left w:type="dxa" w:w="110"/>
              <w:bottom w:type="dxa" w:w="70"/>
              <w:right w:type="dxa" w:w="110"/>
            </w:tcMar>
            <w:vAlign w:val="center"/>
          </w:tcPr>
          <w:p>
            <w:pPr>
              <w:spacing w:after="40"/>
              <w:jc w:val="left"/>
            </w:pPr>
            <w:r>
              <w:rPr>
                <w:b w:val="false"/>
                <w:bCs w:val="false"/>
                <w:sz w:val="19"/>
                <w:szCs w:val="19"/>
              </w:rPr>
              <w:t xml:space="preserve">National Building Code of India 2016</w:t>
            </w:r>
          </w:p>
          <w:p>
            <w:pPr>
              <w:spacing w:after="40"/>
              <w:jc w:val="left"/>
            </w:pPr>
            <w:r>
              <w:rPr>
                <w:b w:val="false"/>
                <w:bCs w:val="false"/>
                <w:sz w:val="19"/>
                <w:szCs w:val="19"/>
              </w:rPr>
              <w:t xml:space="preserve">Maharashtra Fire Prevention and Life Safety Measures Act, 2006</w:t>
            </w:r>
          </w:p>
          <w:p>
            <w:pPr>
              <w:spacing w:after="40"/>
              <w:jc w:val="left"/>
            </w:pPr>
            <w:r>
              <w:rPr>
                <w:b w:val="false"/>
                <w:bCs w:val="false"/>
                <w:sz w:val="19"/>
                <w:szCs w:val="19"/>
              </w:rPr>
              <w:t xml:space="preserve">MIDC Development Control Regulations as applicable to the Site</w:t>
            </w:r>
          </w:p>
          <w:p>
            <w:pPr>
              <w:spacing w:after="40"/>
              <w:jc w:val="left"/>
            </w:pPr>
            <w:r>
              <w:rPr>
                <w:b w:val="false"/>
                <w:bCs w:val="false"/>
                <w:sz w:val="19"/>
                <w:szCs w:val="19"/>
              </w:rPr>
              <w:t xml:space="preserve">Unified Development Control and Promotion Regulations for Maharashtra State, 2020 (where applicable)</w:t>
            </w:r>
          </w:p>
        </w:tc>
      </w:tr>
      <w:tr>
        <w:trPr>
          <w:cantSplit/>
          <w:tblHeader w:val="false"/>
        </w:trPr>
        <w:tc>
          <w:tcPr>
            <w:tcW w:type="dxa" w:w="2600"/>
            <w:tcMar>
              <w:top w:type="dxa" w:w="70"/>
              <w:left w:type="dxa" w:w="110"/>
              <w:bottom w:type="dxa" w:w="70"/>
              <w:right w:type="dxa" w:w="110"/>
            </w:tcMar>
            <w:vAlign w:val="center"/>
          </w:tcPr>
          <w:p>
            <w:pPr>
              <w:spacing w:after="40"/>
              <w:jc w:val="left"/>
            </w:pPr>
            <w:r>
              <w:rPr>
                <w:b w:val="false"/>
                <w:bCs w:val="false"/>
                <w:sz w:val="19"/>
                <w:szCs w:val="19"/>
              </w:rPr>
              <w:t xml:space="preserve">Labour and safety</w:t>
            </w:r>
          </w:p>
        </w:tc>
        <w:tc>
          <w:tcPr>
            <w:tcW w:type="dxa" w:w="6806"/>
            <w:tcMar>
              <w:top w:type="dxa" w:w="70"/>
              <w:left w:type="dxa" w:w="110"/>
              <w:bottom w:type="dxa" w:w="70"/>
              <w:right w:type="dxa" w:w="110"/>
            </w:tcMar>
            <w:vAlign w:val="center"/>
          </w:tcPr>
          <w:p>
            <w:pPr>
              <w:spacing w:after="40"/>
              <w:jc w:val="left"/>
            </w:pPr>
            <w:r>
              <w:rPr>
                <w:b w:val="false"/>
                <w:bCs w:val="false"/>
                <w:sz w:val="19"/>
                <w:szCs w:val="19"/>
              </w:rPr>
              <w:t xml:space="preserve">Building and Other Construction Workers (Regulation of Employment and Conditions of Service) Act, 1996</w:t>
            </w:r>
          </w:p>
          <w:p>
            <w:pPr>
              <w:spacing w:after="40"/>
              <w:jc w:val="left"/>
            </w:pPr>
            <w:r>
              <w:rPr>
                <w:b w:val="false"/>
                <w:bCs w:val="false"/>
                <w:sz w:val="19"/>
                <w:szCs w:val="19"/>
              </w:rPr>
              <w:t xml:space="preserve">Building and Other Construction Workers' Welfare Cess Act, 1996</w:t>
            </w:r>
          </w:p>
          <w:p>
            <w:pPr>
              <w:spacing w:after="40"/>
              <w:jc w:val="left"/>
            </w:pPr>
            <w:r>
              <w:rPr>
                <w:b w:val="false"/>
                <w:bCs w:val="false"/>
                <w:sz w:val="19"/>
                <w:szCs w:val="19"/>
              </w:rPr>
              <w:t xml:space="preserve">Contract Labour (Regulation and Abolition) Act, 1970</w:t>
            </w:r>
          </w:p>
          <w:p>
            <w:pPr>
              <w:spacing w:after="40"/>
              <w:jc w:val="left"/>
            </w:pPr>
            <w:r>
              <w:rPr>
                <w:b w:val="false"/>
                <w:bCs w:val="false"/>
                <w:sz w:val="19"/>
                <w:szCs w:val="19"/>
              </w:rPr>
              <w:t xml:space="preserve">Employees' Compensation Act, 1923</w:t>
            </w:r>
          </w:p>
          <w:p>
            <w:pPr>
              <w:spacing w:after="40"/>
              <w:jc w:val="left"/>
            </w:pPr>
            <w:r>
              <w:rPr>
                <w:b w:val="false"/>
                <w:bCs w:val="false"/>
                <w:sz w:val="19"/>
                <w:szCs w:val="19"/>
              </w:rPr>
              <w:t xml:space="preserve">Minimum Wages Act, 1948</w:t>
            </w:r>
          </w:p>
        </w:tc>
      </w:tr>
      <w:tr>
        <w:trPr>
          <w:cantSplit/>
          <w:tblHeader w:val="false"/>
        </w:trPr>
        <w:tc>
          <w:tcPr>
            <w:tcW w:type="dxa" w:w="2600"/>
            <w:tcMar>
              <w:top w:type="dxa" w:w="70"/>
              <w:left w:type="dxa" w:w="110"/>
              <w:bottom w:type="dxa" w:w="70"/>
              <w:right w:type="dxa" w:w="110"/>
            </w:tcMar>
            <w:vAlign w:val="center"/>
          </w:tcPr>
          <w:p>
            <w:pPr>
              <w:spacing w:after="40"/>
              <w:jc w:val="left"/>
            </w:pPr>
            <w:r>
              <w:rPr>
                <w:b w:val="false"/>
                <w:bCs w:val="false"/>
                <w:sz w:val="19"/>
                <w:szCs w:val="19"/>
              </w:rPr>
              <w:t xml:space="preserve">Environment</w:t>
            </w:r>
          </w:p>
        </w:tc>
        <w:tc>
          <w:tcPr>
            <w:tcW w:type="dxa" w:w="6806"/>
            <w:tcMar>
              <w:top w:type="dxa" w:w="70"/>
              <w:left w:type="dxa" w:w="110"/>
              <w:bottom w:type="dxa" w:w="70"/>
              <w:right w:type="dxa" w:w="110"/>
            </w:tcMar>
            <w:vAlign w:val="center"/>
          </w:tcPr>
          <w:p>
            <w:pPr>
              <w:spacing w:after="40"/>
              <w:jc w:val="left"/>
            </w:pPr>
            <w:r>
              <w:rPr>
                <w:b w:val="false"/>
                <w:bCs w:val="false"/>
                <w:sz w:val="19"/>
                <w:szCs w:val="19"/>
              </w:rPr>
              <w:t xml:space="preserve">Environment (Protection) Act, 1986</w:t>
            </w:r>
          </w:p>
          <w:p>
            <w:pPr>
              <w:spacing w:after="40"/>
              <w:jc w:val="left"/>
            </w:pPr>
            <w:r>
              <w:rPr>
                <w:b w:val="false"/>
                <w:bCs w:val="false"/>
                <w:sz w:val="19"/>
                <w:szCs w:val="19"/>
              </w:rPr>
              <w:t xml:space="preserve">Construction and Demolition Waste Management Rules, 2016</w:t>
            </w:r>
          </w:p>
          <w:p>
            <w:pPr>
              <w:spacing w:after="40"/>
              <w:jc w:val="left"/>
            </w:pPr>
            <w:r>
              <w:rPr>
                <w:b w:val="false"/>
                <w:bCs w:val="false"/>
                <w:sz w:val="19"/>
                <w:szCs w:val="19"/>
              </w:rPr>
              <w:t xml:space="preserve">Maharashtra Pollution Control Board consent conditions</w:t>
            </w:r>
          </w:p>
          <w:p>
            <w:pPr>
              <w:spacing w:after="40"/>
              <w:jc w:val="left"/>
            </w:pPr>
            <w:r>
              <w:rPr>
                <w:b w:val="false"/>
                <w:bCs w:val="false"/>
                <w:sz w:val="19"/>
                <w:szCs w:val="19"/>
              </w:rPr>
              <w:t xml:space="preserve">Central Ground Water Authority guidelines for dewatering</w:t>
            </w:r>
          </w:p>
        </w:tc>
      </w:tr>
      <w:tr>
        <w:trPr>
          <w:cantSplit/>
          <w:tblHeader w:val="false"/>
        </w:trPr>
        <w:tc>
          <w:tcPr>
            <w:tcW w:type="dxa" w:w="2600"/>
            <w:tcMar>
              <w:top w:type="dxa" w:w="70"/>
              <w:left w:type="dxa" w:w="110"/>
              <w:bottom w:type="dxa" w:w="70"/>
              <w:right w:type="dxa" w:w="110"/>
            </w:tcMar>
            <w:vAlign w:val="center"/>
          </w:tcPr>
          <w:p>
            <w:pPr>
              <w:spacing w:after="40"/>
              <w:jc w:val="left"/>
            </w:pPr>
            <w:r>
              <w:rPr>
                <w:b w:val="false"/>
                <w:bCs w:val="false"/>
                <w:sz w:val="19"/>
                <w:szCs w:val="19"/>
              </w:rPr>
              <w:t xml:space="preserve">Tax</w:t>
            </w:r>
          </w:p>
        </w:tc>
        <w:tc>
          <w:tcPr>
            <w:tcW w:type="dxa" w:w="6806"/>
            <w:tcMar>
              <w:top w:type="dxa" w:w="70"/>
              <w:left w:type="dxa" w:w="110"/>
              <w:bottom w:type="dxa" w:w="70"/>
              <w:right w:type="dxa" w:w="110"/>
            </w:tcMar>
            <w:vAlign w:val="center"/>
          </w:tcPr>
          <w:p>
            <w:pPr>
              <w:spacing w:after="40"/>
              <w:jc w:val="left"/>
            </w:pPr>
            <w:r>
              <w:rPr>
                <w:b w:val="false"/>
                <w:bCs w:val="false"/>
                <w:sz w:val="19"/>
                <w:szCs w:val="19"/>
              </w:rPr>
              <w:t xml:space="preserve">Central Goods and Services Tax Act, 2017 and Maharashtra Goods and Services Tax Act, 2017</w:t>
            </w:r>
          </w:p>
          <w:p>
            <w:pPr>
              <w:spacing w:after="40"/>
              <w:jc w:val="left"/>
            </w:pPr>
            <w:r>
              <w:rPr>
                <w:b w:val="false"/>
                <w:bCs w:val="false"/>
                <w:sz w:val="19"/>
                <w:szCs w:val="19"/>
              </w:rPr>
              <w:t xml:space="preserve">Income-tax law (tax deducted at source)</w:t>
            </w:r>
          </w:p>
        </w:tc>
      </w:tr>
      <w:tr>
        <w:trPr>
          <w:cantSplit/>
          <w:tblHeader w:val="false"/>
        </w:trPr>
        <w:tc>
          <w:tcPr>
            <w:tcW w:type="dxa" w:w="2600"/>
            <w:tcMar>
              <w:top w:type="dxa" w:w="70"/>
              <w:left w:type="dxa" w:w="110"/>
              <w:bottom w:type="dxa" w:w="70"/>
              <w:right w:type="dxa" w:w="110"/>
            </w:tcMar>
            <w:vAlign w:val="center"/>
          </w:tcPr>
          <w:p>
            <w:pPr>
              <w:spacing w:after="40"/>
              <w:jc w:val="left"/>
            </w:pPr>
            <w:r>
              <w:rPr>
                <w:b w:val="false"/>
                <w:bCs w:val="false"/>
                <w:sz w:val="19"/>
                <w:szCs w:val="19"/>
              </w:rPr>
              <w:t xml:space="preserve">Industry practice</w:t>
            </w:r>
          </w:p>
        </w:tc>
        <w:tc>
          <w:tcPr>
            <w:tcW w:type="dxa" w:w="6806"/>
            <w:tcMar>
              <w:top w:type="dxa" w:w="70"/>
              <w:left w:type="dxa" w:w="110"/>
              <w:bottom w:type="dxa" w:w="70"/>
              <w:right w:type="dxa" w:w="110"/>
            </w:tcMar>
            <w:vAlign w:val="center"/>
          </w:tcPr>
          <w:p>
            <w:pPr>
              <w:spacing w:after="40"/>
              <w:jc w:val="left"/>
            </w:pPr>
            <w:r>
              <w:rPr>
                <w:b w:val="false"/>
                <w:bCs w:val="false"/>
                <w:sz w:val="19"/>
                <w:szCs w:val="19"/>
              </w:rPr>
              <w:t xml:space="preserve">Concrete Society Technical Report 34 (4th Edition) – Concrete industrial ground floors</w:t>
            </w:r>
          </w:p>
        </w:tc>
      </w:tr>
    </w:tbl>
    <w:p>
      <w:pPr>
        <w:spacing w:after="240"/>
      </w:pPr>
    </w:p>
    <w:p>
      <w:pPr>
        <w:spacing w:after="120" w:line="276"/>
        <w:jc w:val="center"/>
      </w:pPr>
      <w:r>
        <w:t xml:space="preserve">— End of document —</w:t>
      </w:r>
    </w:p>
    <w:sectPr>
      <w:headerReference w:type="default" r:id="rId7"/>
      <w:footerReference w:type="default" r:id="rId8"/>
      <w:pgSz w:w="11906" w:h="16838" w:orient="portrait"/>
      <w:pgMar w:top="1300" w:right="1250" w:bottom="1200" w:left="125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080"/>
        <w:sz w:val="16"/>
        <w:szCs w:val="16"/>
      </w:rPr>
      <w:t xml:space="preserve">Contract No. BPC/CHK/PB/2026/014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B42318"/>
        <w:sz w:val="16"/>
        <w:szCs w:val="16"/>
      </w:rPr>
      <w:t xml:space="preserve">FOR TRAINING USE ONLY — FICTITIOUS</w:t>
    </w:r>
    <w:r>
      <w:rPr>
        <w:color w:val="6B7080"/>
        <w:sz w:val="16"/>
        <w:szCs w:val="16"/>
      </w:rPr>
      <w:t xml:space="preserve">   |   Process Building, Chakan Phase II — Civil, Structural and Building Works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B4C6E7" w:sz="6" w:space="3"/>
      </w:pBdr>
      <w:spacing w:after="140" w:before="300"/>
      <w:outlineLvl w:val="0"/>
    </w:pPr>
    <w:rPr>
      <w:rFonts w:ascii="Arial" w:cs="Arial" w:eastAsia="Arial" w:hAnsi="Arial"/>
      <w:b/>
      <w:bCs/>
      <w:color w:val="1F3864"/>
      <w:sz w:val="22"/>
      <w:szCs w:val="22"/>
    </w:rPr>
  </w:style>
  <w:style w:type="paragraph" w:styleId="Heading2">
    <w:name w:val="Heading 2"/>
    <w:basedOn w:val="Normal"/>
    <w:next w:val="Normal"/>
    <w:qFormat/>
    <w:pPr>
      <w:keepNext/>
      <w:spacing w:after="100" w:before="200"/>
      <w:outlineLvl w:val="1"/>
    </w:pPr>
    <w:rPr>
      <w:rFonts w:ascii="Arial" w:cs="Arial" w:eastAsia="Arial" w:hAnsi="Arial"/>
      <w:b/>
      <w:bCs/>
      <w:color w:val="1F3864"/>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Fictitious Contract – Process Building (Training Use Only)</dc:title>
  <dc:creator>AI training – fictitious</dc:creator>
  <cp:lastModifiedBy>Un-named</cp:lastModifiedBy>
  <cp:revision>1</cp:revision>
  <dcterms:created xsi:type="dcterms:W3CDTF">2026-09-27T07:19:29.265Z</dcterms:created>
  <dcterms:modified xsi:type="dcterms:W3CDTF">2026-09-27T07:19:29.266Z</dcterms:modified>
</cp:coreProperties>
</file>

<file path=docProps/custom.xml><?xml version="1.0" encoding="utf-8"?>
<Properties xmlns="http://schemas.openxmlformats.org/officeDocument/2006/custom-properties" xmlns:vt="http://schemas.openxmlformats.org/officeDocument/2006/docPropsVTypes"/>
</file>