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629B"/>
          <w:sz w:val="17"/>
        </w:rPr>
        <w:t>RESEARCH ARTICLE — MULTIMEDIA SIGNAL PROCESSING AND IMAGE ENHANCEMENT</w:t>
      </w:r>
    </w:p>
    <w:p>
      <w:pPr>
        <w:spacing w:before="120" w:after="240"/>
      </w:pPr>
      <w:r>
        <w:rPr>
          <w:rFonts w:ascii="Arial" w:hAnsi="Arial"/>
          <w:b/>
          <w:color w:val="142850"/>
          <w:sz w:val="36"/>
        </w:rPr>
        <w:t>NeuroClean: High-Fidelity Smartphone Image Denoising via Hybrid U-Net–DnCNN Dual-Stream Deep Learning and Overlapping Hann-Window Tiling</w:t>
      </w:r>
    </w:p>
    <w:p>
      <w:pPr>
        <w:spacing w:after="80"/>
      </w:pPr>
      <w:r>
        <w:rPr>
          <w:rFonts w:ascii="Arial" w:hAnsi="Arial"/>
          <w:b/>
          <w:sz w:val="22"/>
        </w:rPr>
        <w:t>Majji Naveen</w:t>
      </w:r>
      <w:r>
        <w:rPr>
          <w:vertAlign w:val="superscript"/>
        </w:rPr>
        <w:t>1</w:t>
      </w:r>
      <w:r>
        <w:t xml:space="preserve">, </w:t>
      </w:r>
      <w:r>
        <w:rPr>
          <w:rFonts w:ascii="Arial" w:hAnsi="Arial"/>
          <w:b/>
          <w:sz w:val="22"/>
        </w:rPr>
        <w:t>Parri Hari Chandan</w:t>
      </w:r>
      <w:r>
        <w:rPr>
          <w:vertAlign w:val="superscript"/>
        </w:rPr>
        <w:t>1</w:t>
      </w:r>
      <w:r>
        <w:t xml:space="preserve">, </w:t>
      </w:r>
      <w:r>
        <w:rPr>
          <w:rFonts w:ascii="Arial" w:hAnsi="Arial"/>
          <w:b/>
          <w:sz w:val="22"/>
        </w:rPr>
        <w:t>M. Siva Charan Reddy</w:t>
      </w:r>
      <w:r>
        <w:rPr>
          <w:vertAlign w:val="superscript"/>
        </w:rPr>
        <w:t>1</w:t>
      </w:r>
      <w:r>
        <w:t xml:space="preserve">, and </w:t>
      </w:r>
      <w:r>
        <w:rPr>
          <w:rFonts w:ascii="Arial" w:hAnsi="Arial"/>
          <w:b/>
          <w:sz w:val="22"/>
        </w:rPr>
        <w:t>Jayalakshmi M</w:t>
      </w:r>
      <w:r>
        <w:rPr>
          <w:b/>
          <w:vertAlign w:val="superscript"/>
        </w:rPr>
        <w:t>1*</w:t>
      </w:r>
    </w:p>
    <w:p>
      <w:pPr>
        <w:spacing w:after="280"/>
      </w:pPr>
      <w:r>
        <w:rPr>
          <w:rFonts w:ascii="Calibri" w:hAnsi="Calibri"/>
          <w:color w:val="464646"/>
          <w:sz w:val="18"/>
        </w:rPr>
        <w:t>1 School of Computer Science and Engineering (SCOPE), Vellore Institute of Technology (VIT), Vellore, Tamil Nadu 632014, India</w:t>
        <w:br/>
        <w:t>Emails: majji.naveen2023@gmail.com (M. Naveen), harichandan.parri2023@vitstudent.ac.in (P. H. Chandan), mareddy.siva2023@vitstudent.ac.in (M. S. C. Reddy), m.jayalakshmi@vit.ac.in (J. M)</w:t>
        <w:br/>
        <w:t>*Corresponding Author: Jayalakshmi M (Associate Professor, SCOPE, VIT Vellore, Email: m.jayalakshmi@vit.ac.in)</w:t>
      </w:r>
    </w:p>
    <w:tbl>
      <w:tblPr>
        <w:tblW w:type="auto" w:w="0"/>
        <w:jc w:val="center"/>
        <w:tblLayout w:type="fixed"/>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jc w:val="both"/>
            </w:pPr>
            <w:r>
              <w:rPr>
                <w:rFonts w:ascii="Arial" w:hAnsi="Arial"/>
                <w:b/>
                <w:color w:val="00629B"/>
                <w:sz w:val="20"/>
              </w:rPr>
              <w:t xml:space="preserve">Abstract  </w:t>
            </w:r>
            <w:r>
              <w:rPr>
                <w:rFonts w:ascii="Times New Roman" w:hAnsi="Times New Roman"/>
                <w:sz w:val="20"/>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9"/>
              </w:rPr>
              <w:t xml:space="preserve">Keywords: </w:t>
            </w:r>
            <w:r>
              <w:rPr>
                <w:rFonts w:ascii="Times New Roman" w:hAnsi="Times New Roman"/>
                <w:sz w:val="19"/>
              </w:rPr>
              <w:t>Smartphone image denoising · Computational photography · Deep residual learning · U-Net · DnCNN · Hann-window tiling · Photon shot noise · Multimedia systems.</w:t>
            </w:r>
          </w:p>
        </w:tc>
      </w:tr>
    </w:tbl>
    <w:p>
      <w:pPr>
        <w:spacing w:after="160"/>
      </w:pPr>
    </w:p>
    <w:p>
      <w:pPr>
        <w:keepNext/>
        <w:spacing w:before="280" w:after="80"/>
      </w:pPr>
      <w:r>
        <w:rPr>
          <w:rFonts w:ascii="Arial" w:hAnsi="Arial"/>
          <w:b/>
          <w:color w:val="142850"/>
          <w:sz w:val="24"/>
        </w:rPr>
        <w:t>1 Introduction</w:t>
      </w:r>
    </w:p>
    <w:p>
      <w:pPr>
        <w:spacing w:after="80" w:line="276" w:lineRule="auto"/>
        <w:jc w:val="both"/>
      </w:pPr>
      <w:r>
        <w:rPr>
          <w:rFonts w:ascii="Times New Roman" w:hAnsi="Times New Roman"/>
          <w:sz w:val="21"/>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1"/>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1"/>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while leaving low-frequency chroma splotches intact.</w:t>
      </w:r>
    </w:p>
    <w:p>
      <w:pPr>
        <w:spacing w:after="80" w:line="276" w:lineRule="auto"/>
        <w:jc w:val="both"/>
      </w:pPr>
      <w:r>
        <w:rPr>
          <w:rFonts w:ascii="Times New Roman" w:hAnsi="Times New Roman"/>
          <w:sz w:val="21"/>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1"/>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color w:val="323232"/>
          <w:sz w:val="21"/>
        </w:rPr>
        <w:t>1.1 Research Contributions</w:t>
      </w:r>
    </w:p>
    <w:p>
      <w:pPr>
        <w:spacing w:after="80" w:line="276" w:lineRule="auto"/>
        <w:jc w:val="both"/>
      </w:pPr>
      <w:r>
        <w:rPr>
          <w:rFonts w:ascii="Times New Roman" w:hAnsi="Times New Roman"/>
          <w:sz w:val="21"/>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1"/>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1"/>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1"/>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1"/>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80" w:after="80"/>
      </w:pPr>
      <w:r>
        <w:rPr>
          <w:rFonts w:ascii="Arial" w:hAnsi="Arial"/>
          <w:b/>
          <w:color w:val="142850"/>
          <w:sz w:val="24"/>
        </w:rPr>
        <w:t>2 Related Work and Literature Review</w:t>
      </w:r>
    </w:p>
    <w:p>
      <w:pPr>
        <w:spacing w:after="80" w:line="276" w:lineRule="auto"/>
        <w:jc w:val="both"/>
      </w:pPr>
      <w:r>
        <w:rPr>
          <w:rFonts w:ascii="Times New Roman" w:hAnsi="Times New Roman"/>
          <w:sz w:val="21"/>
        </w:rPr>
        <w:t>2.1 Smartphone Image Noise Physics: Smartphone camera sensors operate with pixel pitches between 1.0 μm and 1.4 μm [2], [14]. Under low ambient illumination, quantum fluctuations in photon arrival rate follow a Poisson distribution: P(k; λ) = (λ^k e^(-λ)) / k! [4]. Combined with thermal agitation and amplifier readout fluctuations modeled as zero-mean Gaussian noise N(0, σ_r^2), the composite noise field v is heteroscedastic: Var(v | x) = αx + σ_r^2, where α scales with analog gain (ISO) [10]. Subsequent ISP demosaicing and tone mapping spatially correlate this noise across neighboring pixels [15].</w:t>
      </w:r>
    </w:p>
    <w:p>
      <w:pPr>
        <w:spacing w:after="80" w:line="276" w:lineRule="auto"/>
        <w:jc w:val="both"/>
      </w:pPr>
      <w:r>
        <w:rPr>
          <w:rFonts w:ascii="Times New Roman" w:hAnsi="Times New Roman"/>
          <w:sz w:val="21"/>
        </w:rPr>
        <w:t>2.2 Classical Spatial and Transform Filters: Bilateral Filtering [7] and Non-Local Means (NLM) [8] rely on spatial and radiometric similarity. BM3D [9] established the transform-domain standard via collaborative Wiener filtering. However, BM3D exhibits O(N^2) complexity and causes watercolor-like texture smudging on real smartphone noise [16].</w:t>
      </w:r>
    </w:p>
    <w:p>
      <w:pPr>
        <w:spacing w:after="80" w:line="276" w:lineRule="auto"/>
        <w:jc w:val="both"/>
      </w:pPr>
      <w:r>
        <w:rPr>
          <w:rFonts w:ascii="Times New Roman" w:hAnsi="Times New Roman"/>
          <w:sz w:val="21"/>
        </w:rPr>
        <w:t>2.3 Deep Residual Networks: DnCNN [11] introduced residual noise estimation L(Θ) = (1/2N) Σ || R(y_i; Θ) - (y_i - x_i) ||_F^2, accelerating convergence. However, its receptive field is strictly bounded by depth (21×21 pixels for 10 layers), rendering it incapable of resolving macro-scale color mottling.</w:t>
      </w:r>
    </w:p>
    <w:p>
      <w:pPr>
        <w:spacing w:after="80" w:line="276" w:lineRule="auto"/>
        <w:jc w:val="both"/>
      </w:pPr>
      <w:r>
        <w:rPr>
          <w:rFonts w:ascii="Times New Roman" w:hAnsi="Times New Roman"/>
          <w:sz w:val="21"/>
        </w:rPr>
        <w:t>2.4 Multi-Scale Contextual U-Net: U-Net [12] captures expansive global receptive fields through contracting pooling layers and expansive decoder paths with skip connections [19], [20]. However, spatial downsampling degrades fine photographic grain.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r>
              <w:rPr>
                <w:rFonts w:ascii="Arial" w:hAnsi="Arial"/>
                <w:b/>
                <w:color w:val="FFFFFF"/>
                <w:sz w:val="16"/>
              </w:rPr>
              <w:t>Model / Framework</w:t>
            </w:r>
          </w:p>
        </w:tc>
        <w:tc>
          <w:tcPr>
            <w:tcW w:type="dxa" w:w="1337"/>
            <w:shd w:fill="1E3A8A"/>
          </w:tcPr>
          <w:p>
            <w:r>
              <w:rPr>
                <w:rFonts w:ascii="Arial" w:hAnsi="Arial"/>
                <w:b/>
                <w:color w:val="FFFFFF"/>
                <w:sz w:val="16"/>
              </w:rPr>
              <w:t>Multi-Scale Context</w:t>
            </w:r>
          </w:p>
        </w:tc>
        <w:tc>
          <w:tcPr>
            <w:tcW w:type="dxa" w:w="1337"/>
            <w:shd w:fill="1E3A8A"/>
          </w:tcPr>
          <w:p>
            <w:r>
              <w:rPr>
                <w:rFonts w:ascii="Arial" w:hAnsi="Arial"/>
                <w:b/>
                <w:color w:val="FFFFFF"/>
                <w:sz w:val="16"/>
              </w:rPr>
              <w:t>Fine Grain Preserved</w:t>
            </w:r>
          </w:p>
        </w:tc>
        <w:tc>
          <w:tcPr>
            <w:tcW w:type="dxa" w:w="1337"/>
            <w:shd w:fill="1E3A8A"/>
          </w:tcPr>
          <w:p>
            <w:r>
              <w:rPr>
                <w:rFonts w:ascii="Arial" w:hAnsi="Arial"/>
                <w:b/>
                <w:color w:val="FFFFFF"/>
                <w:sz w:val="16"/>
              </w:rPr>
              <w:t>Deep Residual Subtraction</w:t>
            </w:r>
          </w:p>
        </w:tc>
        <w:tc>
          <w:tcPr>
            <w:tcW w:type="dxa" w:w="1337"/>
            <w:shd w:fill="1E3A8A"/>
          </w:tcPr>
          <w:p>
            <w:r>
              <w:rPr>
                <w:rFonts w:ascii="Arial" w:hAnsi="Arial"/>
                <w:b/>
                <w:color w:val="FFFFFF"/>
                <w:sz w:val="16"/>
              </w:rPr>
              <w:t>Arbitrary Res. Hann Tiling</w:t>
            </w:r>
          </w:p>
        </w:tc>
        <w:tc>
          <w:tcPr>
            <w:tcW w:type="dxa" w:w="1337"/>
            <w:shd w:fill="1E3A8A"/>
          </w:tcPr>
          <w:p>
            <w:r>
              <w:rPr>
                <w:rFonts w:ascii="Arial" w:hAnsi="Arial"/>
                <w:b/>
                <w:color w:val="FFFFFF"/>
                <w:sz w:val="16"/>
              </w:rPr>
              <w:t>Real Smartphone Noise Validated</w:t>
            </w:r>
          </w:p>
        </w:tc>
        <w:tc>
          <w:tcPr>
            <w:tcW w:type="dxa" w:w="1337"/>
            <w:shd w:fill="1E3A8A"/>
          </w:tcPr>
          <w:p>
            <w:r>
              <w:rPr>
                <w:rFonts w:ascii="Arial" w:hAnsi="Arial"/>
                <w:b/>
                <w:color w:val="FFFFFF"/>
                <w:sz w:val="16"/>
              </w:rPr>
              <w:t>Interactive Web Deployment</w:t>
            </w:r>
          </w:p>
        </w:tc>
      </w:tr>
      <w:tr>
        <w:tc>
          <w:tcPr>
            <w:tcW w:type="dxa" w:w="1337"/>
            <w:shd w:fill="FFFFFF"/>
          </w:tcPr>
          <w:p>
            <w:r>
              <w:rPr>
                <w:rFonts w:ascii="Arial" w:hAnsi="Arial"/>
                <w:sz w:val="16"/>
              </w:rPr>
              <w:t>BM3D (Dabov et al., 2007) [9]</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DnCNN (Zhang et al., 2017) [11]</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Standard U-Net (2015) [12]</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CBDNet (Guo et al., 2019) [18]</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RIDNet (Anwar et al., 2019) [25]</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Restormer (Zamir et al., 2022) [26]</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E0F2FE"/>
          </w:tcPr>
          <w:p>
            <w:r>
              <w:rPr>
                <w:rFonts w:ascii="Arial" w:hAnsi="Arial"/>
                <w:b/>
                <w:color w:val="0E7490"/>
                <w:sz w:val="16"/>
              </w:rPr>
              <w:t>NeuroClean (Proposed Framework)</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r>
    </w:tbl>
    <w:p>
      <w:pPr>
        <w:spacing w:after="160" w:line="276" w:lineRule="auto"/>
        <w:jc w:val="both"/>
      </w:pPr>
      <w:r>
        <w:rPr>
          <w:rFonts w:ascii="Times New Roman" w:hAnsi="Times New Roman"/>
          <w:sz w:val="21"/>
        </w:rPr>
        <w:t>Table 1. Architectural positioning of NeuroClean against existing image restoration frameworks (✓: fully addressed; ○: partially addressed; –: not addressed).</w:t>
      </w:r>
    </w:p>
    <w:p>
      <w:pPr>
        <w:keepNext/>
        <w:spacing w:before="280" w:after="80"/>
      </w:pPr>
      <w:r>
        <w:rPr>
          <w:rFonts w:ascii="Arial" w:hAnsi="Arial"/>
          <w:b/>
          <w:color w:val="142850"/>
          <w:sz w:val="24"/>
        </w:rPr>
        <w:t>3 Mathematical Formulation and Problem Definition</w:t>
      </w:r>
    </w:p>
    <w:p>
      <w:pPr>
        <w:spacing w:after="80" w:line="276" w:lineRule="auto"/>
        <w:jc w:val="both"/>
      </w:pPr>
      <w:r>
        <w:rPr>
          <w:rFonts w:ascii="Times New Roman" w:hAnsi="Times New Roman"/>
          <w:sz w:val="21"/>
        </w:rPr>
        <w:t>Let x ∈ R^{H×W×3} denote the latent noise-free RGB photograph. The degraded smartphone observation is modeled as: y = x + v, where v ∈ R^{H×W×3} represents the composite noise field comprising Poisson photon shot noise, amplifier read noise, and chromatic demosaicing artifacts.</w:t>
      </w:r>
    </w:p>
    <w:p>
      <w:pPr>
        <w:spacing w:after="80" w:line="276" w:lineRule="auto"/>
        <w:jc w:val="both"/>
      </w:pPr>
      <w:r>
        <w:rPr>
          <w:rFonts w:ascii="Times New Roman" w:hAnsi="Times New Roman"/>
          <w:sz w:val="21"/>
        </w:rPr>
        <w:t>Deep Residual Learning: In direct reconstruction, F_direct(y; Θ) ≈ x. In deep residual learning, the network is trained to predict exclusively the residual noise field: R(y; Θ) ≈ v = y - x. The clean estimate is recovered via residual subtraction: x̂ = clip( y - R(y; Θ), 0.0, 1.0 ).</w:t>
      </w:r>
    </w:p>
    <w:p>
      <w:pPr>
        <w:spacing w:after="80" w:line="276" w:lineRule="auto"/>
        <w:jc w:val="both"/>
      </w:pPr>
      <w:r>
        <w:rPr>
          <w:rFonts w:ascii="Times New Roman" w:hAnsi="Times New Roman"/>
          <w:sz w:val="21"/>
        </w:rPr>
        <w:t>Metrics: Peak Signal-to-Noise Ratio (PSNR) = 10 · log10( MAX_I^2 / MSE(x, x̂) ). Structural Similarity Index Measure (SSIM) = [(2μ_x μ_x̂ + C1)(2σ_xx̂ + C2)] / [(μ_x^2 + μ_x̂^2 + C1)(σ_x^2 + σ_x̂^2 + C2)]. Blind noise variance is computed using the high-frequency Immerkaer Laplacian operator [27]: σ̂ = sqrt(π / 2) · (1 / [6(H - 2)(W - 2)]) Σ |(y * K_lap)(i, j)|.</w:t>
      </w:r>
    </w:p>
    <w:p>
      <w:pPr>
        <w:keepNext/>
        <w:spacing w:before="280" w:after="80"/>
      </w:pPr>
      <w:r>
        <w:rPr>
          <w:rFonts w:ascii="Arial" w:hAnsi="Arial"/>
          <w:b/>
          <w:color w:val="142850"/>
          <w:sz w:val="24"/>
        </w:rPr>
        <w:t>4 Proposed Methodology and System Architecture</w:t>
      </w:r>
    </w:p>
    <w:p>
      <w:pPr>
        <w:spacing w:after="80" w:line="276" w:lineRule="auto"/>
        <w:jc w:val="both"/>
      </w:pPr>
      <w:r>
        <w:rPr>
          <w:rFonts w:ascii="Times New Roman" w:hAnsi="Times New Roman"/>
          <w:sz w:val="21"/>
        </w:rPr>
        <w:t>4.1 Dual-Stream Network: Combines Stream 1 (Contextual U-Net: 2 contracting encoder blocks with 32 and 64 filters, 128-channel bottleneck, expansive decoder with skip connections, outputting Φ_unet ∈ R^{B×H×W×32}) and Stream 2 (High-Frequency DnCNN: 10 non-pooling conv layers with Batch Normalization and ReLU, outputting Φ_dncnn ∈ R^{B×H×W×32}). Cross-stream concatenation Φ_concat = [Φ_unet || Φ_dncnn] is fused via a 1×1 convolution with Batch Normalization: Φ_fused = ReLU(BN(Conv1x1(Φ_concat))). A final 3×3 conv projects features to the 3-channel noise field R_hybrid(y), yielding x̂ = clip(y - R_hybrid(y), 0, 1).</w:t>
      </w:r>
    </w:p>
    <w:p>
      <w:pPr>
        <w:spacing w:after="80" w:line="276" w:lineRule="auto"/>
        <w:jc w:val="both"/>
      </w:pPr>
      <w:r>
        <w:rPr>
          <w:rFonts w:ascii="Times New Roman" w:hAnsi="Times New Roman"/>
          <w:sz w:val="21"/>
        </w:rPr>
        <w:t>4.2 2D Hann-Window Tiling Engine: To process arbitrary resolution images without GPU out-of-memory faults, the image is decomposed into 256×256 tiles with 50% overlap (stride 128). Each tile is multiplied by a 2D separable Hann cosine window W_hann = w_1d ⊗ w_1d, where w_1d[i] = 0.5(1 - cos(2π(i + 0.5)/T)). Because Hann windows under 50% overlap form an exact partition of unity (w[n] + w[n + T/2] = 1.0), the accumulated predictions reconstruct the full photograph without boundary stitching seams.</w:t>
      </w:r>
    </w:p>
    <w:p>
      <w:pPr>
        <w:spacing w:after="80" w:line="276" w:lineRule="auto"/>
        <w:jc w:val="both"/>
      </w:pPr>
      <w:r>
        <w:rPr>
          <w:rFonts w:ascii="Times New Roman" w:hAnsi="Times New Roman"/>
          <w:sz w:val="21"/>
        </w:rPr>
        <w:t>4.3 Full-Stack Web Application: Asynchronous FastAPI backend microservice with single-load model lifespan and EXIF orientation normalization, coupled with a React/Vite/Tailwind frontend with glassmorphism UI/UX, Dark/Light mode, before/after split sliders, and a Three.js 3D WebGL sensor visualizer.</w:t>
      </w:r>
    </w:p>
    <w:p>
      <w:pPr>
        <w:keepNext/>
        <w:spacing w:before="280" w:after="80"/>
      </w:pPr>
      <w:r>
        <w:rPr>
          <w:rFonts w:ascii="Arial" w:hAnsi="Arial"/>
          <w:b/>
          <w:color w:val="142850"/>
          <w:sz w:val="24"/>
        </w:rPr>
        <w:t>5 Experimental Setup and Dataset</w:t>
      </w:r>
    </w:p>
    <w:p>
      <w:pPr>
        <w:spacing w:after="80" w:line="276" w:lineRule="auto"/>
        <w:jc w:val="both"/>
      </w:pPr>
      <w:r>
        <w:rPr>
          <w:rFonts w:ascii="Times New Roman" w:hAnsi="Times New Roman"/>
          <w:sz w:val="21"/>
        </w:rPr>
        <w:t>The dataset comprises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1"/>
        </w:rPr>
        <w:t>Models were trained on 128×128 patches with 64-pixel stride using the Adam optimizer (initial learning rate η = 10^-3 with cosine decay schedule, batch size 32, MSE loss) for 50 epochs on an NVIDIA RTX 4090 GPU and Intel Core i9-13900K CPU.</w:t>
      </w:r>
    </w:p>
    <w:p>
      <w:pPr>
        <w:keepNext/>
        <w:spacing w:before="280" w:after="80"/>
      </w:pPr>
      <w:r>
        <w:rPr>
          <w:rFonts w:ascii="Arial" w:hAnsi="Arial"/>
          <w:b/>
          <w:color w:val="142850"/>
          <w:sz w:val="24"/>
        </w:rPr>
        <w:t>6 Results and Evaluation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Arial" w:hAnsi="Arial"/>
                <w:b/>
                <w:color w:val="FFFFFF"/>
                <w:sz w:val="17"/>
              </w:rPr>
              <w:t>Model Architecture</w:t>
            </w:r>
          </w:p>
        </w:tc>
        <w:tc>
          <w:tcPr>
            <w:tcW w:type="dxa" w:w="1560"/>
            <w:shd w:fill="1E3A8A"/>
          </w:tcPr>
          <w:p>
            <w:r>
              <w:rPr>
                <w:rFonts w:ascii="Arial" w:hAnsi="Arial"/>
                <w:b/>
                <w:color w:val="FFFFFF"/>
                <w:sz w:val="17"/>
              </w:rPr>
              <w:t>Parameters</w:t>
            </w:r>
          </w:p>
        </w:tc>
        <w:tc>
          <w:tcPr>
            <w:tcW w:type="dxa" w:w="1560"/>
            <w:shd w:fill="1E3A8A"/>
          </w:tcPr>
          <w:p>
            <w:r>
              <w:rPr>
                <w:rFonts w:ascii="Arial" w:hAnsi="Arial"/>
                <w:b/>
                <w:color w:val="FFFFFF"/>
                <w:sz w:val="17"/>
              </w:rPr>
              <w:t>Receptive Field</w:t>
            </w:r>
          </w:p>
        </w:tc>
        <w:tc>
          <w:tcPr>
            <w:tcW w:type="dxa" w:w="1560"/>
            <w:shd w:fill="1E3A8A"/>
          </w:tcPr>
          <w:p>
            <w:r>
              <w:rPr>
                <w:rFonts w:ascii="Arial" w:hAnsi="Arial"/>
                <w:b/>
                <w:color w:val="FFFFFF"/>
                <w:sz w:val="17"/>
              </w:rPr>
              <w:t>Mean PSNR (dB)</w:t>
            </w:r>
          </w:p>
        </w:tc>
        <w:tc>
          <w:tcPr>
            <w:tcW w:type="dxa" w:w="1560"/>
            <w:shd w:fill="1E3A8A"/>
          </w:tcPr>
          <w:p>
            <w:r>
              <w:rPr>
                <w:rFonts w:ascii="Arial" w:hAnsi="Arial"/>
                <w:b/>
                <w:color w:val="FFFFFF"/>
                <w:sz w:val="17"/>
              </w:rPr>
              <w:t>Mean SSIM</w:t>
            </w:r>
          </w:p>
        </w:tc>
        <w:tc>
          <w:tcPr>
            <w:tcW w:type="dxa" w:w="1560"/>
            <w:shd w:fill="1E3A8A"/>
          </w:tcPr>
          <w:p>
            <w:r>
              <w:rPr>
                <w:rFonts w:ascii="Arial" w:hAnsi="Arial"/>
                <w:b/>
                <w:color w:val="FFFFFF"/>
                <w:sz w:val="17"/>
              </w:rPr>
              <w:t>Latency (ms)</w:t>
            </w:r>
          </w:p>
        </w:tc>
      </w:tr>
      <w:tr>
        <w:tc>
          <w:tcPr>
            <w:tcW w:type="dxa" w:w="1560"/>
            <w:shd w:fill="FFFFFF"/>
          </w:tcPr>
          <w:p>
            <w:r>
              <w:rPr>
                <w:rFonts w:ascii="Arial" w:hAnsi="Arial"/>
                <w:sz w:val="17"/>
              </w:rPr>
              <w:t>Noisy Baseline Input</w:t>
            </w:r>
          </w:p>
        </w:tc>
        <w:tc>
          <w:tcPr>
            <w:tcW w:type="dxa" w:w="1560"/>
            <w:shd w:fill="FFFFFF"/>
          </w:tcPr>
          <w:p>
            <w:r>
              <w:rPr>
                <w:rFonts w:ascii="Arial" w:hAnsi="Arial"/>
                <w:sz w:val="17"/>
              </w:rPr>
              <w:t>—</w:t>
            </w:r>
          </w:p>
        </w:tc>
        <w:tc>
          <w:tcPr>
            <w:tcW w:type="dxa" w:w="1560"/>
            <w:shd w:fill="FFFFFF"/>
          </w:tcPr>
          <w:p>
            <w:r>
              <w:rPr>
                <w:rFonts w:ascii="Arial" w:hAnsi="Arial"/>
                <w:sz w:val="17"/>
              </w:rPr>
              <w:t>—</w:t>
            </w:r>
          </w:p>
        </w:tc>
        <w:tc>
          <w:tcPr>
            <w:tcW w:type="dxa" w:w="1560"/>
            <w:shd w:fill="FFFFFF"/>
          </w:tcPr>
          <w:p>
            <w:r>
              <w:rPr>
                <w:rFonts w:ascii="Arial" w:hAnsi="Arial"/>
                <w:sz w:val="17"/>
              </w:rPr>
              <w:t>24.04 ± 0.42</w:t>
            </w:r>
          </w:p>
        </w:tc>
        <w:tc>
          <w:tcPr>
            <w:tcW w:type="dxa" w:w="1560"/>
            <w:shd w:fill="FFFFFF"/>
          </w:tcPr>
          <w:p>
            <w:r>
              <w:rPr>
                <w:rFonts w:ascii="Arial" w:hAnsi="Arial"/>
                <w:sz w:val="17"/>
              </w:rPr>
              <w:t>0.7005</w:t>
            </w:r>
          </w:p>
        </w:tc>
        <w:tc>
          <w:tcPr>
            <w:tcW w:type="dxa" w:w="1560"/>
            <w:shd w:fill="FFFFFF"/>
          </w:tcPr>
          <w:p>
            <w:r>
              <w:rPr>
                <w:rFonts w:ascii="Arial" w:hAnsi="Arial"/>
                <w:sz w:val="17"/>
              </w:rPr>
              <w:t>—</w:t>
            </w:r>
          </w:p>
        </w:tc>
      </w:tr>
      <w:tr>
        <w:tc>
          <w:tcPr>
            <w:tcW w:type="dxa" w:w="1560"/>
            <w:shd w:fill="F8FAFC"/>
          </w:tcPr>
          <w:p>
            <w:r>
              <w:rPr>
                <w:rFonts w:ascii="Arial" w:hAnsi="Arial"/>
                <w:sz w:val="17"/>
              </w:rPr>
              <w:t>Baseline 3-Layer CNN</w:t>
            </w:r>
          </w:p>
        </w:tc>
        <w:tc>
          <w:tcPr>
            <w:tcW w:type="dxa" w:w="1560"/>
            <w:shd w:fill="F8FAFC"/>
          </w:tcPr>
          <w:p>
            <w:r>
              <w:rPr>
                <w:rFonts w:ascii="Arial" w:hAnsi="Arial"/>
                <w:sz w:val="17"/>
              </w:rPr>
              <w:t>40,451</w:t>
            </w:r>
          </w:p>
        </w:tc>
        <w:tc>
          <w:tcPr>
            <w:tcW w:type="dxa" w:w="1560"/>
            <w:shd w:fill="F8FAFC"/>
          </w:tcPr>
          <w:p>
            <w:r>
              <w:rPr>
                <w:rFonts w:ascii="Arial" w:hAnsi="Arial"/>
                <w:sz w:val="17"/>
              </w:rPr>
              <w:t>7 × 7</w:t>
            </w:r>
          </w:p>
        </w:tc>
        <w:tc>
          <w:tcPr>
            <w:tcW w:type="dxa" w:w="1560"/>
            <w:shd w:fill="F8FAFC"/>
          </w:tcPr>
          <w:p>
            <w:r>
              <w:rPr>
                <w:rFonts w:ascii="Arial" w:hAnsi="Arial"/>
                <w:sz w:val="17"/>
              </w:rPr>
              <w:t>26.87 ± 0.31</w:t>
            </w:r>
          </w:p>
        </w:tc>
        <w:tc>
          <w:tcPr>
            <w:tcW w:type="dxa" w:w="1560"/>
            <w:shd w:fill="F8FAFC"/>
          </w:tcPr>
          <w:p>
            <w:r>
              <w:rPr>
                <w:rFonts w:ascii="Arial" w:hAnsi="Arial"/>
                <w:sz w:val="17"/>
              </w:rPr>
              <w:t>0.8441</w:t>
            </w:r>
          </w:p>
        </w:tc>
        <w:tc>
          <w:tcPr>
            <w:tcW w:type="dxa" w:w="1560"/>
            <w:shd w:fill="F8FAFC"/>
          </w:tcPr>
          <w:p>
            <w:r>
              <w:rPr>
                <w:rFonts w:ascii="Arial" w:hAnsi="Arial"/>
                <w:sz w:val="17"/>
              </w:rPr>
              <w:t>~315 ms</w:t>
            </w:r>
          </w:p>
        </w:tc>
      </w:tr>
      <w:tr>
        <w:tc>
          <w:tcPr>
            <w:tcW w:type="dxa" w:w="1560"/>
            <w:shd w:fill="FFFFFF"/>
          </w:tcPr>
          <w:p>
            <w:r>
              <w:rPr>
                <w:rFonts w:ascii="Arial" w:hAnsi="Arial"/>
                <w:sz w:val="17"/>
              </w:rPr>
              <w:t>Standard DnCNN (10 Layers)</w:t>
            </w:r>
          </w:p>
        </w:tc>
        <w:tc>
          <w:tcPr>
            <w:tcW w:type="dxa" w:w="1560"/>
            <w:shd w:fill="FFFFFF"/>
          </w:tcPr>
          <w:p>
            <w:r>
              <w:rPr>
                <w:rFonts w:ascii="Arial" w:hAnsi="Arial"/>
                <w:sz w:val="17"/>
              </w:rPr>
              <w:t>332,675</w:t>
            </w:r>
          </w:p>
        </w:tc>
        <w:tc>
          <w:tcPr>
            <w:tcW w:type="dxa" w:w="1560"/>
            <w:shd w:fill="FFFFFF"/>
          </w:tcPr>
          <w:p>
            <w:r>
              <w:rPr>
                <w:rFonts w:ascii="Arial" w:hAnsi="Arial"/>
                <w:sz w:val="17"/>
              </w:rPr>
              <w:t>21 × 21</w:t>
            </w:r>
          </w:p>
        </w:tc>
        <w:tc>
          <w:tcPr>
            <w:tcW w:type="dxa" w:w="1560"/>
            <w:shd w:fill="FFFFFF"/>
          </w:tcPr>
          <w:p>
            <w:r>
              <w:rPr>
                <w:rFonts w:ascii="Arial" w:hAnsi="Arial"/>
                <w:sz w:val="17"/>
              </w:rPr>
              <w:t>27.42 ± 0.28</w:t>
            </w:r>
          </w:p>
        </w:tc>
        <w:tc>
          <w:tcPr>
            <w:tcW w:type="dxa" w:w="1560"/>
            <w:shd w:fill="FFFFFF"/>
          </w:tcPr>
          <w:p>
            <w:r>
              <w:rPr>
                <w:rFonts w:ascii="Arial" w:hAnsi="Arial"/>
                <w:sz w:val="17"/>
              </w:rPr>
              <w:t>0.8650</w:t>
            </w:r>
          </w:p>
        </w:tc>
        <w:tc>
          <w:tcPr>
            <w:tcW w:type="dxa" w:w="1560"/>
            <w:shd w:fill="FFFFFF"/>
          </w:tcPr>
          <w:p>
            <w:r>
              <w:rPr>
                <w:rFonts w:ascii="Arial" w:hAnsi="Arial"/>
                <w:sz w:val="17"/>
              </w:rPr>
              <w:t>~480 ms</w:t>
            </w:r>
          </w:p>
        </w:tc>
      </w:tr>
      <w:tr>
        <w:tc>
          <w:tcPr>
            <w:tcW w:type="dxa" w:w="1560"/>
            <w:shd w:fill="F8FAFC"/>
          </w:tcPr>
          <w:p>
            <w:r>
              <w:rPr>
                <w:rFonts w:ascii="Arial" w:hAnsi="Arial"/>
                <w:sz w:val="17"/>
              </w:rPr>
              <w:t>Standard U-Net (3 Levels)</w:t>
            </w:r>
          </w:p>
        </w:tc>
        <w:tc>
          <w:tcPr>
            <w:tcW w:type="dxa" w:w="1560"/>
            <w:shd w:fill="F8FAFC"/>
          </w:tcPr>
          <w:p>
            <w:r>
              <w:rPr>
                <w:rFonts w:ascii="Arial" w:hAnsi="Arial"/>
                <w:sz w:val="17"/>
              </w:rPr>
              <w:t>488,323</w:t>
            </w:r>
          </w:p>
        </w:tc>
        <w:tc>
          <w:tcPr>
            <w:tcW w:type="dxa" w:w="1560"/>
            <w:shd w:fill="F8FAFC"/>
          </w:tcPr>
          <w:p>
            <w:r>
              <w:rPr>
                <w:rFonts w:ascii="Arial" w:hAnsi="Arial"/>
                <w:sz w:val="17"/>
              </w:rPr>
              <w:t>Multi-Scale (~68px)</w:t>
            </w:r>
          </w:p>
        </w:tc>
        <w:tc>
          <w:tcPr>
            <w:tcW w:type="dxa" w:w="1560"/>
            <w:shd w:fill="F8FAFC"/>
          </w:tcPr>
          <w:p>
            <w:r>
              <w:rPr>
                <w:rFonts w:ascii="Arial" w:hAnsi="Arial"/>
                <w:sz w:val="17"/>
              </w:rPr>
              <w:t>27.95 ± 0.25</w:t>
            </w:r>
          </w:p>
        </w:tc>
        <w:tc>
          <w:tcPr>
            <w:tcW w:type="dxa" w:w="1560"/>
            <w:shd w:fill="F8FAFC"/>
          </w:tcPr>
          <w:p>
            <w:r>
              <w:rPr>
                <w:rFonts w:ascii="Arial" w:hAnsi="Arial"/>
                <w:sz w:val="17"/>
              </w:rPr>
              <w:t>0.8710</w:t>
            </w:r>
          </w:p>
        </w:tc>
        <w:tc>
          <w:tcPr>
            <w:tcW w:type="dxa" w:w="1560"/>
            <w:shd w:fill="F8FAFC"/>
          </w:tcPr>
          <w:p>
            <w:r>
              <w:rPr>
                <w:rFonts w:ascii="Arial" w:hAnsi="Arial"/>
                <w:sz w:val="17"/>
              </w:rPr>
              <w:t>~520 ms</w:t>
            </w:r>
          </w:p>
        </w:tc>
      </w:tr>
      <w:tr>
        <w:tc>
          <w:tcPr>
            <w:tcW w:type="dxa" w:w="1560"/>
            <w:shd w:fill="E0F2FE"/>
          </w:tcPr>
          <w:p>
            <w:r>
              <w:rPr>
                <w:rFonts w:ascii="Arial" w:hAnsi="Arial"/>
                <w:b/>
                <w:color w:val="0E7490"/>
                <w:sz w:val="17"/>
              </w:rPr>
              <w:t>Hybrid U-Net–DnCNN (Ours)</w:t>
            </w:r>
          </w:p>
        </w:tc>
        <w:tc>
          <w:tcPr>
            <w:tcW w:type="dxa" w:w="1560"/>
            <w:shd w:fill="E0F2FE"/>
          </w:tcPr>
          <w:p>
            <w:r>
              <w:rPr>
                <w:rFonts w:ascii="Arial" w:hAnsi="Arial"/>
                <w:b/>
                <w:color w:val="0E7490"/>
                <w:sz w:val="17"/>
              </w:rPr>
              <w:t>350,947</w:t>
            </w:r>
          </w:p>
        </w:tc>
        <w:tc>
          <w:tcPr>
            <w:tcW w:type="dxa" w:w="1560"/>
            <w:shd w:fill="E0F2FE"/>
          </w:tcPr>
          <w:p>
            <w:r>
              <w:rPr>
                <w:rFonts w:ascii="Arial" w:hAnsi="Arial"/>
                <w:b/>
                <w:color w:val="0E7490"/>
                <w:sz w:val="17"/>
              </w:rPr>
              <w:t>Dual-Scale (Global+Local)</w:t>
            </w:r>
          </w:p>
        </w:tc>
        <w:tc>
          <w:tcPr>
            <w:tcW w:type="dxa" w:w="1560"/>
            <w:shd w:fill="E0F2FE"/>
          </w:tcPr>
          <w:p>
            <w:r>
              <w:rPr>
                <w:rFonts w:ascii="Arial" w:hAnsi="Arial"/>
                <w:b/>
                <w:color w:val="0E7490"/>
                <w:sz w:val="17"/>
              </w:rPr>
              <w:t>28.60 ± 0.22</w:t>
            </w:r>
          </w:p>
        </w:tc>
        <w:tc>
          <w:tcPr>
            <w:tcW w:type="dxa" w:w="1560"/>
            <w:shd w:fill="E0F2FE"/>
          </w:tcPr>
          <w:p>
            <w:r>
              <w:rPr>
                <w:rFonts w:ascii="Arial" w:hAnsi="Arial"/>
                <w:b/>
                <w:color w:val="0E7490"/>
                <w:sz w:val="17"/>
              </w:rPr>
              <w:t>0.8920</w:t>
            </w:r>
          </w:p>
        </w:tc>
        <w:tc>
          <w:tcPr>
            <w:tcW w:type="dxa" w:w="1560"/>
            <w:shd w:fill="E0F2FE"/>
          </w:tcPr>
          <w:p>
            <w:r>
              <w:rPr>
                <w:rFonts w:ascii="Arial" w:hAnsi="Arial"/>
                <w:b/>
                <w:color w:val="0E7490"/>
                <w:sz w:val="17"/>
              </w:rPr>
              <w:t>~380 ms</w:t>
            </w:r>
          </w:p>
        </w:tc>
      </w:tr>
    </w:tbl>
    <w:p>
      <w:pPr>
        <w:spacing w:after="120" w:line="276" w:lineRule="auto"/>
        <w:jc w:val="both"/>
      </w:pPr>
      <w:r>
        <w:rPr>
          <w:rFonts w:ascii="Times New Roman" w:hAnsi="Times New Roman"/>
          <w:sz w:val="21"/>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1"/>
        </w:rPr>
        <w:t>The proposed Hybrid U-Net–DnCNN achieves 28.60 dB PSNR (+4.56 dB over noisy baseline, +1.73 dB over 3-layer CNN, +1.18 dB over standard DnCNN, and +0.65 dB over standard U-Net). Structural fidelity reaches 0.8920 SSIM (+0.1915 over raw capture). Non-parametric paired Wilcoxon signed-rank tests confirm statistical significance across all comparisons (p_Holm &lt; 0.001, r &gt; 0.85).</w:t>
      </w:r>
    </w:p>
    <w:p>
      <w:pPr>
        <w:spacing w:after="80" w:line="276" w:lineRule="auto"/>
        <w:jc w:val="both"/>
      </w:pPr>
      <w:r>
        <w:rPr>
          <w:rFonts w:ascii="Times New Roman" w:hAnsi="Times New Roman"/>
          <w:sz w:val="21"/>
        </w:rPr>
        <w:t>Ablation Analysis: Omitting the DnCNN stream drops SSIM by 0.0210 (texture blurring); omitting the U-Net stream reduces PSNR by 1.18 dB (chroma mottling). The 1×1 fusion projection improves PSNR by +0.42 dB over simple concatenation. Residual learning converges in 22 epochs compared to 46 epochs for direct reconstruction.</w:t>
      </w:r>
    </w:p>
    <w:p>
      <w:pPr>
        <w:spacing w:after="80" w:line="276" w:lineRule="auto"/>
        <w:jc w:val="both"/>
      </w:pPr>
      <w:r>
        <w:rPr>
          <w:rFonts w:ascii="Times New Roman" w:hAnsi="Times New Roman"/>
          <w:sz w:val="21"/>
        </w:rPr>
        <w:t>Tiling Validation: Un-tiled GPU inference crashes due to Out-Of-Memory exceptions (&gt;22.4 GB). Naive non-overlapping tiling introduces visible boundary grid seams (Mean Boundary Gradient Discontinuity MBGD = 0.0842) and reduces PSNR to 27.81 dB. Hann-window cosine tiling reduces seams to an imperceptible MBGD = 0.0012, attaining 28.60 dB PSNR with a low 620 MB VRAM footprint.</w:t>
      </w:r>
    </w:p>
    <w:p>
      <w:pPr>
        <w:keepNext/>
        <w:spacing w:before="280" w:after="80"/>
      </w:pPr>
      <w:r>
        <w:rPr>
          <w:rFonts w:ascii="Arial" w:hAnsi="Arial"/>
          <w:b/>
          <w:color w:val="142850"/>
          <w:sz w:val="24"/>
        </w:rPr>
        <w:t>7 Discussion and Limitations</w:t>
      </w:r>
    </w:p>
    <w:p>
      <w:pPr>
        <w:spacing w:after="80" w:line="276" w:lineRule="auto"/>
        <w:jc w:val="both"/>
      </w:pPr>
      <w:r>
        <w:rPr>
          <w:rFonts w:ascii="Times New Roman" w:hAnsi="Times New Roman"/>
          <w:sz w:val="21"/>
        </w:rPr>
        <w:t>Practitioner Takeaways: (1) Dual-stream architectures resolving both contextual luminance and high-frequency grain are essential for real sensor noise; (2) Hann-window cosine tiling should be standard practice in mobile camera ISPs to prevent boundary artifacts; (3) Asynchronous web microservices dramatically increase research reproducibility.</w:t>
      </w:r>
    </w:p>
    <w:p>
      <w:pPr>
        <w:spacing w:after="80" w:line="276" w:lineRule="auto"/>
        <w:jc w:val="both"/>
      </w:pPr>
      <w:r>
        <w:rPr>
          <w:rFonts w:ascii="Times New Roman" w:hAnsi="Times New Roman"/>
          <w:sz w:val="21"/>
        </w:rPr>
        <w:t>Limitations: The network is specifically trained on stochastic sensor noise; optical defocus blur, heavy motion blur, or severe lens smudging are not restored.</w:t>
      </w:r>
    </w:p>
    <w:p>
      <w:pPr>
        <w:keepNext/>
        <w:spacing w:before="280" w:after="80"/>
      </w:pPr>
      <w:r>
        <w:rPr>
          <w:rFonts w:ascii="Arial" w:hAnsi="Arial"/>
          <w:b/>
          <w:color w:val="142850"/>
          <w:sz w:val="24"/>
        </w:rPr>
        <w:t>8 Conclusion</w:t>
      </w:r>
    </w:p>
    <w:p>
      <w:pPr>
        <w:spacing w:after="80" w:line="276" w:lineRule="auto"/>
        <w:jc w:val="both"/>
      </w:pPr>
      <w:r>
        <w:rPr>
          <w:rFonts w:ascii="Times New Roman" w:hAnsi="Times New Roman"/>
          <w:sz w:val="21"/>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142850"/>
          <w:sz w:val="24"/>
        </w:rPr>
        <w:t>Declarations</w:t>
      </w:r>
    </w:p>
    <w:p>
      <w:pPr>
        <w:spacing w:after="80" w:line="276" w:lineRule="auto"/>
        <w:jc w:val="both"/>
      </w:pPr>
      <w:r>
        <w:rPr>
          <w:rFonts w:ascii="Times New Roman" w:hAnsi="Times New Roman"/>
          <w:sz w:val="21"/>
        </w:rPr>
        <w:t>Funding: The authors declare that no external funding was received for conducting this study.</w:t>
      </w:r>
    </w:p>
    <w:p>
      <w:pPr>
        <w:spacing w:after="80" w:line="276" w:lineRule="auto"/>
        <w:jc w:val="both"/>
      </w:pPr>
      <w:r>
        <w:rPr>
          <w:rFonts w:ascii="Times New Roman" w:hAnsi="Times New Roman"/>
          <w:sz w:val="21"/>
        </w:rPr>
        <w:t>Competing Interests: The authors have no competing interests or financial conflicts to declare.</w:t>
      </w:r>
    </w:p>
    <w:p>
      <w:pPr>
        <w:spacing w:after="80" w:line="276" w:lineRule="auto"/>
        <w:jc w:val="both"/>
      </w:pPr>
      <w:r>
        <w:rPr>
          <w:rFonts w:ascii="Times New Roman" w:hAnsi="Times New Roman"/>
          <w:sz w:val="21"/>
        </w:rPr>
        <w:t>Ethics Approval: Not applicable. No human participants or animal subjects were involved.</w:t>
      </w:r>
    </w:p>
    <w:p>
      <w:pPr>
        <w:spacing w:after="80" w:line="276" w:lineRule="auto"/>
        <w:jc w:val="both"/>
      </w:pPr>
      <w:r>
        <w:rPr>
          <w:rFonts w:ascii="Times New Roman" w:hAnsi="Times New Roman"/>
          <w:sz w:val="21"/>
        </w:rPr>
        <w:t>Consent to Participate and Publish: Not applicable.</w:t>
      </w:r>
    </w:p>
    <w:p>
      <w:pPr>
        <w:spacing w:after="80" w:line="276" w:lineRule="auto"/>
        <w:jc w:val="both"/>
      </w:pPr>
      <w:r>
        <w:rPr>
          <w:rFonts w:ascii="Times New Roman" w:hAnsi="Times New Roman"/>
          <w:sz w:val="21"/>
        </w:rPr>
        <w:t>Data Availability: The dataset of paired smartphone photographs is available in the project repository: https://github.com/majjinaveen46/Image-Denoising-Smartphone.</w:t>
      </w:r>
    </w:p>
    <w:p>
      <w:pPr>
        <w:spacing w:after="80" w:line="276" w:lineRule="auto"/>
        <w:jc w:val="both"/>
      </w:pPr>
      <w:r>
        <w:rPr>
          <w:rFonts w:ascii="Times New Roman" w:hAnsi="Times New Roman"/>
          <w:sz w:val="21"/>
        </w:rPr>
        <w:t>Code Availability: The complete source code, trained checkpoints, and deployment configurations are open-source at: https://github.com/majjinaveen46/Image-Denoising-Smartphone, with the live interactive web demo accessible at: https://stick-tuning-oral-fitted.trycloudflare.com.</w:t>
      </w:r>
    </w:p>
    <w:p>
      <w:pPr>
        <w:spacing w:after="80" w:line="276" w:lineRule="auto"/>
        <w:jc w:val="both"/>
      </w:pPr>
      <w:r>
        <w:rPr>
          <w:rFonts w:ascii="Times New Roman" w:hAnsi="Times New Roman"/>
          <w:sz w:val="21"/>
        </w:rPr>
        <w:t>Authors' Contributions: Majji Naveen formulated the methodology, developed the hybrid deep learning architecture and tiling algorithm, conducted the experiments, and drafted the manuscript. Parri Hari Chandan contributed to data preprocessing, baseline model benchmarking, and statistical analysis. M. Siva Charan Reddy assisted with full-stack web deployment, API optimization, and Three.js 3D visualization. Jayalakshmi M supervised the research, verified the methodology, reviewed the experimental results, and edited the manuscript.</w:t>
      </w:r>
    </w:p>
    <w:p>
      <w:pPr>
        <w:keepNext/>
        <w:spacing w:before="280" w:after="80"/>
      </w:pPr>
      <w:r>
        <w:rPr>
          <w:rFonts w:ascii="Arial" w:hAnsi="Arial"/>
          <w:b/>
          <w:color w:val="142850"/>
          <w:sz w:val="24"/>
        </w:rPr>
        <w:t>References</w:t>
      </w:r>
    </w:p>
    <w:p>
      <w:pPr>
        <w:spacing w:after="60" w:line="276" w:lineRule="auto"/>
        <w:jc w:val="both"/>
      </w:pPr>
      <w:r>
        <w:rPr>
          <w:rFonts w:ascii="Times New Roman" w:hAnsi="Times New Roman"/>
          <w:sz w:val="21"/>
        </w:rPr>
        <w:t>1. Delbracio, M., Kelly, D., Brown, M.S., Milanfar, P.: Mobile computational photography: A tour. Annual Review of Vision Science 7, 571–604 (2021). https://doi.org/10.1146/annurev-vision-093020-112830</w:t>
      </w:r>
    </w:p>
    <w:p>
      <w:pPr>
        <w:spacing w:after="60" w:line="276" w:lineRule="auto"/>
        <w:jc w:val="both"/>
      </w:pPr>
      <w:r>
        <w:rPr>
          <w:rFonts w:ascii="Times New Roman" w:hAnsi="Times New Roman"/>
          <w:sz w:val="21"/>
        </w:rPr>
        <w:t>2. Barron, J.T., Mildenhall, B., Verbin, D., Srinivasan, P.P., Hedman, P.: Mip-NeRF 360: Unbounded anti-aliased neural radiance fields. In: Proceedings of the IEEE/CVF Conference on Computer Vision and Pattern Recognition (CVPR), pp. 5470–5479 (2022). https://doi.org/10.1109/CVPR52688.2022.00539</w:t>
      </w:r>
    </w:p>
    <w:p>
      <w:pPr>
        <w:spacing w:after="60" w:line="276" w:lineRule="auto"/>
        <w:jc w:val="both"/>
      </w:pPr>
      <w:r>
        <w:rPr>
          <w:rFonts w:ascii="Times New Roman" w:hAnsi="Times New Roman"/>
          <w:sz w:val="21"/>
        </w:rPr>
        <w:t>3. Hasinoff, S.W., et al.: Burst photography for high dynamic range and low-light imaging on mobile cameras. ACM Transactions on Graphics 35(6), 192:1–192:12 (2016). https://doi.org/10.1145/2980179.2980254</w:t>
      </w:r>
    </w:p>
    <w:p>
      <w:pPr>
        <w:spacing w:after="60" w:line="276" w:lineRule="auto"/>
        <w:jc w:val="both"/>
      </w:pPr>
      <w:r>
        <w:rPr>
          <w:rFonts w:ascii="Times New Roman" w:hAnsi="Times New Roman"/>
          <w:sz w:val="21"/>
        </w:rPr>
        <w:t>4. Milanfar, P.: A tour of modern image filtering: New insights and methods, both practical and theoretical. IEEE Signal Processing Magazine 30(1), 106–128 (2013). https://doi.org/10.1109/MSP.2011.2179329</w:t>
      </w:r>
    </w:p>
    <w:p>
      <w:pPr>
        <w:spacing w:after="60" w:line="276" w:lineRule="auto"/>
        <w:jc w:val="both"/>
      </w:pPr>
      <w:r>
        <w:rPr>
          <w:rFonts w:ascii="Times New Roman" w:hAnsi="Times New Roman"/>
          <w:sz w:val="21"/>
        </w:rPr>
        <w:t>5. Healey, G.E., Kondepudy, R.: Radiometric CCD camera calibration and noise estimation. IEEE Transactions on Pattern Analysis and Machine Intelligence 16(3), 267–276 (1994). https://doi.org/10.1109/34.276126</w:t>
      </w:r>
    </w:p>
    <w:p>
      <w:pPr>
        <w:spacing w:after="60" w:line="276" w:lineRule="auto"/>
        <w:jc w:val="both"/>
      </w:pPr>
      <w:r>
        <w:rPr>
          <w:rFonts w:ascii="Times New Roman" w:hAnsi="Times New Roman"/>
          <w:sz w:val="21"/>
        </w:rPr>
        <w:t>6. Ramanath, R., Snyder, W.E., Bilbro, G.L., Sander, W.A.: Demosaicking: Methods and evaluations. IEEE Transactions on Image Processing 11(3), 245–255 (2002). https://doi.org/10.1109/83.988956</w:t>
      </w:r>
    </w:p>
    <w:p>
      <w:pPr>
        <w:spacing w:after="60" w:line="276" w:lineRule="auto"/>
        <w:jc w:val="both"/>
      </w:pPr>
      <w:r>
        <w:rPr>
          <w:rFonts w:ascii="Times New Roman" w:hAnsi="Times New Roman"/>
          <w:sz w:val="21"/>
        </w:rPr>
        <w:t>7. Tomasi, C., Manduchi, R.: Bilateral filtering for gray and color images. In: Proceedings of the IEEE International Conference on Computer Vision (ICCV), pp. 839–846 (1998). https://doi.org/10.1109/ICCV.1998.710815</w:t>
      </w:r>
    </w:p>
    <w:p>
      <w:pPr>
        <w:spacing w:after="60" w:line="276" w:lineRule="auto"/>
        <w:jc w:val="both"/>
      </w:pPr>
      <w:r>
        <w:rPr>
          <w:rFonts w:ascii="Times New Roman" w:hAnsi="Times New Roman"/>
          <w:sz w:val="21"/>
        </w:rPr>
        <w:t>8. Buades, A., Coll, B., Morel, J.-M.: A non-local algorithm for image denoising. In: Proceedings of the IEEE Computer Society Conference on Computer Vision and Pattern Recognition (CVPR), vol. 2, pp. 60–65 (2005). https://doi.org/10.1109/CVPR.2005.38</w:t>
      </w:r>
    </w:p>
    <w:p>
      <w:pPr>
        <w:spacing w:after="60" w:line="276" w:lineRule="auto"/>
        <w:jc w:val="both"/>
      </w:pPr>
      <w:r>
        <w:rPr>
          <w:rFonts w:ascii="Times New Roman" w:hAnsi="Times New Roman"/>
          <w:sz w:val="21"/>
        </w:rPr>
        <w:t>9. Dabov, K., Foi, A., Katkovnik, V., Egiazarian, K.: Image denoising by sparse 3-D transform-domain collaborative filtering. IEEE Transactions on Image Processing 16(8), 2080–2095 (2007). https://doi.org/10.1109/TIP.2007.901238</w:t>
      </w:r>
    </w:p>
    <w:p>
      <w:pPr>
        <w:spacing w:after="60" w:line="276" w:lineRule="auto"/>
        <w:jc w:val="both"/>
      </w:pPr>
      <w:r>
        <w:rPr>
          <w:rFonts w:ascii="Times New Roman" w:hAnsi="Times New Roman"/>
          <w:sz w:val="21"/>
        </w:rPr>
        <w:t>10. Foi, A., Trimeche, M., Katkovnik, V., Egiazarian, K.: Practical Poissonian-Gaussian noise modeling and fitting for single-image raw-data. IEEE Transactions on Image Processing 17(10), 1737–1754 (2008). https://doi.org/10.1109/TIP.2008.2001399</w:t>
      </w:r>
    </w:p>
    <w:p>
      <w:pPr>
        <w:spacing w:after="60" w:line="276" w:lineRule="auto"/>
        <w:jc w:val="both"/>
      </w:pPr>
      <w:r>
        <w:rPr>
          <w:rFonts w:ascii="Times New Roman" w:hAnsi="Times New Roman"/>
          <w:sz w:val="21"/>
        </w:rPr>
        <w:t>11. Zhang, K., Zuo, W., Chen, Y., Meng, D., Zhang, L.: Beyond a Gaussian denoiser: Residual learning of deep CNN for image denoising. IEEE Transactions on Image Processing 26(7), 3142–3155 (2017). https://doi.org/10.1109/TIP.2017.2662206</w:t>
      </w:r>
    </w:p>
    <w:p>
      <w:pPr>
        <w:spacing w:after="60" w:line="276" w:lineRule="auto"/>
        <w:jc w:val="both"/>
      </w:pPr>
      <w:r>
        <w:rPr>
          <w:rFonts w:ascii="Times New Roman" w:hAnsi="Times New Roman"/>
          <w:sz w:val="21"/>
        </w:rPr>
        <w:t>12. Ronneberger, O., Fischer, P., Brox, T.: U-Net: Convolutional networks for biomedical image segmentation. In: Medical Image Computing and Computer-Assisted Intervention (MICCAI), LNCS, vol. 9351, pp. 234–241. Springer, Cham (2015). https://doi.org/10.1007/978-3-319-24574-4_28</w:t>
      </w:r>
    </w:p>
    <w:p>
      <w:pPr>
        <w:spacing w:after="60" w:line="276" w:lineRule="auto"/>
        <w:jc w:val="both"/>
      </w:pPr>
      <w:r>
        <w:rPr>
          <w:rFonts w:ascii="Times New Roman" w:hAnsi="Times New Roman"/>
          <w:sz w:val="21"/>
        </w:rPr>
        <w:t>13. Isola, P., Zhu, J.-Y., Zhou, T., Efros, A.A.: Image-to-image translation with conditional adversarial networks. In: Proceedings of the IEEE Conference on Computer Vision and Pattern Recognition (CVPR), pp. 1125–1134 (2017). https://doi.org/10.1109/CVPR.2017.632</w:t>
      </w:r>
    </w:p>
    <w:p>
      <w:pPr>
        <w:spacing w:after="60" w:line="276" w:lineRule="auto"/>
        <w:jc w:val="both"/>
      </w:pPr>
      <w:r>
        <w:rPr>
          <w:rFonts w:ascii="Times New Roman" w:hAnsi="Times New Roman"/>
          <w:sz w:val="21"/>
        </w:rPr>
        <w:t>14. Abdelhamed, A., Lin, S., Brown, M.S.: A high-quality smartphone dataset for image denoising. In: Proceedings of the IEEE Conference on Computer Vision and Pattern Recognition (CVPR), pp. 1692–1700 (2018). https://doi.org/10.1109/CVPR.2018.00182</w:t>
      </w:r>
    </w:p>
    <w:p>
      <w:pPr>
        <w:spacing w:after="60" w:line="276" w:lineRule="auto"/>
        <w:jc w:val="both"/>
      </w:pPr>
      <w:r>
        <w:rPr>
          <w:rFonts w:ascii="Times New Roman" w:hAnsi="Times New Roman"/>
          <w:sz w:val="21"/>
        </w:rPr>
        <w:t>15. Plotz, T., Roth, S.: Benchmarking denoising algorithms with real photographs. In: Proceedings of the IEEE Conference on Computer Vision and Pattern Recognition (CVPR), pp. 1586–1595 (2017). https://doi.org/10.1109/CVPR.2017.173</w:t>
      </w:r>
    </w:p>
    <w:p>
      <w:pPr>
        <w:spacing w:after="60" w:line="276" w:lineRule="auto"/>
        <w:jc w:val="both"/>
      </w:pPr>
      <w:r>
        <w:rPr>
          <w:rFonts w:ascii="Times New Roman" w:hAnsi="Times New Roman"/>
          <w:sz w:val="21"/>
        </w:rPr>
        <w:t>16. Lebrun, M., Colom, M., Buades, A., Morel, J.-M.: Secrets of image denoising cuisine. Acta Numerica 21, 511–676 (2012). https://doi.org/10.1017/S0962492912000041</w:t>
      </w:r>
    </w:p>
    <w:p>
      <w:pPr>
        <w:spacing w:after="60" w:line="276" w:lineRule="auto"/>
        <w:jc w:val="both"/>
      </w:pPr>
      <w:r>
        <w:rPr>
          <w:rFonts w:ascii="Times New Roman" w:hAnsi="Times New Roman"/>
          <w:sz w:val="21"/>
        </w:rPr>
        <w:t>17. Zhang, K., Zuo, W., Zhang, L.: FFDNet: Toward a fast and flexible discriminative CNN denoiser. IEEE Transactions on Image Processing 27(9), 4608–4622 (2018). https://doi.org/10.1109/TIP.2018.2839891</w:t>
      </w:r>
    </w:p>
    <w:p>
      <w:pPr>
        <w:spacing w:after="60" w:line="276" w:lineRule="auto"/>
        <w:jc w:val="both"/>
      </w:pPr>
      <w:r>
        <w:rPr>
          <w:rFonts w:ascii="Times New Roman" w:hAnsi="Times New Roman"/>
          <w:sz w:val="21"/>
        </w:rPr>
        <w:t>18. Guo, S., Yan, Z., Zhang, K., Zuo, W., Zhang, L.: Toward convolutional blind denoising of real photographs. In: Proceedings of the IEEE Conference on Computer Vision and Pattern Recognition (CVPR), pp. 1712–1722 (2019). https://doi.org/10.1109/CVPR.2019.00181</w:t>
      </w:r>
    </w:p>
    <w:p>
      <w:pPr>
        <w:spacing w:after="60" w:line="276" w:lineRule="auto"/>
        <w:jc w:val="both"/>
      </w:pPr>
      <w:r>
        <w:rPr>
          <w:rFonts w:ascii="Times New Roman" w:hAnsi="Times New Roman"/>
          <w:sz w:val="21"/>
        </w:rPr>
        <w:t>19. Oktay, O., et al.: Attention U-Net: Learning where to look for the pancreas. In: Proceedings of Medical Imaging with Deep Learning (MIDL), pp. 1–10 (2018)</w:t>
      </w:r>
    </w:p>
    <w:p>
      <w:pPr>
        <w:spacing w:after="60" w:line="276" w:lineRule="auto"/>
        <w:jc w:val="both"/>
      </w:pPr>
      <w:r>
        <w:rPr>
          <w:rFonts w:ascii="Times New Roman" w:hAnsi="Times New Roman"/>
          <w:sz w:val="21"/>
        </w:rPr>
        <w:t>20. Zhang, Z., Liu, Q., Wang, Y.: Road extraction by deep residual U-Net. IEEE Geoscience and Remote Sensing Letters 15(5), 749–753 (2018). https://doi.org/10.1109/LGRS.2018.2802944</w:t>
      </w:r>
    </w:p>
    <w:p>
      <w:pPr>
        <w:spacing w:after="60" w:line="276" w:lineRule="auto"/>
        <w:jc w:val="both"/>
      </w:pPr>
      <w:r>
        <w:rPr>
          <w:rFonts w:ascii="Times New Roman" w:hAnsi="Times New Roman"/>
          <w:sz w:val="21"/>
        </w:rPr>
        <w:t>21. Huang, Y., et al.: Evaluation of tiling strategies for deep learning image restoration on ultra-high-resolution images. IEEE Access 9, 84120–84131 (2021). https://doi.org/10.1109/ACCESS.2021.3087265</w:t>
      </w:r>
    </w:p>
    <w:p>
      <w:pPr>
        <w:spacing w:after="60" w:line="276" w:lineRule="auto"/>
        <w:jc w:val="both"/>
      </w:pPr>
      <w:r>
        <w:rPr>
          <w:rFonts w:ascii="Times New Roman" w:hAnsi="Times New Roman"/>
          <w:sz w:val="21"/>
        </w:rPr>
        <w:t>22. Szeliski, R.: Computer Vision: Algorithms and Applications, 2nd edn. Springer, Cham (2022). https://doi.org/10.1007/978-3-030-34372-9</w:t>
      </w:r>
    </w:p>
    <w:p>
      <w:pPr>
        <w:spacing w:after="60" w:line="276" w:lineRule="auto"/>
        <w:jc w:val="both"/>
      </w:pPr>
      <w:r>
        <w:rPr>
          <w:rFonts w:ascii="Times New Roman" w:hAnsi="Times New Roman"/>
          <w:sz w:val="21"/>
        </w:rPr>
        <w:t>23. Shelhamer, E., Long, J., Darrell, T.: Fully convolutional networks for semantic segmentation. IEEE Transactions on Pattern Analysis and Machine Intelligence 39(4), 640–651 (2017). https://doi.org/10.1109/TPAMI.2016.2572683</w:t>
      </w:r>
    </w:p>
    <w:p>
      <w:pPr>
        <w:spacing w:after="60" w:line="276" w:lineRule="auto"/>
        <w:jc w:val="both"/>
      </w:pPr>
      <w:r>
        <w:rPr>
          <w:rFonts w:ascii="Times New Roman" w:hAnsi="Times New Roman"/>
          <w:sz w:val="21"/>
        </w:rPr>
        <w:t>24. Ramirez, S.: FastAPI: Modern, fast web framework for building APIs with Python. PyCon US (2020)</w:t>
      </w:r>
    </w:p>
    <w:p>
      <w:pPr>
        <w:spacing w:after="60" w:line="276" w:lineRule="auto"/>
        <w:jc w:val="both"/>
      </w:pPr>
      <w:r>
        <w:rPr>
          <w:rFonts w:ascii="Times New Roman" w:hAnsi="Times New Roman"/>
          <w:sz w:val="21"/>
        </w:rPr>
        <w:t>25. Anwar, S., Barnes, N.: Real image denoising with feature attention. In: Proceedings of the IEEE/CVF International Conference on Computer Vision (ICCV), pp. 3155–3164 (2019). https://doi.org/10.1109/ICCV.2019.00325</w:t>
      </w:r>
    </w:p>
    <w:p>
      <w:pPr>
        <w:spacing w:after="60" w:line="276" w:lineRule="auto"/>
        <w:jc w:val="both"/>
      </w:pPr>
      <w:r>
        <w:rPr>
          <w:rFonts w:ascii="Times New Roman" w:hAnsi="Times New Roman"/>
          <w:sz w:val="21"/>
        </w:rPr>
        <w:t>26. Zamir, S.W., Arora, A., Khan, S., Hayat, M., Khan, F.S., Yang, M.-H.: Restormer: Efficient transformer for high-resolution image restoration. In: Proceedings of the IEEE/CVF Conference on Computer Vision and Pattern Recognition (CVPR), pp. 5728–5739 (2022). https://doi.org/10.1109/CVPR52688.2022.00564</w:t>
      </w:r>
    </w:p>
    <w:p>
      <w:pPr>
        <w:spacing w:after="60" w:line="276" w:lineRule="auto"/>
        <w:jc w:val="both"/>
      </w:pPr>
      <w:r>
        <w:rPr>
          <w:rFonts w:ascii="Times New Roman" w:hAnsi="Times New Roman"/>
          <w:sz w:val="21"/>
        </w:rPr>
        <w:t>27. Immerkaer, J.: Fast noise variance estimation. Computer Vision and Image Understanding 64(2), 300–302 (1996). https://doi.org/10.1006/cviu.1996.0060</w:t>
      </w:r>
    </w:p>
    <w:p>
      <w:pPr>
        <w:spacing w:after="60" w:line="276" w:lineRule="auto"/>
        <w:jc w:val="both"/>
      </w:pPr>
      <w:r>
        <w:rPr>
          <w:rFonts w:ascii="Times New Roman" w:hAnsi="Times New Roman"/>
          <w:sz w:val="21"/>
        </w:rPr>
        <w:t>28. Demšar, J.: Statistical comparisons of classifiers over multiple data sets. Journal of Machine Learning Research 7, 1–30 (2006)</w:t>
      </w:r>
    </w:p>
    <w:p>
      <w:pPr>
        <w:spacing w:after="60" w:line="276" w:lineRule="auto"/>
        <w:jc w:val="both"/>
      </w:pPr>
      <w:r>
        <w:rPr>
          <w:rFonts w:ascii="Times New Roman" w:hAnsi="Times New Roman"/>
          <w:sz w:val="21"/>
        </w:rPr>
        <w:t>29. Zhang, R., Isola, P., Efros, A.A., Shechtman, E., Wang, O.: The unreasonable effectiveness of deep features as a perceptual metric. In: Proceedings of the IEEE Conference on Computer Vision and Pattern Recognition (CVPR), pp. 586–595 (2018). https://doi.org/10.1109/CVPR.2018.00068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Page 1 of Manuscript Submission Draft • Springer Nature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6464"/>
        <w:sz w:val="17"/>
      </w:rPr>
      <w:t>Multimedia Tools and Applications (Springer Nature)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