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color w:val="787878"/>
          <w:sz w:val="16"/>
        </w:rPr>
        <w:t>Date of publication October 00, 2026, date of current version October 00, 2026.</w:t>
        <w:br/>
        <w:t>Digital Object Identifier 10.1109/ACCESS.2026.DOI</w:t>
      </w:r>
    </w:p>
    <w:p>
      <w:pPr>
        <w:spacing w:before="160" w:after="160"/>
      </w:pPr>
      <w:r>
        <w:rPr>
          <w:rFonts w:ascii="Arial" w:hAnsi="Arial"/>
          <w:b/>
          <w:color w:val="00629B"/>
          <w:sz w:val="40"/>
        </w:rPr>
        <w:t>NeuroClean: High-Fidelity Smartphone Image Denoising via Hybrid U-Net–DnCNN Dual-Stream Deep Learning and Overlapping Hann-Window Tiling</w:t>
      </w:r>
    </w:p>
    <w:p>
      <w:pPr>
        <w:spacing w:after="40"/>
      </w:pPr>
      <w:r>
        <w:rPr>
          <w:rFonts w:ascii="Arial" w:hAnsi="Arial"/>
          <w:b/>
          <w:sz w:val="21"/>
        </w:rPr>
        <w:t>MAJJI NAVEEN</w:t>
      </w:r>
      <w:r>
        <w:rPr>
          <w:b/>
          <w:vertAlign w:val="superscript"/>
        </w:rPr>
        <w:t>1</w:t>
      </w:r>
      <w:r>
        <w:t xml:space="preserve">, </w:t>
      </w:r>
      <w:r>
        <w:rPr>
          <w:rFonts w:ascii="Arial" w:hAnsi="Arial"/>
          <w:b/>
          <w:sz w:val="21"/>
        </w:rPr>
        <w:t>PARRI HARI CHANDAN</w:t>
      </w:r>
      <w:r>
        <w:rPr>
          <w:b/>
          <w:vertAlign w:val="superscript"/>
        </w:rPr>
        <w:t>1</w:t>
      </w:r>
      <w:r>
        <w:t xml:space="preserve">, </w:t>
      </w:r>
      <w:r>
        <w:rPr>
          <w:rFonts w:ascii="Arial" w:hAnsi="Arial"/>
          <w:b/>
          <w:sz w:val="21"/>
        </w:rPr>
        <w:t>M. SIVA CHARAN REDDY</w:t>
      </w:r>
      <w:r>
        <w:rPr>
          <w:b/>
          <w:vertAlign w:val="superscript"/>
        </w:rPr>
        <w:t>1</w:t>
      </w:r>
      <w:r>
        <w:t xml:space="preserve">, AND </w:t>
      </w:r>
      <w:r>
        <w:rPr>
          <w:rFonts w:ascii="Arial" w:hAnsi="Arial"/>
          <w:b/>
          <w:sz w:val="21"/>
        </w:rPr>
        <w:t>JAYALAKSHMI M</w:t>
      </w:r>
      <w:r>
        <w:rPr>
          <w:b/>
          <w:vertAlign w:val="superscript"/>
        </w:rPr>
        <w:t>1*</w:t>
      </w:r>
    </w:p>
    <w:p>
      <w:pPr>
        <w:spacing w:after="240"/>
      </w:pPr>
      <w:r>
        <w:rPr>
          <w:rFonts w:ascii="Arial" w:hAnsi="Arial"/>
          <w:color w:val="505050"/>
          <w:sz w:val="17"/>
        </w:rPr>
        <w:t>1 School of Computer Science and Engineering (SCOPE), Vellore Institute of Technology (VIT), Vellore, Tamil Nadu 632014, India</w:t>
        <w:br/>
        <w:t>Emails: majji.naveen2023@gmail.com, harichandan.parri2023@vitstudent.ac.in, mareddy.siva2023@vitstudent.ac.in, m.jayalakshmi@vit.ac.in</w:t>
        <w:br/>
        <w:t>*Under the Supervision of &amp; Corresponding Author: Dr. Jayalakshmi M (Associate Professor, SCOPE, VIT Vellore, Email: m.jayalakshmi@vit.ac.in).</w:t>
      </w:r>
    </w:p>
    <w:tbl>
      <w:tblPr>
        <w:tblW w:type="auto" w:w="0"/>
        <w:jc w:val="center"/>
        <w:tblLayout w:type="fixed"/>
        <w:tblLook w:firstColumn="1" w:firstRow="1" w:lastColumn="0" w:lastRow="0" w:noHBand="0" w:noVBand="1" w:val="04A0"/>
      </w:tblPr>
      <w:tblGrid>
        <w:gridCol w:w="10080"/>
      </w:tblGrid>
      <w:tr>
        <w:tc>
          <w:tcPr>
            <w:tcW w:type="dxa" w:w="10080"/>
            <w:shd w:fill="F4F8FA"/>
            <w:tcMar>
              <w:top w:w="140" w:type="dxa"/>
              <w:bottom w:w="140" w:type="dxa"/>
              <w:left w:w="180" w:type="dxa"/>
              <w:right w:w="180" w:type="dxa"/>
            </w:tcMar>
          </w:tcPr>
          <w:p>
            <w:pPr>
              <w:jc w:val="both"/>
            </w:pPr>
            <w:r>
              <w:rPr>
                <w:rFonts w:ascii="Arial" w:hAnsi="Arial"/>
                <w:b/>
                <w:color w:val="00629B"/>
                <w:sz w:val="19"/>
              </w:rPr>
              <w:t xml:space="preserve">ABSTRACT  </w:t>
            </w:r>
            <w:r>
              <w:rPr>
                <w:rFonts w:ascii="Times New Roman" w:hAnsi="Times New Roman"/>
                <w:sz w:val="19"/>
              </w:rPr>
              <w:t>Smartphone cameras operate under acute physical form-factor limitations: micro-apertures and sub-micron to micron pixel pitches (1.0 μm – 1.4 μm) restrict photon capture, yielding severe Poisson photon shot noise, amplifier read noise, and chromatic grain under low-ambient illumination. Existing neural restoration approaches either suffer from oversmoothing of high-frequency photographic textures (in deep multi-scale autoencoders like U-Net) or fail to preserve low-frequency luminance continuity across large receptive fields (in feed-forward residual networks like DnCNN). Furthermore, deploying deep models on arbitrary, high-resolution smartphone captures (12+ to 100+ megapixels) induces fatal memory exhaustion or catastrophic boundary grid artifacts under naive spatial tiling. In this paper, we present NeuroClean, a unified deep learning and production deployment framework for smartphone image restoration. NeuroClean introduces a dual-stream Hybrid U-Net–DnCNN neural architecture that synergizes: (i) a multi-scale contracting-expansive U-Net branch with long skip connections to capture scene context and uniform illumination gradients, and (ii) a non-pooling 10-layer residual DnCNN branch operating at full spatial resolution to isolate high-frequency sensor noise without spatial decimation. The feature representations from both streams are fused through a 1×1 cross-channel projection layer to estimate the underlying residual noise field R(y), yielding the restored image via direct residual subtraction x̂ = clip(y - R_hybrid(y), 0, 1). To process arbitrary image dimensions without memory bloat or edge stitching seams, we engineer a 2D Hann-window overlapping cosine tiling engine with reflect padding and weighted overlap-add reconstruction. Evaluated on paired real-world smartphone photographs (1404×2040 native resolution), our hybrid model achieves a mean Peak Signal-to-Noise Ratio (PSNR) of 28.60+ dB and Structural Similarity Index (SSIM) of 0.8920+, representing a +4.56 dB and +0.1915 improvement over the raw degraded baseline (24.04 dB, 0.7005 SSIM), outperforming standard DnCNN (27.42 dB, 0.8650) and 3-level U-Net (27.95 dB, 0.8710) with statistically significant gains under Holm-corrected Wilcoxon signed-rank tests (p &lt; 0.001). The complete system is deployed as an open-source, production-grade cloud application featuring an asynchronous FastAPI inference engine, a responsive glassmorphic frontend with interactive comparison sliders, real-time blind noise estimation (σ̂), and an interactive 3D WebGL photodiode sensor simulation.</w:t>
            </w:r>
          </w:p>
          <w:p>
            <w:pPr>
              <w:spacing w:before="120"/>
              <w:jc w:val="both"/>
            </w:pPr>
            <w:r>
              <w:rPr>
                <w:rFonts w:ascii="Arial" w:hAnsi="Arial"/>
                <w:b/>
                <w:color w:val="00629B"/>
                <w:sz w:val="18"/>
              </w:rPr>
              <w:t xml:space="preserve">INDEX TERMS  </w:t>
            </w:r>
            <w:r>
              <w:rPr>
                <w:rFonts w:ascii="Times New Roman" w:hAnsi="Times New Roman"/>
                <w:sz w:val="18"/>
              </w:rPr>
              <w:t>Smartphone image denoising, computational photography, deep residual learning, U-Net, DnCNN, Hann-window tiling, photon shot noise, image sensor degradation, deep learning deployment.</w:t>
            </w:r>
          </w:p>
        </w:tc>
      </w:tr>
    </w:tbl>
    <w:p>
      <w:pPr>
        <w:spacing w:after="160"/>
      </w:pPr>
    </w:p>
    <w:p>
      <w:pPr>
        <w:keepNext/>
        <w:spacing w:before="280" w:after="80"/>
      </w:pPr>
      <w:r>
        <w:rPr>
          <w:rFonts w:ascii="Arial" w:hAnsi="Arial"/>
          <w:b/>
          <w:color w:val="00629B"/>
          <w:sz w:val="23"/>
        </w:rPr>
        <w:t>I. INTRODUCTION</w:t>
      </w:r>
    </w:p>
    <w:p>
      <w:pPr>
        <w:spacing w:after="80" w:line="276" w:lineRule="auto"/>
        <w:jc w:val="both"/>
      </w:pPr>
      <w:r>
        <w:rPr>
          <w:rFonts w:ascii="Times New Roman" w:hAnsi="Times New Roman"/>
          <w:sz w:val="20"/>
        </w:rPr>
        <w:t>COMPUTATIONAL photography has emerged as the definitive driver of image quality improvements in modern mobile consumer electronics. Over the past decade, smartphones have superseded dedicated digital single-lens reflex (DSLR) and mirrorless cameras for everyday photographic capture [1]. However, smartphone camera hardware remains constrained by severe physical limitations. While full-frame and APS-C camera sensors possess pixel pitches between 3.7 μm and 8.4 μm, mobile camera sensors must compress tens of millions of photosensitive diodes onto sensor dies smaller than 1/1.3 inches, yielding pixel pitches typically spanning 0.8 μm to 1.4 μm [2].</w:t>
      </w:r>
    </w:p>
    <w:p>
      <w:pPr>
        <w:spacing w:after="80" w:line="276" w:lineRule="auto"/>
        <w:jc w:val="both"/>
      </w:pPr>
      <w:r>
        <w:rPr>
          <w:rFonts w:ascii="Times New Roman" w:hAnsi="Times New Roman"/>
          <w:sz w:val="20"/>
        </w:rPr>
        <w:t>Under low-light ambient conditions, high shutter speeds, or high ISO settings, the reduced physical collection area of each photodiode severely restricts the number of incident photons [3]. The resulting captures are degraded by composite stochastic noise processes: (1) Photon shot noise, arising from the Poisson distribution of photon arrival times [4]; (2) Thermal and analog read noise, generated by charge-to-voltage conversion amplifiers during analog-to-digital conversion (ADC) [5]; and (3) Chromatic noise, resulting from spatial interpolation during Bayer color filter array (CFA) demosaicing [6].</w:t>
      </w:r>
    </w:p>
    <w:p>
      <w:pPr>
        <w:spacing w:after="80" w:line="276" w:lineRule="auto"/>
        <w:jc w:val="both"/>
      </w:pPr>
      <w:r>
        <w:rPr>
          <w:rFonts w:ascii="Times New Roman" w:hAnsi="Times New Roman"/>
          <w:sz w:val="20"/>
        </w:rPr>
        <w:t>Historically, image denoising relied upon handcrafted spatial and transform-domain filters, such as Bilateral Filtering [7], Non-Local Means (NLM) [8], and Block-Matching and 3D Filtering (BM3D) [9]. While mathematically elegant, these techniques assume additive white Gaussian noise (AWGN) with stationary variance across the entire image plane. In real smartphone image signal processors (ISPs), however, noise is signal-dependent, heteroscedastic, and spatially correlated across RGB color channels [10]. Consequently, classical filters frequently blur fine organic textures (e.g., foliage, facial hair, fabric weaves) while leaving low-frequency chroma splotches intact.</w:t>
      </w:r>
    </w:p>
    <w:p>
      <w:pPr>
        <w:spacing w:after="80" w:line="276" w:lineRule="auto"/>
        <w:jc w:val="both"/>
      </w:pPr>
      <w:r>
        <w:rPr>
          <w:rFonts w:ascii="Times New Roman" w:hAnsi="Times New Roman"/>
          <w:sz w:val="20"/>
        </w:rPr>
        <w:t>The advent of deep convolutional neural networks (CNNs) revolutionized image restoration. Zhang et al. introduced DnCNN (Denoising Convolutional Neural Network) [11], demonstrating that predicting the residual noise field rather than the clean image directly accelerates training convergence and boosts restoration fidelity. Concurrently, Ronneberger et al.'s U-Net [12] architecture gained widespread adoption in image-to-image translation tasks due to its multi-scale contracting-expansive paths and long skip connections that preserve macro-structural context [13].</w:t>
      </w:r>
    </w:p>
    <w:p>
      <w:pPr>
        <w:spacing w:after="80" w:line="276" w:lineRule="auto"/>
        <w:jc w:val="both"/>
      </w:pPr>
      <w:r>
        <w:rPr>
          <w:rFonts w:ascii="Times New Roman" w:hAnsi="Times New Roman"/>
          <w:sz w:val="20"/>
        </w:rPr>
        <w:t>Despite these advances, three critical bottlenecks persist: (1) The Context vs. Grain Dilemma: DnCNN maintains native resolution and isolates high-frequency pixel grain, but its receptive field is bounded by network depth (21×21 pixels for 10 layers), rendering it blind to wide-area luminance mottling. Conversely, U-Net captures broad context via pooling, but destroys fine textures and introduces spatial phase distortions upon upsampling. (2) The High-Resolution Boundary Artifact Barrier: Direct evaluation on 12+ megapixel images triggers Out-Of-Memory (OOM) GPU exceptions, whereas naive non-overlapping patch tiling introduces unacceptable orthogonal boundary seam lines. (3) The Prototype-to-Deployment Disconnect: Research frequently terminates with command-line notebooks on downsampled crops rather than responsive, privacy-preserving, production cloud web applications supporting arbitrary dimensions.</w:t>
      </w:r>
    </w:p>
    <w:p>
      <w:pPr>
        <w:keepNext/>
        <w:spacing w:before="200" w:after="60"/>
      </w:pPr>
      <w:r>
        <w:rPr>
          <w:rFonts w:ascii="Arial" w:hAnsi="Arial"/>
          <w:b/>
          <w:i/>
          <w:color w:val="282828"/>
          <w:sz w:val="20"/>
        </w:rPr>
        <w:t>a: Contributions</w:t>
      </w:r>
    </w:p>
    <w:p>
      <w:pPr>
        <w:spacing w:after="80" w:line="276" w:lineRule="auto"/>
        <w:jc w:val="both"/>
      </w:pPr>
      <w:r>
        <w:rPr>
          <w:rFonts w:ascii="Times New Roman" w:hAnsi="Times New Roman"/>
          <w:sz w:val="20"/>
        </w:rPr>
        <w:t>1) Dual-Stream Hybrid Architecture: A novel Hybrid U-Net–DnCNN deep neural network combining multi-scale contextual feature extraction (Stream 1) with non-pooling high-frequency residual grain modeling (Stream 2) joined via a 1×1 cross-channel fusion projection layer.</w:t>
      </w:r>
    </w:p>
    <w:p>
      <w:pPr>
        <w:spacing w:after="80" w:line="276" w:lineRule="auto"/>
        <w:jc w:val="both"/>
      </w:pPr>
      <w:r>
        <w:rPr>
          <w:rFonts w:ascii="Times New Roman" w:hAnsi="Times New Roman"/>
          <w:sz w:val="20"/>
        </w:rPr>
        <w:t>2) Deep Residual Formulation: Mathematical formulation of the restoration objective as deep residual subtraction x̂ = clip(y - R_hybrid(y), 0, 1), demonstrating faster convergence and superior preservation of image structural fidelity.</w:t>
      </w:r>
    </w:p>
    <w:p>
      <w:pPr>
        <w:spacing w:after="80" w:line="276" w:lineRule="auto"/>
        <w:jc w:val="both"/>
      </w:pPr>
      <w:r>
        <w:rPr>
          <w:rFonts w:ascii="Times New Roman" w:hAnsi="Times New Roman"/>
          <w:sz w:val="20"/>
        </w:rPr>
        <w:t>3) 2D Hann-Window Overlapping Cosine Tiling Engine: An engineered patch-inference engine utilizing 2D separable Hann cosine windows with 50% overlap and reflection padding, establishing a mathematical partition of unity that guarantees zero boundary seams across arbitrary input resolutions.</w:t>
      </w:r>
    </w:p>
    <w:p>
      <w:pPr>
        <w:spacing w:after="80" w:line="276" w:lineRule="auto"/>
        <w:jc w:val="both"/>
      </w:pPr>
      <w:r>
        <w:rPr>
          <w:rFonts w:ascii="Times New Roman" w:hAnsi="Times New Roman"/>
          <w:sz w:val="20"/>
        </w:rPr>
        <w:t>4) Comprehensive Empirical Benchmarking: Rigorous quantitative evaluation across paired real-world smartphone test sets (1404×2040 native resolution), achieving 28.60+ dB PSNR and 0.8920+ SSIM, significantly outperforming comparative baselines with Holm-corrected Wilcoxon signed-rank significance (p &lt; 0.001).</w:t>
      </w:r>
    </w:p>
    <w:p>
      <w:pPr>
        <w:spacing w:after="80" w:line="276" w:lineRule="auto"/>
        <w:jc w:val="both"/>
      </w:pPr>
      <w:r>
        <w:rPr>
          <w:rFonts w:ascii="Times New Roman" w:hAnsi="Times New Roman"/>
          <w:sz w:val="20"/>
        </w:rPr>
        <w:t>5) Full-Stack Production Deployment &amp; 3D WebGL Simulation: An open-source, full-stack cloud application featuring an asynchronous FastAPI microservice, a responsive React/TypeScript frontend with glassmorphic UI/UX, Dark/Light theme switching, live metrics, and an interactive 3D Three.js photodiode sensor simulation.</w:t>
      </w:r>
    </w:p>
    <w:p>
      <w:pPr>
        <w:keepNext/>
        <w:spacing w:before="200" w:after="60"/>
      </w:pPr>
      <w:r>
        <w:rPr>
          <w:rFonts w:ascii="Arial" w:hAnsi="Arial"/>
          <w:b/>
          <w:i/>
          <w:color w:val="282828"/>
          <w:sz w:val="20"/>
        </w:rPr>
        <w:t>b: Research Questions</w:t>
      </w:r>
    </w:p>
    <w:p>
      <w:pPr>
        <w:spacing w:after="80" w:line="276" w:lineRule="auto"/>
        <w:jc w:val="both"/>
      </w:pPr>
      <w:r>
        <w:rPr>
          <w:rFonts w:ascii="Times New Roman" w:hAnsi="Times New Roman"/>
          <w:sz w:val="20"/>
        </w:rPr>
        <w:t>RQ1: How does the proposed Hybrid U-Net–DnCNN compare quantitatively and qualitatively against classical filters, baseline CNNs, standard DnCNN, and standard U-Net on real smartphone noise?</w:t>
      </w:r>
    </w:p>
    <w:p>
      <w:pPr>
        <w:spacing w:after="80" w:line="276" w:lineRule="auto"/>
        <w:jc w:val="both"/>
      </w:pPr>
      <w:r>
        <w:rPr>
          <w:rFonts w:ascii="Times New Roman" w:hAnsi="Times New Roman"/>
          <w:sz w:val="20"/>
        </w:rPr>
        <w:t>RQ2: Does learning the residual noise field R(y) provide superior restoration fidelity and training stability compared to direct clean image synthesis G(y) ≈ x?</w:t>
      </w:r>
    </w:p>
    <w:p>
      <w:pPr>
        <w:spacing w:after="80" w:line="276" w:lineRule="auto"/>
        <w:jc w:val="both"/>
      </w:pPr>
      <w:r>
        <w:rPr>
          <w:rFonts w:ascii="Times New Roman" w:hAnsi="Times New Roman"/>
          <w:sz w:val="20"/>
        </w:rPr>
        <w:t>RQ3: Does the 2D Hann-window overlapping cosine tiling engine eliminate boundary stitching artifacts without degrading global reconstruction metrics across arbitrary dimensions?</w:t>
      </w:r>
    </w:p>
    <w:p>
      <w:pPr>
        <w:spacing w:after="80" w:line="276" w:lineRule="auto"/>
        <w:jc w:val="both"/>
      </w:pPr>
      <w:r>
        <w:rPr>
          <w:rFonts w:ascii="Times New Roman" w:hAnsi="Times New Roman"/>
          <w:sz w:val="20"/>
        </w:rPr>
        <w:t>RQ4: What is the empirical latency, memory footprint, and throughput of the hybrid model across heterogeneous hardware environments (CPU vs. GPU)?</w:t>
      </w:r>
    </w:p>
    <w:p>
      <w:pPr>
        <w:spacing w:after="80" w:line="276" w:lineRule="auto"/>
        <w:jc w:val="both"/>
      </w:pPr>
      <w:r>
        <w:rPr>
          <w:rFonts w:ascii="Times New Roman" w:hAnsi="Times New Roman"/>
          <w:sz w:val="20"/>
        </w:rPr>
        <w:t>RQ5: How effectively does the end-to-end full-stack web application deliver reliable, privacy-preserving, and intuitive restoration for arbitrary real-world smartphone photographs?</w:t>
      </w:r>
    </w:p>
    <w:p>
      <w:pPr>
        <w:keepNext/>
        <w:spacing w:before="280" w:after="80"/>
      </w:pPr>
      <w:r>
        <w:rPr>
          <w:rFonts w:ascii="Arial" w:hAnsi="Arial"/>
          <w:b/>
          <w:color w:val="00629B"/>
          <w:sz w:val="23"/>
        </w:rPr>
        <w:t>II. RELATED WORK</w:t>
      </w:r>
    </w:p>
    <w:p>
      <w:pPr>
        <w:keepNext/>
        <w:spacing w:before="200" w:after="60"/>
      </w:pPr>
      <w:r>
        <w:rPr>
          <w:rFonts w:ascii="Arial" w:hAnsi="Arial"/>
          <w:b/>
          <w:i/>
          <w:color w:val="282828"/>
          <w:sz w:val="20"/>
        </w:rPr>
        <w:t>a: Smartphone Image Noise and Sensor Physics</w:t>
      </w:r>
    </w:p>
    <w:p>
      <w:pPr>
        <w:spacing w:after="80" w:line="276" w:lineRule="auto"/>
        <w:jc w:val="both"/>
      </w:pPr>
      <w:r>
        <w:rPr>
          <w:rFonts w:ascii="Times New Roman" w:hAnsi="Times New Roman"/>
          <w:sz w:val="20"/>
        </w:rPr>
        <w:t>Unlike consumer DSLR cameras equipped with large physical sensors, smartphone image sensors have photodiodes whose active area typically measures 1.0 μm × 1.0 μm to 1.4 μm × 1.4 μm [2], [14]. Under photon-starved captures, quantum fluctuations in photon arrival rate dictate that the measured signal follows a Poisson distribution: P(k; λ) = (λ^k e^(-λ)) / k!, where λ represents the true irradiance [4]. When combined with thermal agitation (Johnson-Nyquist noise) and amplifier readout fluctuations modeled as zero-mean Gaussian noise N(0, σ_r^2), the composite noise field v is heteroscedastic: Var(v | x) = αx + σ_r^2, where α scales with sensor analog gain (ISO setting) [10]. Subsequent ISP stages spatially correlate this noise across neighboring pixels, rendering simplistic AWGN assumptions ineffective [15].</w:t>
      </w:r>
    </w:p>
    <w:p>
      <w:pPr>
        <w:keepNext/>
        <w:spacing w:before="200" w:after="60"/>
      </w:pPr>
      <w:r>
        <w:rPr>
          <w:rFonts w:ascii="Arial" w:hAnsi="Arial"/>
          <w:b/>
          <w:i/>
          <w:color w:val="282828"/>
          <w:sz w:val="20"/>
        </w:rPr>
        <w:t>b: Classical Spatial and Transform Filters</w:t>
      </w:r>
    </w:p>
    <w:p>
      <w:pPr>
        <w:spacing w:after="80" w:line="276" w:lineRule="auto"/>
        <w:jc w:val="both"/>
      </w:pPr>
      <w:r>
        <w:rPr>
          <w:rFonts w:ascii="Times New Roman" w:hAnsi="Times New Roman"/>
          <w:sz w:val="20"/>
        </w:rPr>
        <w:t>Early computational restoration relied on local and non-local spatial averaging. Tomasi and Manduchi developed the Bilateral Filter [7], weighting neighboring pixels by spatial proximity and radiometric photometric distance. Buades et al. introduced Non-Local Means (NLM) [8], exploiting self-similarity across non-local patches. Dabov et al. established the benchmark standard with BM3D [9], grouping similar 2D image fragments into 3D arrays and performing collaborative transform-domain hard thresholding and Wiener filtering. While effective for moderate synthetic Gaussian noise, BM3D is computationally intensive (O(N^2) patch search complexity) and introduces visible high-frequency ringing and watercolor-like smearing on real smartphone noise patterns [16].</w:t>
      </w:r>
    </w:p>
    <w:p>
      <w:pPr>
        <w:keepNext/>
        <w:spacing w:before="200" w:after="60"/>
      </w:pPr>
      <w:r>
        <w:rPr>
          <w:rFonts w:ascii="Arial" w:hAnsi="Arial"/>
          <w:b/>
          <w:i/>
          <w:color w:val="282828"/>
          <w:sz w:val="20"/>
        </w:rPr>
        <w:t>c: Deep Residual Learning and DnCNN</w:t>
      </w:r>
    </w:p>
    <w:p>
      <w:pPr>
        <w:spacing w:after="80" w:line="276" w:lineRule="auto"/>
        <w:jc w:val="both"/>
      </w:pPr>
      <w:r>
        <w:rPr>
          <w:rFonts w:ascii="Times New Roman" w:hAnsi="Times New Roman"/>
          <w:sz w:val="20"/>
        </w:rPr>
        <w:t>Zhang et al. pioneered the modern deep learning paradigm for image restoration with DnCNN [11], explicitly adopting a residual learning formulation: L(Θ) = (1 / 2N) Σ || R(y_i; Θ) - (y_i - x_i) ||_F^2. DnCNN demonstrated that predicting the residual noise field rather than the clean image directly accelerates training convergence and acts as an implicit regularizer. Subsequent architectures like FFDNet [17] and CBDNet [18] incorporated noise estimation sub-networks. However, because DnCNN maintains identical spatial resolution across all layers without downsampling, its receptive field is strictly limited to (2D + 1) × (2D + 1) where D is network depth. Consequently, standard DnCNN cannot resolve low-frequency chroma mottling spanning tens or hundreds of pixels.</w:t>
      </w:r>
    </w:p>
    <w:p>
      <w:pPr>
        <w:keepNext/>
        <w:spacing w:before="200" w:after="60"/>
      </w:pPr>
      <w:r>
        <w:rPr>
          <w:rFonts w:ascii="Arial" w:hAnsi="Arial"/>
          <w:b/>
          <w:i/>
          <w:color w:val="282828"/>
          <w:sz w:val="20"/>
        </w:rPr>
        <w:t>d: Multi-Scale Contracting-Expansive Architectures and U-Net</w:t>
      </w:r>
    </w:p>
    <w:p>
      <w:pPr>
        <w:spacing w:after="80" w:line="276" w:lineRule="auto"/>
        <w:jc w:val="both"/>
      </w:pPr>
      <w:r>
        <w:rPr>
          <w:rFonts w:ascii="Times New Roman" w:hAnsi="Times New Roman"/>
          <w:sz w:val="20"/>
        </w:rPr>
        <w:t>To capture expansive receptive fields without parameter explosion, Ronneberger et al. introduced the U-Net architecture [12]. U-Net uses successive convolutional and max-pooling layers in an encoder branch to downsample spatial dimensions, capturing high-level contextual semantics, followed by a symmetric decoder branch with upsampling convolutions to restore native spatial resolution. High-resolution spatial features from the contracting path are transferred directly to the expansive path via concatenated skip connections. U-Net and its derivatives (e.g., Attention U-Net [19], Residual U-Net [20]) have achieved remarkable success in computational imaging. Nevertheless, the spatial downsampling inherent to U-Net's pooling layers inevitably destroys ultra-fine photographic micro-textures, resulting in noticeable edge softening when restoring complex natural textures.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00629B"/>
          </w:tcPr>
          <w:p>
            <w:r>
              <w:rPr>
                <w:rFonts w:ascii="Arial" w:hAnsi="Arial"/>
                <w:b/>
                <w:color w:val="FFFFFF"/>
                <w:sz w:val="16"/>
              </w:rPr>
              <w:t>Architecture / Framework</w:t>
            </w:r>
          </w:p>
        </w:tc>
        <w:tc>
          <w:tcPr>
            <w:tcW w:type="dxa" w:w="1440"/>
            <w:shd w:fill="00629B"/>
          </w:tcPr>
          <w:p>
            <w:r>
              <w:rPr>
                <w:rFonts w:ascii="Arial" w:hAnsi="Arial"/>
                <w:b/>
                <w:color w:val="FFFFFF"/>
                <w:sz w:val="16"/>
              </w:rPr>
              <w:t>Multi-Scale Context</w:t>
            </w:r>
          </w:p>
        </w:tc>
        <w:tc>
          <w:tcPr>
            <w:tcW w:type="dxa" w:w="1440"/>
            <w:shd w:fill="00629B"/>
          </w:tcPr>
          <w:p>
            <w:r>
              <w:rPr>
                <w:rFonts w:ascii="Arial" w:hAnsi="Arial"/>
                <w:b/>
                <w:color w:val="FFFFFF"/>
                <w:sz w:val="16"/>
              </w:rPr>
              <w:t>Fine Grain Preserved</w:t>
            </w:r>
          </w:p>
        </w:tc>
        <w:tc>
          <w:tcPr>
            <w:tcW w:type="dxa" w:w="1440"/>
            <w:shd w:fill="00629B"/>
          </w:tcPr>
          <w:p>
            <w:r>
              <w:rPr>
                <w:rFonts w:ascii="Arial" w:hAnsi="Arial"/>
                <w:b/>
                <w:color w:val="FFFFFF"/>
                <w:sz w:val="16"/>
              </w:rPr>
              <w:t>Deep Residual Subtraction</w:t>
            </w:r>
          </w:p>
        </w:tc>
        <w:tc>
          <w:tcPr>
            <w:tcW w:type="dxa" w:w="1440"/>
            <w:shd w:fill="00629B"/>
          </w:tcPr>
          <w:p>
            <w:r>
              <w:rPr>
                <w:rFonts w:ascii="Arial" w:hAnsi="Arial"/>
                <w:b/>
                <w:color w:val="FFFFFF"/>
                <w:sz w:val="16"/>
              </w:rPr>
              <w:t>Arbitrary Res. Hann Tiling</w:t>
            </w:r>
          </w:p>
        </w:tc>
        <w:tc>
          <w:tcPr>
            <w:tcW w:type="dxa" w:w="1440"/>
            <w:shd w:fill="00629B"/>
          </w:tcPr>
          <w:p>
            <w:r>
              <w:rPr>
                <w:rFonts w:ascii="Arial" w:hAnsi="Arial"/>
                <w:b/>
                <w:color w:val="FFFFFF"/>
                <w:sz w:val="16"/>
              </w:rPr>
              <w:t>Real Smartphone Noise Validated</w:t>
            </w:r>
          </w:p>
        </w:tc>
        <w:tc>
          <w:tcPr>
            <w:tcW w:type="dxa" w:w="1440"/>
            <w:shd w:fill="00629B"/>
          </w:tcPr>
          <w:p>
            <w:r>
              <w:rPr>
                <w:rFonts w:ascii="Arial" w:hAnsi="Arial"/>
                <w:b/>
                <w:color w:val="FFFFFF"/>
                <w:sz w:val="16"/>
              </w:rPr>
              <w:t>Interactive Web Deployment</w:t>
            </w:r>
          </w:p>
        </w:tc>
      </w:tr>
      <w:tr>
        <w:tc>
          <w:tcPr>
            <w:tcW w:type="dxa" w:w="1440"/>
            <w:shd w:fill="FFFFFF"/>
          </w:tcPr>
          <w:p>
            <w:r>
              <w:rPr>
                <w:rFonts w:ascii="Arial" w:hAnsi="Arial"/>
                <w:sz w:val="16"/>
              </w:rPr>
              <w:t>BM3D (Dabov et al., 2007) [9]</w:t>
            </w:r>
          </w:p>
        </w:tc>
        <w:tc>
          <w:tcPr>
            <w:tcW w:type="dxa" w:w="1440"/>
            <w:shd w:fill="FFFFFF"/>
          </w:tcPr>
          <w:p>
            <w:r>
              <w:rPr>
                <w:rFonts w:ascii="Arial" w:hAnsi="Arial"/>
                <w:sz w:val="16"/>
              </w:rPr>
              <w:t>–</w:t>
            </w:r>
          </w:p>
        </w:tc>
        <w:tc>
          <w:tcPr>
            <w:tcW w:type="dxa" w:w="1440"/>
            <w:shd w:fill="FFFFFF"/>
          </w:tcPr>
          <w:p>
            <w:r>
              <w:rPr>
                <w:rFonts w:ascii="Arial" w:hAnsi="Arial"/>
                <w:sz w:val="16"/>
              </w:rPr>
              <w:t>○</w:t>
            </w:r>
          </w:p>
        </w:tc>
        <w:tc>
          <w:tcPr>
            <w:tcW w:type="dxa" w:w="1440"/>
            <w:shd w:fill="FFFFFF"/>
          </w:tcPr>
          <w:p>
            <w:r>
              <w:rPr>
                <w:rFonts w:ascii="Arial" w:hAnsi="Arial"/>
                <w:sz w:val="16"/>
              </w:rPr>
              <w:t>–</w:t>
            </w:r>
          </w:p>
        </w:tc>
        <w:tc>
          <w:tcPr>
            <w:tcW w:type="dxa" w:w="1440"/>
            <w:shd w:fill="FFFFFF"/>
          </w:tcPr>
          <w:p>
            <w:r>
              <w:rPr>
                <w:rFonts w:ascii="Arial" w:hAnsi="Arial"/>
                <w:sz w:val="16"/>
              </w:rPr>
              <w:t>–</w:t>
            </w:r>
          </w:p>
        </w:tc>
        <w:tc>
          <w:tcPr>
            <w:tcW w:type="dxa" w:w="1440"/>
            <w:shd w:fill="FFFFFF"/>
          </w:tcPr>
          <w:p>
            <w:r>
              <w:rPr>
                <w:rFonts w:ascii="Arial" w:hAnsi="Arial"/>
                <w:sz w:val="16"/>
              </w:rPr>
              <w:t>–</w:t>
            </w:r>
          </w:p>
        </w:tc>
        <w:tc>
          <w:tcPr>
            <w:tcW w:type="dxa" w:w="1440"/>
            <w:shd w:fill="FFFFFF"/>
          </w:tcPr>
          <w:p>
            <w:r>
              <w:rPr>
                <w:rFonts w:ascii="Arial" w:hAnsi="Arial"/>
                <w:sz w:val="16"/>
              </w:rPr>
              <w:t>–</w:t>
            </w:r>
          </w:p>
        </w:tc>
      </w:tr>
      <w:tr>
        <w:tc>
          <w:tcPr>
            <w:tcW w:type="dxa" w:w="1440"/>
            <w:shd w:fill="F9FBFD"/>
          </w:tcPr>
          <w:p>
            <w:r>
              <w:rPr>
                <w:rFonts w:ascii="Arial" w:hAnsi="Arial"/>
                <w:sz w:val="16"/>
              </w:rPr>
              <w:t>DnCNN (Zhang et al., 2017) [11]</w:t>
            </w:r>
          </w:p>
        </w:tc>
        <w:tc>
          <w:tcPr>
            <w:tcW w:type="dxa" w:w="1440"/>
            <w:shd w:fill="F9FBFD"/>
          </w:tcPr>
          <w:p>
            <w:r>
              <w:rPr>
                <w:rFonts w:ascii="Arial" w:hAnsi="Arial"/>
                <w:sz w:val="16"/>
              </w:rPr>
              <w:t>–</w:t>
            </w:r>
          </w:p>
        </w:tc>
        <w:tc>
          <w:tcPr>
            <w:tcW w:type="dxa" w:w="1440"/>
            <w:shd w:fill="F9FBFD"/>
          </w:tcPr>
          <w:p>
            <w:r>
              <w:rPr>
                <w:rFonts w:ascii="Arial" w:hAnsi="Arial"/>
                <w:sz w:val="16"/>
              </w:rPr>
              <w:t>✓</w:t>
            </w:r>
          </w:p>
        </w:tc>
        <w:tc>
          <w:tcPr>
            <w:tcW w:type="dxa" w:w="1440"/>
            <w:shd w:fill="F9FBFD"/>
          </w:tcPr>
          <w:p>
            <w:r>
              <w:rPr>
                <w:rFonts w:ascii="Arial" w:hAnsi="Arial"/>
                <w:sz w:val="16"/>
              </w:rPr>
              <w:t>✓</w:t>
            </w:r>
          </w:p>
        </w:tc>
        <w:tc>
          <w:tcPr>
            <w:tcW w:type="dxa" w:w="1440"/>
            <w:shd w:fill="F9FBFD"/>
          </w:tcPr>
          <w:p>
            <w:r>
              <w:rPr>
                <w:rFonts w:ascii="Arial" w:hAnsi="Arial"/>
                <w:sz w:val="16"/>
              </w:rPr>
              <w:t>–</w:t>
            </w:r>
          </w:p>
        </w:tc>
        <w:tc>
          <w:tcPr>
            <w:tcW w:type="dxa" w:w="1440"/>
            <w:shd w:fill="F9FBFD"/>
          </w:tcPr>
          <w:p>
            <w:r>
              <w:rPr>
                <w:rFonts w:ascii="Arial" w:hAnsi="Arial"/>
                <w:sz w:val="16"/>
              </w:rPr>
              <w:t>○</w:t>
            </w:r>
          </w:p>
        </w:tc>
        <w:tc>
          <w:tcPr>
            <w:tcW w:type="dxa" w:w="1440"/>
            <w:shd w:fill="F9FBFD"/>
          </w:tcPr>
          <w:p>
            <w:r>
              <w:rPr>
                <w:rFonts w:ascii="Arial" w:hAnsi="Arial"/>
                <w:sz w:val="16"/>
              </w:rPr>
              <w:t>–</w:t>
            </w:r>
          </w:p>
        </w:tc>
      </w:tr>
      <w:tr>
        <w:tc>
          <w:tcPr>
            <w:tcW w:type="dxa" w:w="1440"/>
            <w:shd w:fill="FFFFFF"/>
          </w:tcPr>
          <w:p>
            <w:r>
              <w:rPr>
                <w:rFonts w:ascii="Arial" w:hAnsi="Arial"/>
                <w:sz w:val="16"/>
              </w:rPr>
              <w:t>Standard U-Net (2015) [12]</w:t>
            </w:r>
          </w:p>
        </w:tc>
        <w:tc>
          <w:tcPr>
            <w:tcW w:type="dxa" w:w="1440"/>
            <w:shd w:fill="FFFFFF"/>
          </w:tcPr>
          <w:p>
            <w:r>
              <w:rPr>
                <w:rFonts w:ascii="Arial" w:hAnsi="Arial"/>
                <w:sz w:val="16"/>
              </w:rPr>
              <w:t>✓</w:t>
            </w:r>
          </w:p>
        </w:tc>
        <w:tc>
          <w:tcPr>
            <w:tcW w:type="dxa" w:w="1440"/>
            <w:shd w:fill="FFFFFF"/>
          </w:tcPr>
          <w:p>
            <w:r>
              <w:rPr>
                <w:rFonts w:ascii="Arial" w:hAnsi="Arial"/>
                <w:sz w:val="16"/>
              </w:rPr>
              <w:t>–</w:t>
            </w:r>
          </w:p>
        </w:tc>
        <w:tc>
          <w:tcPr>
            <w:tcW w:type="dxa" w:w="1440"/>
            <w:shd w:fill="FFFFFF"/>
          </w:tcPr>
          <w:p>
            <w:r>
              <w:rPr>
                <w:rFonts w:ascii="Arial" w:hAnsi="Arial"/>
                <w:sz w:val="16"/>
              </w:rPr>
              <w:t>–</w:t>
            </w:r>
          </w:p>
        </w:tc>
        <w:tc>
          <w:tcPr>
            <w:tcW w:type="dxa" w:w="1440"/>
            <w:shd w:fill="FFFFFF"/>
          </w:tcPr>
          <w:p>
            <w:r>
              <w:rPr>
                <w:rFonts w:ascii="Arial" w:hAnsi="Arial"/>
                <w:sz w:val="16"/>
              </w:rPr>
              <w:t>–</w:t>
            </w:r>
          </w:p>
        </w:tc>
        <w:tc>
          <w:tcPr>
            <w:tcW w:type="dxa" w:w="1440"/>
            <w:shd w:fill="FFFFFF"/>
          </w:tcPr>
          <w:p>
            <w:r>
              <w:rPr>
                <w:rFonts w:ascii="Arial" w:hAnsi="Arial"/>
                <w:sz w:val="16"/>
              </w:rPr>
              <w:t>○</w:t>
            </w:r>
          </w:p>
        </w:tc>
        <w:tc>
          <w:tcPr>
            <w:tcW w:type="dxa" w:w="1440"/>
            <w:shd w:fill="FFFFFF"/>
          </w:tcPr>
          <w:p>
            <w:r>
              <w:rPr>
                <w:rFonts w:ascii="Arial" w:hAnsi="Arial"/>
                <w:sz w:val="16"/>
              </w:rPr>
              <w:t>–</w:t>
            </w:r>
          </w:p>
        </w:tc>
      </w:tr>
      <w:tr>
        <w:tc>
          <w:tcPr>
            <w:tcW w:type="dxa" w:w="1440"/>
            <w:shd w:fill="F9FBFD"/>
          </w:tcPr>
          <w:p>
            <w:r>
              <w:rPr>
                <w:rFonts w:ascii="Arial" w:hAnsi="Arial"/>
                <w:sz w:val="16"/>
              </w:rPr>
              <w:t>CBDNet (Guo et al., 2019) [18]</w:t>
            </w:r>
          </w:p>
        </w:tc>
        <w:tc>
          <w:tcPr>
            <w:tcW w:type="dxa" w:w="1440"/>
            <w:shd w:fill="F9FBFD"/>
          </w:tcPr>
          <w:p>
            <w:r>
              <w:rPr>
                <w:rFonts w:ascii="Arial" w:hAnsi="Arial"/>
                <w:sz w:val="16"/>
              </w:rPr>
              <w:t>✓</w:t>
            </w:r>
          </w:p>
        </w:tc>
        <w:tc>
          <w:tcPr>
            <w:tcW w:type="dxa" w:w="1440"/>
            <w:shd w:fill="F9FBFD"/>
          </w:tcPr>
          <w:p>
            <w:r>
              <w:rPr>
                <w:rFonts w:ascii="Arial" w:hAnsi="Arial"/>
                <w:sz w:val="16"/>
              </w:rPr>
              <w:t>○</w:t>
            </w:r>
          </w:p>
        </w:tc>
        <w:tc>
          <w:tcPr>
            <w:tcW w:type="dxa" w:w="1440"/>
            <w:shd w:fill="F9FBFD"/>
          </w:tcPr>
          <w:p>
            <w:r>
              <w:rPr>
                <w:rFonts w:ascii="Arial" w:hAnsi="Arial"/>
                <w:sz w:val="16"/>
              </w:rPr>
              <w:t>✓</w:t>
            </w:r>
          </w:p>
        </w:tc>
        <w:tc>
          <w:tcPr>
            <w:tcW w:type="dxa" w:w="1440"/>
            <w:shd w:fill="F9FBFD"/>
          </w:tcPr>
          <w:p>
            <w:r>
              <w:rPr>
                <w:rFonts w:ascii="Arial" w:hAnsi="Arial"/>
                <w:sz w:val="16"/>
              </w:rPr>
              <w:t>–</w:t>
            </w:r>
          </w:p>
        </w:tc>
        <w:tc>
          <w:tcPr>
            <w:tcW w:type="dxa" w:w="1440"/>
            <w:shd w:fill="F9FBFD"/>
          </w:tcPr>
          <w:p>
            <w:r>
              <w:rPr>
                <w:rFonts w:ascii="Arial" w:hAnsi="Arial"/>
                <w:sz w:val="16"/>
              </w:rPr>
              <w:t>✓</w:t>
            </w:r>
          </w:p>
        </w:tc>
        <w:tc>
          <w:tcPr>
            <w:tcW w:type="dxa" w:w="1440"/>
            <w:shd w:fill="F9FBFD"/>
          </w:tcPr>
          <w:p>
            <w:r>
              <w:rPr>
                <w:rFonts w:ascii="Arial" w:hAnsi="Arial"/>
                <w:sz w:val="16"/>
              </w:rPr>
              <w:t>–</w:t>
            </w:r>
          </w:p>
        </w:tc>
      </w:tr>
      <w:tr>
        <w:tc>
          <w:tcPr>
            <w:tcW w:type="dxa" w:w="1440"/>
            <w:shd w:fill="FFFFFF"/>
          </w:tcPr>
          <w:p>
            <w:r>
              <w:rPr>
                <w:rFonts w:ascii="Arial" w:hAnsi="Arial"/>
                <w:sz w:val="16"/>
              </w:rPr>
              <w:t>RIDNet (Anwar et al., 2019) [25]</w:t>
            </w:r>
          </w:p>
        </w:tc>
        <w:tc>
          <w:tcPr>
            <w:tcW w:type="dxa" w:w="1440"/>
            <w:shd w:fill="FFFFFF"/>
          </w:tcPr>
          <w:p>
            <w:r>
              <w:rPr>
                <w:rFonts w:ascii="Arial" w:hAnsi="Arial"/>
                <w:sz w:val="16"/>
              </w:rPr>
              <w:t>○</w:t>
            </w:r>
          </w:p>
        </w:tc>
        <w:tc>
          <w:tcPr>
            <w:tcW w:type="dxa" w:w="1440"/>
            <w:shd w:fill="FFFFFF"/>
          </w:tcPr>
          <w:p>
            <w:r>
              <w:rPr>
                <w:rFonts w:ascii="Arial" w:hAnsi="Arial"/>
                <w:sz w:val="16"/>
              </w:rPr>
              <w:t>✓</w:t>
            </w:r>
          </w:p>
        </w:tc>
        <w:tc>
          <w:tcPr>
            <w:tcW w:type="dxa" w:w="1440"/>
            <w:shd w:fill="FFFFFF"/>
          </w:tcPr>
          <w:p>
            <w:r>
              <w:rPr>
                <w:rFonts w:ascii="Arial" w:hAnsi="Arial"/>
                <w:sz w:val="16"/>
              </w:rPr>
              <w:t>✓</w:t>
            </w:r>
          </w:p>
        </w:tc>
        <w:tc>
          <w:tcPr>
            <w:tcW w:type="dxa" w:w="1440"/>
            <w:shd w:fill="FFFFFF"/>
          </w:tcPr>
          <w:p>
            <w:r>
              <w:rPr>
                <w:rFonts w:ascii="Arial" w:hAnsi="Arial"/>
                <w:sz w:val="16"/>
              </w:rPr>
              <w:t>–</w:t>
            </w:r>
          </w:p>
        </w:tc>
        <w:tc>
          <w:tcPr>
            <w:tcW w:type="dxa" w:w="1440"/>
            <w:shd w:fill="FFFFFF"/>
          </w:tcPr>
          <w:p>
            <w:r>
              <w:rPr>
                <w:rFonts w:ascii="Arial" w:hAnsi="Arial"/>
                <w:sz w:val="16"/>
              </w:rPr>
              <w:t>✓</w:t>
            </w:r>
          </w:p>
        </w:tc>
        <w:tc>
          <w:tcPr>
            <w:tcW w:type="dxa" w:w="1440"/>
            <w:shd w:fill="FFFFFF"/>
          </w:tcPr>
          <w:p>
            <w:r>
              <w:rPr>
                <w:rFonts w:ascii="Arial" w:hAnsi="Arial"/>
                <w:sz w:val="16"/>
              </w:rPr>
              <w:t>–</w:t>
            </w:r>
          </w:p>
        </w:tc>
      </w:tr>
      <w:tr>
        <w:tc>
          <w:tcPr>
            <w:tcW w:type="dxa" w:w="1440"/>
            <w:shd w:fill="F9FBFD"/>
          </w:tcPr>
          <w:p>
            <w:r>
              <w:rPr>
                <w:rFonts w:ascii="Arial" w:hAnsi="Arial"/>
                <w:sz w:val="16"/>
              </w:rPr>
              <w:t>Restormer (Zamir et al., 2022) [26]</w:t>
            </w:r>
          </w:p>
        </w:tc>
        <w:tc>
          <w:tcPr>
            <w:tcW w:type="dxa" w:w="1440"/>
            <w:shd w:fill="F9FBFD"/>
          </w:tcPr>
          <w:p>
            <w:r>
              <w:rPr>
                <w:rFonts w:ascii="Arial" w:hAnsi="Arial"/>
                <w:sz w:val="16"/>
              </w:rPr>
              <w:t>✓</w:t>
            </w:r>
          </w:p>
        </w:tc>
        <w:tc>
          <w:tcPr>
            <w:tcW w:type="dxa" w:w="1440"/>
            <w:shd w:fill="F9FBFD"/>
          </w:tcPr>
          <w:p>
            <w:r>
              <w:rPr>
                <w:rFonts w:ascii="Arial" w:hAnsi="Arial"/>
                <w:sz w:val="16"/>
              </w:rPr>
              <w:t>✓</w:t>
            </w:r>
          </w:p>
        </w:tc>
        <w:tc>
          <w:tcPr>
            <w:tcW w:type="dxa" w:w="1440"/>
            <w:shd w:fill="F9FBFD"/>
          </w:tcPr>
          <w:p>
            <w:r>
              <w:rPr>
                <w:rFonts w:ascii="Arial" w:hAnsi="Arial"/>
                <w:sz w:val="16"/>
              </w:rPr>
              <w:t>✓</w:t>
            </w:r>
          </w:p>
        </w:tc>
        <w:tc>
          <w:tcPr>
            <w:tcW w:type="dxa" w:w="1440"/>
            <w:shd w:fill="F9FBFD"/>
          </w:tcPr>
          <w:p>
            <w:r>
              <w:rPr>
                <w:rFonts w:ascii="Arial" w:hAnsi="Arial"/>
                <w:sz w:val="16"/>
              </w:rPr>
              <w:t>–</w:t>
            </w:r>
          </w:p>
        </w:tc>
        <w:tc>
          <w:tcPr>
            <w:tcW w:type="dxa" w:w="1440"/>
            <w:shd w:fill="F9FBFD"/>
          </w:tcPr>
          <w:p>
            <w:r>
              <w:rPr>
                <w:rFonts w:ascii="Arial" w:hAnsi="Arial"/>
                <w:sz w:val="16"/>
              </w:rPr>
              <w:t>✓</w:t>
            </w:r>
          </w:p>
        </w:tc>
        <w:tc>
          <w:tcPr>
            <w:tcW w:type="dxa" w:w="1440"/>
            <w:shd w:fill="F9FBFD"/>
          </w:tcPr>
          <w:p>
            <w:r>
              <w:rPr>
                <w:rFonts w:ascii="Arial" w:hAnsi="Arial"/>
                <w:sz w:val="16"/>
              </w:rPr>
              <w:t>–</w:t>
            </w:r>
          </w:p>
        </w:tc>
      </w:tr>
      <w:tr>
        <w:tc>
          <w:tcPr>
            <w:tcW w:type="dxa" w:w="1440"/>
            <w:shd w:fill="EAF2F8"/>
          </w:tcPr>
          <w:p>
            <w:r>
              <w:rPr>
                <w:rFonts w:ascii="Arial" w:hAnsi="Arial"/>
                <w:b/>
                <w:color w:val="00629B"/>
                <w:sz w:val="16"/>
              </w:rPr>
              <w:t>NeuroClean (This Work)</w:t>
            </w:r>
          </w:p>
        </w:tc>
        <w:tc>
          <w:tcPr>
            <w:tcW w:type="dxa" w:w="1440"/>
            <w:shd w:fill="EAF2F8"/>
          </w:tcPr>
          <w:p>
            <w:r>
              <w:rPr>
                <w:rFonts w:ascii="Arial" w:hAnsi="Arial"/>
                <w:b/>
                <w:color w:val="00629B"/>
                <w:sz w:val="16"/>
              </w:rPr>
              <w:t>✓</w:t>
            </w:r>
          </w:p>
        </w:tc>
        <w:tc>
          <w:tcPr>
            <w:tcW w:type="dxa" w:w="1440"/>
            <w:shd w:fill="EAF2F8"/>
          </w:tcPr>
          <w:p>
            <w:r>
              <w:rPr>
                <w:rFonts w:ascii="Arial" w:hAnsi="Arial"/>
                <w:b/>
                <w:color w:val="00629B"/>
                <w:sz w:val="16"/>
              </w:rPr>
              <w:t>✓</w:t>
            </w:r>
          </w:p>
        </w:tc>
        <w:tc>
          <w:tcPr>
            <w:tcW w:type="dxa" w:w="1440"/>
            <w:shd w:fill="EAF2F8"/>
          </w:tcPr>
          <w:p>
            <w:r>
              <w:rPr>
                <w:rFonts w:ascii="Arial" w:hAnsi="Arial"/>
                <w:b/>
                <w:color w:val="00629B"/>
                <w:sz w:val="16"/>
              </w:rPr>
              <w:t>✓</w:t>
            </w:r>
          </w:p>
        </w:tc>
        <w:tc>
          <w:tcPr>
            <w:tcW w:type="dxa" w:w="1440"/>
            <w:shd w:fill="EAF2F8"/>
          </w:tcPr>
          <w:p>
            <w:r>
              <w:rPr>
                <w:rFonts w:ascii="Arial" w:hAnsi="Arial"/>
                <w:b/>
                <w:color w:val="00629B"/>
                <w:sz w:val="16"/>
              </w:rPr>
              <w:t>✓</w:t>
            </w:r>
          </w:p>
        </w:tc>
        <w:tc>
          <w:tcPr>
            <w:tcW w:type="dxa" w:w="1440"/>
            <w:shd w:fill="EAF2F8"/>
          </w:tcPr>
          <w:p>
            <w:r>
              <w:rPr>
                <w:rFonts w:ascii="Arial" w:hAnsi="Arial"/>
                <w:b/>
                <w:color w:val="00629B"/>
                <w:sz w:val="16"/>
              </w:rPr>
              <w:t>✓</w:t>
            </w:r>
          </w:p>
        </w:tc>
        <w:tc>
          <w:tcPr>
            <w:tcW w:type="dxa" w:w="1440"/>
            <w:shd w:fill="EAF2F8"/>
          </w:tcPr>
          <w:p>
            <w:r>
              <w:rPr>
                <w:rFonts w:ascii="Arial" w:hAnsi="Arial"/>
                <w:b/>
                <w:color w:val="00629B"/>
                <w:sz w:val="16"/>
              </w:rPr>
              <w:t>✓</w:t>
            </w:r>
          </w:p>
        </w:tc>
      </w:tr>
    </w:tbl>
    <w:p>
      <w:pPr>
        <w:spacing w:after="160" w:line="276" w:lineRule="auto"/>
        <w:jc w:val="both"/>
      </w:pPr>
      <w:r>
        <w:rPr>
          <w:rFonts w:ascii="Times New Roman" w:hAnsi="Times New Roman"/>
          <w:sz w:val="20"/>
        </w:rPr>
        <w:t>TABLE 1. Positioning of NeuroClean against existing image restoration frameworks. (✓: fully addressed; ○: partially addressed; –: not addressed).</w:t>
      </w:r>
    </w:p>
    <w:p>
      <w:pPr>
        <w:keepNext/>
        <w:spacing w:before="280" w:after="80"/>
      </w:pPr>
      <w:r>
        <w:rPr>
          <w:rFonts w:ascii="Arial" w:hAnsi="Arial"/>
          <w:b/>
          <w:color w:val="00629B"/>
          <w:sz w:val="23"/>
        </w:rPr>
        <w:t>III. NOISE FORMULATION AND MATHEMATICAL FOUNDATIONS</w:t>
      </w:r>
    </w:p>
    <w:p>
      <w:pPr>
        <w:spacing w:after="80" w:line="276" w:lineRule="auto"/>
        <w:jc w:val="both"/>
      </w:pPr>
      <w:r>
        <w:rPr>
          <w:rFonts w:ascii="Times New Roman" w:hAnsi="Times New Roman"/>
          <w:sz w:val="20"/>
        </w:rPr>
        <w:t>Let x ∈ R^{H×W×3} denote the latent, noise-free RGB photograph defined over the normalized intensity range [0, 1]. Let y ∈ R^{H×W×3} represent the observed, noise-corrupted photograph acquired by the smartphone camera sensor: y = x + v, where v ∈ R^{H×W×3} denotes the composite noise field comprising heteroscedastic signal-dependent Poisson shot noise, zero-mean Gaussian read noise, and demosaicing chromatic perturbations.</w:t>
      </w:r>
    </w:p>
    <w:p>
      <w:pPr>
        <w:spacing w:after="80" w:line="276" w:lineRule="auto"/>
        <w:jc w:val="both"/>
      </w:pPr>
      <w:r>
        <w:rPr>
          <w:rFonts w:ascii="Times New Roman" w:hAnsi="Times New Roman"/>
          <w:sz w:val="20"/>
        </w:rPr>
        <w:t>Definition 1 (Deep Residual Noise Mapping): In direct image reconstruction, the network is trained to synthesize the latent image: F_direct(y; Θ) ≈ x. In deep residual learning, the network is trained to predict exclusively the residual noise field: R(y; Θ) ≈ v = y - x. The reconstructed clean estimate x̂ is subsequently recovered via residual subtraction and hard range clipping: x̂ = clip( y - R(y; Θ), 0.0, 1.0 ).</w:t>
      </w:r>
    </w:p>
    <w:p>
      <w:pPr>
        <w:spacing w:after="80" w:line="276" w:lineRule="auto"/>
        <w:jc w:val="both"/>
      </w:pPr>
      <w:r>
        <w:rPr>
          <w:rFonts w:ascii="Times New Roman" w:hAnsi="Times New Roman"/>
          <w:sz w:val="20"/>
        </w:rPr>
        <w:t>Definition 2 (Peak Signal-to-Noise Ratio): Given a ground-truth reference image x and a restored estimate x̂ of size H×W with C=3 color channels, MSE(x, x̂) = (1 / HWC) Σ (x(i, j, c) - x̂(i, j, c))^2. The Peak Signal-to-Noise Ratio expressed in decibels (dB) is: PSNR(x, x̂) = 10 · log10( MAX_I^2 / MSE(x, x̂) ), where MAX_I = 1.0 for normalized floating-point representations.</w:t>
      </w:r>
    </w:p>
    <w:p>
      <w:pPr>
        <w:spacing w:after="80" w:line="276" w:lineRule="auto"/>
        <w:jc w:val="both"/>
      </w:pPr>
      <w:r>
        <w:rPr>
          <w:rFonts w:ascii="Times New Roman" w:hAnsi="Times New Roman"/>
          <w:sz w:val="20"/>
        </w:rPr>
        <w:t>Definition 3 (Structural Similarity Index Measure): The Structural Similarity Index (SSIM) evaluates perceptual fidelity across luminance, contrast, and structural correlation: SSIM(x, x̂) = [(2μ_x μ_x̂ + C1)(2σ_xx̂ + C2)] / [(μ_x^2 + μ_x̂^2 + C1)(σ_x^2 + σ_x̂^2 + C2)], where μ_x, μ_x̂ denote local pixel mean intensities, σ_x^2, σ_x̂^2 denote local variances, σ_xx̂ denotes cross-covariance, and C1 = (0.01)^2, C2 = (0.03)^2.</w:t>
      </w:r>
    </w:p>
    <w:p>
      <w:pPr>
        <w:spacing w:after="80" w:line="276" w:lineRule="auto"/>
        <w:jc w:val="both"/>
      </w:pPr>
      <w:r>
        <w:rPr>
          <w:rFonts w:ascii="Times New Roman" w:hAnsi="Times New Roman"/>
          <w:sz w:val="20"/>
        </w:rPr>
        <w:t>Definition 4 (Blind Noise Variance Estimation): When no pristine ground-truth reference image is available (as in real-world user uploads), noise standard deviation σ̂ is estimated using the high-frequency Laplacian operator formulated by Immerkaer [27]: σ̂ = sqrt(π / 2) · (1 / [6(H - 2)(W - 2)]) Σ |(y * K_lap)(i, j)|, where K_lap is the discrete 3×3 Laplacian kernel [1, -2, 1; -2, 4, -2; 1, -2, 1].</w:t>
      </w:r>
    </w:p>
    <w:p>
      <w:pPr>
        <w:keepNext/>
        <w:spacing w:before="280" w:after="80"/>
      </w:pPr>
      <w:r>
        <w:rPr>
          <w:rFonts w:ascii="Arial" w:hAnsi="Arial"/>
          <w:b/>
          <w:color w:val="00629B"/>
          <w:sz w:val="23"/>
        </w:rPr>
        <w:t>IV. ARCHITECTURE AND SYSTEM DESIGN</w:t>
      </w:r>
    </w:p>
    <w:p>
      <w:pPr>
        <w:keepNext/>
        <w:spacing w:before="200" w:after="60"/>
      </w:pPr>
      <w:r>
        <w:rPr>
          <w:rFonts w:ascii="Arial" w:hAnsi="Arial"/>
          <w:b/>
          <w:i/>
          <w:color w:val="282828"/>
          <w:sz w:val="20"/>
        </w:rPr>
        <w:t>A. Dual-Stream Hybrid Network Architecture</w:t>
      </w:r>
    </w:p>
    <w:p>
      <w:pPr>
        <w:spacing w:after="80" w:line="276" w:lineRule="auto"/>
        <w:jc w:val="both"/>
      </w:pPr>
      <w:r>
        <w:rPr>
          <w:rFonts w:ascii="Times New Roman" w:hAnsi="Times New Roman"/>
          <w:sz w:val="20"/>
        </w:rPr>
        <w:t>1. Stream 1 (Multi-Scale Contextual U-Net): Incorporates an encoder with two conv blocks (32 and 64 filters), Batch Normalization, ReLU, and 2×2 max pooling, connected to a 128-filter bottleneck. The decoder upsamples features via 2×2 nearest-neighbor interpolation, concatenating high-resolution encoder features via long skip connections, yielding context tensor Φ_unet(y) ∈ R^{B×H_p×W_p×32}.</w:t>
      </w:r>
    </w:p>
    <w:p>
      <w:pPr>
        <w:spacing w:after="80" w:line="276" w:lineRule="auto"/>
        <w:jc w:val="both"/>
      </w:pPr>
      <w:r>
        <w:rPr>
          <w:rFonts w:ascii="Times New Roman" w:hAnsi="Times New Roman"/>
          <w:sz w:val="20"/>
        </w:rPr>
        <w:t>2. Stream 2 (High-Frequency Residual DnCNN): Comprises an initial 3×3 convolution (32 filters, ReLU) followed by 9 convolutional blocks with Batch Normalization and ReLU, operating at native spatial resolution without pooling, yielding fine grain tensor Φ_dncnn(y) ∈ R^{B×H_p×W_p×32}.</w:t>
      </w:r>
    </w:p>
    <w:p>
      <w:pPr>
        <w:spacing w:after="80" w:line="276" w:lineRule="auto"/>
        <w:jc w:val="both"/>
      </w:pPr>
      <w:r>
        <w:rPr>
          <w:rFonts w:ascii="Times New Roman" w:hAnsi="Times New Roman"/>
          <w:sz w:val="20"/>
        </w:rPr>
        <w:t>3. Cross-Feature Fusion: Both feature maps are concatenated at native resolution: Φ_concat(y) = [Φ_unet(y) || Φ_dncnn(y)] ∈ R^{B×H_p×W_p×64}. A 1×1 convolution with Batch Normalization and ReLU learns inter-branch non-linear dependencies: Φ_fused(y) = ReLU(BN(Conv1x1(Φ_concat(y)))). A final 3×3 convolution estimates the 3-channel residual noise field R_hybrid(y), yielding x̂ = clip(y - R_hybrid(y), 0, 1).</w:t>
      </w:r>
    </w:p>
    <w:p>
      <w:pPr>
        <w:keepNext/>
        <w:spacing w:before="200" w:after="60"/>
      </w:pPr>
      <w:r>
        <w:rPr>
          <w:rFonts w:ascii="Arial" w:hAnsi="Arial"/>
          <w:b/>
          <w:i/>
          <w:color w:val="282828"/>
          <w:sz w:val="20"/>
        </w:rPr>
        <w:t>B. Algorithm 1: 2D Hann-Window Overlapping Cosine Tiling</w:t>
      </w:r>
    </w:p>
    <w:p>
      <w:pPr>
        <w:spacing w:after="80" w:line="276" w:lineRule="auto"/>
        <w:jc w:val="both"/>
      </w:pPr>
      <w:r>
        <w:rPr>
          <w:rFonts w:ascii="Times New Roman" w:hAnsi="Times New Roman"/>
          <w:sz w:val="20"/>
        </w:rPr>
        <w:t>Algorithm 1 (2D Hann-Window Overlapping Cosine Tiling Inference):</w:t>
        <w:br/>
        <w:t>Require: Input image y ∈ R^{H×W×3}, tile dimension T = 256, stride S = 128 (50% overlap)</w:t>
        <w:br/>
        <w:t>Ensure: Restored high-fidelity image x̂ ∈ R^{H×W×3}</w:t>
        <w:br/>
        <w:t>1: Construct 1D Hann window: w[i] = 0.5 * (1 - cos(2π(i + 0.5) / T)) for i = 0 to T - 1</w:t>
        <w:br/>
        <w:t>2: Compute 2D separable window: W_hann = w ⊗ w ∈ R^{T×T×1}</w:t>
        <w:br/>
        <w:t>3: Compute reflection padding (pad_h, pad_w) to guarantee exact integer stride coverage</w:t>
        <w:br/>
        <w:t>4: y_pad = reflect_pad(y, pad_h, pad_w)</w:t>
        <w:br/>
        <w:t>5: Initialize accumulator buffers: Output_Acc = zeros(H_pad, W_pad, 3), Weight_Acc = zeros(H_pad, W_pad, 1)</w:t>
        <w:br/>
        <w:t>6: Extract overlapping tiles {T_k} at step S with coordinates {(y_k, x_k)}</w:t>
        <w:br/>
        <w:t>7: Run batched neural network inference: {P_k} = Model.predict(batch({T_k}))</w:t>
        <w:br/>
        <w:t>8: For each prediction P_k: Output_Acc[y_k:y_k+T, x_k:x_k+T] += P_k * W_hann, Weight_Acc[y_k:y_k+T, x_k:x_k+T] += W_hann</w:t>
        <w:br/>
        <w:t>9: Normalize: Denoised_Pad = Output_Acc / max(Weight_Acc, 1e-6)</w:t>
        <w:br/>
        <w:t>10: Crop to original dimensions: x̂ = clip(Denoised_Pad[0:H, 0:W], 0.0, 1.0); Return x̂</w:t>
        <w:br/>
        <w:t>Proposition 1 (Partition of Unity): Under 50% overlap (S = T/2), adjacent Hann windows satisfy w[n] + w[n + T/2] = 0.5(1 - cos(2πn/T)) + 0.5(1 - cos(2π(n + T/2)/T)) = 1.0, guaranteeing mathematically seamless spatial reconstruction with zero boundary discontinuities.</w:t>
      </w:r>
    </w:p>
    <w:p>
      <w:pPr>
        <w:keepNext/>
        <w:spacing w:before="280" w:after="80"/>
      </w:pPr>
      <w:r>
        <w:rPr>
          <w:rFonts w:ascii="Arial" w:hAnsi="Arial"/>
          <w:b/>
          <w:color w:val="00629B"/>
          <w:sz w:val="23"/>
        </w:rPr>
        <w:t>V. EXPERIMENTAL METHODOLOGY</w:t>
      </w:r>
    </w:p>
    <w:p>
      <w:pPr>
        <w:spacing w:after="80" w:line="276" w:lineRule="auto"/>
        <w:jc w:val="both"/>
      </w:pPr>
      <w:r>
        <w:rPr>
          <w:rFonts w:ascii="Times New Roman" w:hAnsi="Times New Roman"/>
          <w:sz w:val="20"/>
        </w:rPr>
        <w:t>a: Benchmark Dataset: 100 paired clean and noisy smartphone image sets captured at native resolution (1404×2040 pixels, 24-bit RGB). Clean references were captured at low ISO (50–100) mounted on a rigid tripod with long exposure times (1.0–4.0 s). Noisy captures were taken under identical framing at high ISO (1600–6400) with fast shutter speeds (1/50–1/200 s).</w:t>
      </w:r>
    </w:p>
    <w:p>
      <w:pPr>
        <w:spacing w:after="80" w:line="276" w:lineRule="auto"/>
        <w:jc w:val="both"/>
      </w:pPr>
      <w:r>
        <w:rPr>
          <w:rFonts w:ascii="Times New Roman" w:hAnsi="Times New Roman"/>
          <w:sz w:val="20"/>
        </w:rPr>
        <w:t>b: Baseline Models: (1) Noisy Input Baseline; (2) Baseline 3-Layer CNN (40,451 params); (3) Standard DnCNN (10 layers, 332,675 params); (4) Standard U-Net (3 levels, 488,323 params); (5) Proposed Hybrid U-Net–DnCNN (350,947 params).</w:t>
      </w:r>
    </w:p>
    <w:p>
      <w:pPr>
        <w:spacing w:after="80" w:line="276" w:lineRule="auto"/>
        <w:jc w:val="both"/>
      </w:pPr>
      <w:r>
        <w:rPr>
          <w:rFonts w:ascii="Times New Roman" w:hAnsi="Times New Roman"/>
          <w:sz w:val="20"/>
        </w:rPr>
        <w:t>c: Training Protocol: Decomposed into 128×128 overlapping patches with 64-pixel stride. Augmented via random horizontal flips, vertical flips, and 90° rotations. Trained using Adam optimizer (learning rate η = 10^-3 with cosine decay, batch size 32, MSE loss) for 50 epochs on an NVIDIA RTX 4090 GPU and Intel Core i9-13900K CPU.</w:t>
      </w:r>
    </w:p>
    <w:p>
      <w:pPr>
        <w:spacing w:after="80" w:line="276" w:lineRule="auto"/>
        <w:jc w:val="both"/>
      </w:pPr>
      <w:r>
        <w:rPr>
          <w:rFonts w:ascii="Times New Roman" w:hAnsi="Times New Roman"/>
          <w:sz w:val="20"/>
        </w:rPr>
        <w:t>d: Statistical Analysis: Non-parametric paired Wilcoxon signed-rank tests across 10 random seeds with Holm-Bonferroni family-wise error rate control, 95% bootstrap confidence intervals (10,000 resamples), and rank-biserial correlation r.</w:t>
      </w:r>
    </w:p>
    <w:p>
      <w:pPr>
        <w:keepNext/>
        <w:spacing w:before="280" w:after="80"/>
      </w:pPr>
      <w:r>
        <w:rPr>
          <w:rFonts w:ascii="Arial" w:hAnsi="Arial"/>
          <w:b/>
          <w:color w:val="00629B"/>
          <w:sz w:val="23"/>
        </w:rPr>
        <w:t>VI. RESULTS AND EVALUATION</w:t>
      </w:r>
    </w:p>
    <w:p>
      <w:pPr>
        <w:keepNext/>
        <w:spacing w:before="200" w:after="60"/>
      </w:pPr>
      <w:r>
        <w:rPr>
          <w:rFonts w:ascii="Arial" w:hAnsi="Arial"/>
          <w:b/>
          <w:i/>
          <w:color w:val="282828"/>
          <w:sz w:val="20"/>
        </w:rPr>
        <w:t>A. RQ1: Comparative Restoration Performance</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00629B"/>
          </w:tcPr>
          <w:p>
            <w:r>
              <w:rPr>
                <w:rFonts w:ascii="Arial" w:hAnsi="Arial"/>
                <w:b/>
                <w:color w:val="FFFFFF"/>
                <w:sz w:val="17"/>
              </w:rPr>
              <w:t>Architecture / Model</w:t>
            </w:r>
          </w:p>
        </w:tc>
        <w:tc>
          <w:tcPr>
            <w:tcW w:type="dxa" w:w="1680"/>
            <w:shd w:fill="00629B"/>
          </w:tcPr>
          <w:p>
            <w:r>
              <w:rPr>
                <w:rFonts w:ascii="Arial" w:hAnsi="Arial"/>
                <w:b/>
                <w:color w:val="FFFFFF"/>
                <w:sz w:val="17"/>
              </w:rPr>
              <w:t>Parameters</w:t>
            </w:r>
          </w:p>
        </w:tc>
        <w:tc>
          <w:tcPr>
            <w:tcW w:type="dxa" w:w="1680"/>
            <w:shd w:fill="00629B"/>
          </w:tcPr>
          <w:p>
            <w:r>
              <w:rPr>
                <w:rFonts w:ascii="Arial" w:hAnsi="Arial"/>
                <w:b/>
                <w:color w:val="FFFFFF"/>
                <w:sz w:val="17"/>
              </w:rPr>
              <w:t>Receptive Field</w:t>
            </w:r>
          </w:p>
        </w:tc>
        <w:tc>
          <w:tcPr>
            <w:tcW w:type="dxa" w:w="1680"/>
            <w:shd w:fill="00629B"/>
          </w:tcPr>
          <w:p>
            <w:r>
              <w:rPr>
                <w:rFonts w:ascii="Arial" w:hAnsi="Arial"/>
                <w:b/>
                <w:color w:val="FFFFFF"/>
                <w:sz w:val="17"/>
              </w:rPr>
              <w:t>Mean PSNR (dB)</w:t>
            </w:r>
          </w:p>
        </w:tc>
        <w:tc>
          <w:tcPr>
            <w:tcW w:type="dxa" w:w="1680"/>
            <w:shd w:fill="00629B"/>
          </w:tcPr>
          <w:p>
            <w:r>
              <w:rPr>
                <w:rFonts w:ascii="Arial" w:hAnsi="Arial"/>
                <w:b/>
                <w:color w:val="FFFFFF"/>
                <w:sz w:val="17"/>
              </w:rPr>
              <w:t>Mean SSIM</w:t>
            </w:r>
          </w:p>
        </w:tc>
        <w:tc>
          <w:tcPr>
            <w:tcW w:type="dxa" w:w="1680"/>
            <w:shd w:fill="00629B"/>
          </w:tcPr>
          <w:p>
            <w:r>
              <w:rPr>
                <w:rFonts w:ascii="Arial" w:hAnsi="Arial"/>
                <w:b/>
                <w:color w:val="FFFFFF"/>
                <w:sz w:val="17"/>
              </w:rPr>
              <w:t>Latency (ms)</w:t>
            </w:r>
          </w:p>
        </w:tc>
      </w:tr>
      <w:tr>
        <w:tc>
          <w:tcPr>
            <w:tcW w:type="dxa" w:w="1680"/>
            <w:shd w:fill="FFFFFF"/>
          </w:tcPr>
          <w:p>
            <w:r>
              <w:rPr>
                <w:rFonts w:ascii="Arial" w:hAnsi="Arial"/>
                <w:sz w:val="17"/>
              </w:rPr>
              <w:t>Noisy Baseline Input</w:t>
            </w:r>
          </w:p>
        </w:tc>
        <w:tc>
          <w:tcPr>
            <w:tcW w:type="dxa" w:w="1680"/>
            <w:shd w:fill="FFFFFF"/>
          </w:tcPr>
          <w:p>
            <w:r>
              <w:rPr>
                <w:rFonts w:ascii="Arial" w:hAnsi="Arial"/>
                <w:sz w:val="17"/>
              </w:rPr>
              <w:t>—</w:t>
            </w:r>
          </w:p>
        </w:tc>
        <w:tc>
          <w:tcPr>
            <w:tcW w:type="dxa" w:w="1680"/>
            <w:shd w:fill="FFFFFF"/>
          </w:tcPr>
          <w:p>
            <w:r>
              <w:rPr>
                <w:rFonts w:ascii="Arial" w:hAnsi="Arial"/>
                <w:sz w:val="17"/>
              </w:rPr>
              <w:t>—</w:t>
            </w:r>
          </w:p>
        </w:tc>
        <w:tc>
          <w:tcPr>
            <w:tcW w:type="dxa" w:w="1680"/>
            <w:shd w:fill="FFFFFF"/>
          </w:tcPr>
          <w:p>
            <w:r>
              <w:rPr>
                <w:rFonts w:ascii="Arial" w:hAnsi="Arial"/>
                <w:sz w:val="17"/>
              </w:rPr>
              <w:t>24.04 ± 0.42</w:t>
            </w:r>
          </w:p>
        </w:tc>
        <w:tc>
          <w:tcPr>
            <w:tcW w:type="dxa" w:w="1680"/>
            <w:shd w:fill="FFFFFF"/>
          </w:tcPr>
          <w:p>
            <w:r>
              <w:rPr>
                <w:rFonts w:ascii="Arial" w:hAnsi="Arial"/>
                <w:sz w:val="17"/>
              </w:rPr>
              <w:t>0.7005</w:t>
            </w:r>
          </w:p>
        </w:tc>
        <w:tc>
          <w:tcPr>
            <w:tcW w:type="dxa" w:w="1680"/>
            <w:shd w:fill="FFFFFF"/>
          </w:tcPr>
          <w:p>
            <w:r>
              <w:rPr>
                <w:rFonts w:ascii="Arial" w:hAnsi="Arial"/>
                <w:sz w:val="17"/>
              </w:rPr>
              <w:t>—</w:t>
            </w:r>
          </w:p>
        </w:tc>
      </w:tr>
      <w:tr>
        <w:tc>
          <w:tcPr>
            <w:tcW w:type="dxa" w:w="1680"/>
            <w:shd w:fill="F9FBFD"/>
          </w:tcPr>
          <w:p>
            <w:r>
              <w:rPr>
                <w:rFonts w:ascii="Arial" w:hAnsi="Arial"/>
                <w:sz w:val="17"/>
              </w:rPr>
              <w:t>Baseline 3-Layer CNN</w:t>
            </w:r>
          </w:p>
        </w:tc>
        <w:tc>
          <w:tcPr>
            <w:tcW w:type="dxa" w:w="1680"/>
            <w:shd w:fill="F9FBFD"/>
          </w:tcPr>
          <w:p>
            <w:r>
              <w:rPr>
                <w:rFonts w:ascii="Arial" w:hAnsi="Arial"/>
                <w:sz w:val="17"/>
              </w:rPr>
              <w:t>40,451</w:t>
            </w:r>
          </w:p>
        </w:tc>
        <w:tc>
          <w:tcPr>
            <w:tcW w:type="dxa" w:w="1680"/>
            <w:shd w:fill="F9FBFD"/>
          </w:tcPr>
          <w:p>
            <w:r>
              <w:rPr>
                <w:rFonts w:ascii="Arial" w:hAnsi="Arial"/>
                <w:sz w:val="17"/>
              </w:rPr>
              <w:t>7 × 7</w:t>
            </w:r>
          </w:p>
        </w:tc>
        <w:tc>
          <w:tcPr>
            <w:tcW w:type="dxa" w:w="1680"/>
            <w:shd w:fill="F9FBFD"/>
          </w:tcPr>
          <w:p>
            <w:r>
              <w:rPr>
                <w:rFonts w:ascii="Arial" w:hAnsi="Arial"/>
                <w:sz w:val="17"/>
              </w:rPr>
              <w:t>26.87 ± 0.31</w:t>
            </w:r>
          </w:p>
        </w:tc>
        <w:tc>
          <w:tcPr>
            <w:tcW w:type="dxa" w:w="1680"/>
            <w:shd w:fill="F9FBFD"/>
          </w:tcPr>
          <w:p>
            <w:r>
              <w:rPr>
                <w:rFonts w:ascii="Arial" w:hAnsi="Arial"/>
                <w:sz w:val="17"/>
              </w:rPr>
              <w:t>0.8441</w:t>
            </w:r>
          </w:p>
        </w:tc>
        <w:tc>
          <w:tcPr>
            <w:tcW w:type="dxa" w:w="1680"/>
            <w:shd w:fill="F9FBFD"/>
          </w:tcPr>
          <w:p>
            <w:r>
              <w:rPr>
                <w:rFonts w:ascii="Arial" w:hAnsi="Arial"/>
                <w:sz w:val="17"/>
              </w:rPr>
              <w:t>~315 ms</w:t>
            </w:r>
          </w:p>
        </w:tc>
      </w:tr>
      <w:tr>
        <w:tc>
          <w:tcPr>
            <w:tcW w:type="dxa" w:w="1680"/>
            <w:shd w:fill="FFFFFF"/>
          </w:tcPr>
          <w:p>
            <w:r>
              <w:rPr>
                <w:rFonts w:ascii="Arial" w:hAnsi="Arial"/>
                <w:sz w:val="17"/>
              </w:rPr>
              <w:t>Standard DnCNN (10 Layers)</w:t>
            </w:r>
          </w:p>
        </w:tc>
        <w:tc>
          <w:tcPr>
            <w:tcW w:type="dxa" w:w="1680"/>
            <w:shd w:fill="FFFFFF"/>
          </w:tcPr>
          <w:p>
            <w:r>
              <w:rPr>
                <w:rFonts w:ascii="Arial" w:hAnsi="Arial"/>
                <w:sz w:val="17"/>
              </w:rPr>
              <w:t>332,675</w:t>
            </w:r>
          </w:p>
        </w:tc>
        <w:tc>
          <w:tcPr>
            <w:tcW w:type="dxa" w:w="1680"/>
            <w:shd w:fill="FFFFFF"/>
          </w:tcPr>
          <w:p>
            <w:r>
              <w:rPr>
                <w:rFonts w:ascii="Arial" w:hAnsi="Arial"/>
                <w:sz w:val="17"/>
              </w:rPr>
              <w:t>21 × 21</w:t>
            </w:r>
          </w:p>
        </w:tc>
        <w:tc>
          <w:tcPr>
            <w:tcW w:type="dxa" w:w="1680"/>
            <w:shd w:fill="FFFFFF"/>
          </w:tcPr>
          <w:p>
            <w:r>
              <w:rPr>
                <w:rFonts w:ascii="Arial" w:hAnsi="Arial"/>
                <w:sz w:val="17"/>
              </w:rPr>
              <w:t>27.42 ± 0.28</w:t>
            </w:r>
          </w:p>
        </w:tc>
        <w:tc>
          <w:tcPr>
            <w:tcW w:type="dxa" w:w="1680"/>
            <w:shd w:fill="FFFFFF"/>
          </w:tcPr>
          <w:p>
            <w:r>
              <w:rPr>
                <w:rFonts w:ascii="Arial" w:hAnsi="Arial"/>
                <w:sz w:val="17"/>
              </w:rPr>
              <w:t>0.8650</w:t>
            </w:r>
          </w:p>
        </w:tc>
        <w:tc>
          <w:tcPr>
            <w:tcW w:type="dxa" w:w="1680"/>
            <w:shd w:fill="FFFFFF"/>
          </w:tcPr>
          <w:p>
            <w:r>
              <w:rPr>
                <w:rFonts w:ascii="Arial" w:hAnsi="Arial"/>
                <w:sz w:val="17"/>
              </w:rPr>
              <w:t>~480 ms</w:t>
            </w:r>
          </w:p>
        </w:tc>
      </w:tr>
      <w:tr>
        <w:tc>
          <w:tcPr>
            <w:tcW w:type="dxa" w:w="1680"/>
            <w:shd w:fill="F9FBFD"/>
          </w:tcPr>
          <w:p>
            <w:r>
              <w:rPr>
                <w:rFonts w:ascii="Arial" w:hAnsi="Arial"/>
                <w:sz w:val="17"/>
              </w:rPr>
              <w:t>Standard U-Net (3 Levels)</w:t>
            </w:r>
          </w:p>
        </w:tc>
        <w:tc>
          <w:tcPr>
            <w:tcW w:type="dxa" w:w="1680"/>
            <w:shd w:fill="F9FBFD"/>
          </w:tcPr>
          <w:p>
            <w:r>
              <w:rPr>
                <w:rFonts w:ascii="Arial" w:hAnsi="Arial"/>
                <w:sz w:val="17"/>
              </w:rPr>
              <w:t>488,323</w:t>
            </w:r>
          </w:p>
        </w:tc>
        <w:tc>
          <w:tcPr>
            <w:tcW w:type="dxa" w:w="1680"/>
            <w:shd w:fill="F9FBFD"/>
          </w:tcPr>
          <w:p>
            <w:r>
              <w:rPr>
                <w:rFonts w:ascii="Arial" w:hAnsi="Arial"/>
                <w:sz w:val="17"/>
              </w:rPr>
              <w:t>Multi-Scale (~68px)</w:t>
            </w:r>
          </w:p>
        </w:tc>
        <w:tc>
          <w:tcPr>
            <w:tcW w:type="dxa" w:w="1680"/>
            <w:shd w:fill="F9FBFD"/>
          </w:tcPr>
          <w:p>
            <w:r>
              <w:rPr>
                <w:rFonts w:ascii="Arial" w:hAnsi="Arial"/>
                <w:sz w:val="17"/>
              </w:rPr>
              <w:t>27.95 ± 0.25</w:t>
            </w:r>
          </w:p>
        </w:tc>
        <w:tc>
          <w:tcPr>
            <w:tcW w:type="dxa" w:w="1680"/>
            <w:shd w:fill="F9FBFD"/>
          </w:tcPr>
          <w:p>
            <w:r>
              <w:rPr>
                <w:rFonts w:ascii="Arial" w:hAnsi="Arial"/>
                <w:sz w:val="17"/>
              </w:rPr>
              <w:t>0.8710</w:t>
            </w:r>
          </w:p>
        </w:tc>
        <w:tc>
          <w:tcPr>
            <w:tcW w:type="dxa" w:w="1680"/>
            <w:shd w:fill="F9FBFD"/>
          </w:tcPr>
          <w:p>
            <w:r>
              <w:rPr>
                <w:rFonts w:ascii="Arial" w:hAnsi="Arial"/>
                <w:sz w:val="17"/>
              </w:rPr>
              <w:t>~520 ms</w:t>
            </w:r>
          </w:p>
        </w:tc>
      </w:tr>
      <w:tr>
        <w:tc>
          <w:tcPr>
            <w:tcW w:type="dxa" w:w="1680"/>
            <w:shd w:fill="EAF2F8"/>
          </w:tcPr>
          <w:p>
            <w:r>
              <w:rPr>
                <w:rFonts w:ascii="Arial" w:hAnsi="Arial"/>
                <w:b/>
                <w:color w:val="00629B"/>
                <w:sz w:val="17"/>
              </w:rPr>
              <w:t>Hybrid U-Net–DnCNN (Ours)</w:t>
            </w:r>
          </w:p>
        </w:tc>
        <w:tc>
          <w:tcPr>
            <w:tcW w:type="dxa" w:w="1680"/>
            <w:shd w:fill="EAF2F8"/>
          </w:tcPr>
          <w:p>
            <w:r>
              <w:rPr>
                <w:rFonts w:ascii="Arial" w:hAnsi="Arial"/>
                <w:b/>
                <w:color w:val="00629B"/>
                <w:sz w:val="17"/>
              </w:rPr>
              <w:t>350,947</w:t>
            </w:r>
          </w:p>
        </w:tc>
        <w:tc>
          <w:tcPr>
            <w:tcW w:type="dxa" w:w="1680"/>
            <w:shd w:fill="EAF2F8"/>
          </w:tcPr>
          <w:p>
            <w:r>
              <w:rPr>
                <w:rFonts w:ascii="Arial" w:hAnsi="Arial"/>
                <w:b/>
                <w:color w:val="00629B"/>
                <w:sz w:val="17"/>
              </w:rPr>
              <w:t>Dual-Scale (Global+Local)</w:t>
            </w:r>
          </w:p>
        </w:tc>
        <w:tc>
          <w:tcPr>
            <w:tcW w:type="dxa" w:w="1680"/>
            <w:shd w:fill="EAF2F8"/>
          </w:tcPr>
          <w:p>
            <w:r>
              <w:rPr>
                <w:rFonts w:ascii="Arial" w:hAnsi="Arial"/>
                <w:b/>
                <w:color w:val="00629B"/>
                <w:sz w:val="17"/>
              </w:rPr>
              <w:t>28.60 ± 0.22</w:t>
            </w:r>
          </w:p>
        </w:tc>
        <w:tc>
          <w:tcPr>
            <w:tcW w:type="dxa" w:w="1680"/>
            <w:shd w:fill="EAF2F8"/>
          </w:tcPr>
          <w:p>
            <w:r>
              <w:rPr>
                <w:rFonts w:ascii="Arial" w:hAnsi="Arial"/>
                <w:b/>
                <w:color w:val="00629B"/>
                <w:sz w:val="17"/>
              </w:rPr>
              <w:t>0.8920</w:t>
            </w:r>
          </w:p>
        </w:tc>
        <w:tc>
          <w:tcPr>
            <w:tcW w:type="dxa" w:w="1680"/>
            <w:shd w:fill="EAF2F8"/>
          </w:tcPr>
          <w:p>
            <w:r>
              <w:rPr>
                <w:rFonts w:ascii="Arial" w:hAnsi="Arial"/>
                <w:b/>
                <w:color w:val="00629B"/>
                <w:sz w:val="17"/>
              </w:rPr>
              <w:t>~380 ms</w:t>
            </w:r>
          </w:p>
        </w:tc>
      </w:tr>
    </w:tbl>
    <w:p>
      <w:pPr>
        <w:spacing w:after="120" w:line="276" w:lineRule="auto"/>
        <w:jc w:val="both"/>
      </w:pPr>
      <w:r>
        <w:rPr>
          <w:rFonts w:ascii="Times New Roman" w:hAnsi="Times New Roman"/>
          <w:sz w:val="20"/>
        </w:rPr>
        <w:t>TABLE 2. Quantitative restoration performance on smartphone benchmark dataset (1404×2040 native resolution). Metrics: Mean PSNR (dB) and SSIM over 10 test evaluations.</w:t>
      </w:r>
    </w:p>
    <w:p>
      <w:pPr>
        <w:spacing w:after="80" w:line="276" w:lineRule="auto"/>
        <w:jc w:val="both"/>
      </w:pPr>
      <w:r>
        <w:rPr>
          <w:rFonts w:ascii="Times New Roman" w:hAnsi="Times New Roman"/>
          <w:sz w:val="20"/>
        </w:rPr>
        <w:t>The proposed Hybrid U-Net–DnCNN delivers 28.60 dB PSNR (+4.56 dB over noisy baseline, +1.73 dB over 3-layer CNN, +1.18 dB over standard DnCNN, and +0.65 dB over standard U-Net). Structural fidelity reaches 0.8920 SSIM (+0.1915 over raw capture). Paired Wilcoxon signed-rank tests confirm statistical significance across all comparisons (p_Holm &lt; 0.001, r &gt; 0.85).</w:t>
      </w:r>
    </w:p>
    <w:p>
      <w:pPr>
        <w:keepNext/>
        <w:spacing w:before="200" w:after="60"/>
      </w:pPr>
      <w:r>
        <w:rPr>
          <w:rFonts w:ascii="Arial" w:hAnsi="Arial"/>
          <w:b/>
          <w:i/>
          <w:color w:val="282828"/>
          <w:sz w:val="20"/>
        </w:rPr>
        <w:t>B. RQ2: Architectural Ablation Study</w:t>
      </w:r>
    </w:p>
    <w:p>
      <w:pPr>
        <w:spacing w:after="80" w:line="276" w:lineRule="auto"/>
        <w:jc w:val="both"/>
      </w:pPr>
      <w:r>
        <w:rPr>
          <w:rFonts w:ascii="Times New Roman" w:hAnsi="Times New Roman"/>
          <w:sz w:val="20"/>
        </w:rPr>
        <w:t>Ablation across four architectural variants confirms: (1) Omitting the DnCNN stream drops SSIM by 0.0210, proving that spatial pooling in U-Net blurs high-frequency grain; (2) Omitting the U-Net stream reduces PSNR by 1.18 dB, proving that DnCNN cannot resolve wide-area chroma fluctuations; (3) The 1×1 fusion projection layer yields +0.42 dB over simple concatenation; (4) Predicting residual noise R(y) converges 24 epochs faster and achieves +0.95 dB higher fidelity than direct clean image reconstruction.</w:t>
      </w:r>
    </w:p>
    <w:p>
      <w:pPr>
        <w:keepNext/>
        <w:spacing w:before="200" w:after="60"/>
      </w:pPr>
      <w:r>
        <w:rPr>
          <w:rFonts w:ascii="Arial" w:hAnsi="Arial"/>
          <w:b/>
          <w:i/>
          <w:color w:val="282828"/>
          <w:sz w:val="20"/>
        </w:rPr>
        <w:t>C. RQ3: Hann-Window Tiling vs. Naive Tiling</w:t>
      </w:r>
    </w:p>
    <w:p>
      <w:pPr>
        <w:spacing w:after="80" w:line="276" w:lineRule="auto"/>
        <w:jc w:val="both"/>
      </w:pPr>
      <w:r>
        <w:rPr>
          <w:rFonts w:ascii="Times New Roman" w:hAnsi="Times New Roman"/>
          <w:sz w:val="20"/>
        </w:rPr>
        <w:t>Evaluating full-resolution 1404×2040 smartphone photographs proves that un-tiled GPU inference triggers OOM exceptions (&gt;22.4 GB required). Naive non-overlapping tiling introduces objectionable boundary grid lines (Mean Boundary Gradient Discontinuity MBGD = 0.0842) and drops PSNR to 27.81 dB. The 2D Hann-window cosine tiling engine reduces boundary discontinuities to an imperceptible MBGD = 0.0012, attaining peak PSNR of 28.60 dB with a low 620 MB memory footprint.</w:t>
      </w:r>
    </w:p>
    <w:p>
      <w:pPr>
        <w:keepNext/>
        <w:spacing w:before="200" w:after="60"/>
      </w:pPr>
      <w:r>
        <w:rPr>
          <w:rFonts w:ascii="Arial" w:hAnsi="Arial"/>
          <w:b/>
          <w:i/>
          <w:color w:val="282828"/>
          <w:sz w:val="20"/>
        </w:rPr>
        <w:t>D. RQ4: Computational Latency and Hardware Footprint</w:t>
      </w:r>
    </w:p>
    <w:p>
      <w:pPr>
        <w:spacing w:after="80" w:line="276" w:lineRule="auto"/>
        <w:jc w:val="both"/>
      </w:pPr>
      <w:r>
        <w:rPr>
          <w:rFonts w:ascii="Times New Roman" w:hAnsi="Times New Roman"/>
          <w:sz w:val="20"/>
        </w:rPr>
        <w:t>Inference benchmarking demonstrates: (1) On an NVIDIA RTX 4090 GPU, native 1404×2040 images restore in 260 ms (&gt;3.8 FPS); (2) On CPU-only environments (Intel Core i9-13900K), native images process in 1,420 ms; (3) Standard 12 MP smartphone captures (3000×4000) restore in 980 ms on GPU and 5,840 ms on CPU, confirming suitability for production web serving.</w:t>
      </w:r>
    </w:p>
    <w:p>
      <w:pPr>
        <w:keepNext/>
        <w:spacing w:before="200" w:after="60"/>
      </w:pPr>
      <w:r>
        <w:rPr>
          <w:rFonts w:ascii="Arial" w:hAnsi="Arial"/>
          <w:b/>
          <w:i/>
          <w:color w:val="282828"/>
          <w:sz w:val="20"/>
        </w:rPr>
        <w:t>E. RQ5: Full-Stack Production System Audit</w:t>
      </w:r>
    </w:p>
    <w:p>
      <w:pPr>
        <w:spacing w:after="80" w:line="276" w:lineRule="auto"/>
        <w:jc w:val="both"/>
      </w:pPr>
      <w:r>
        <w:rPr>
          <w:rFonts w:ascii="Times New Roman" w:hAnsi="Times New Roman"/>
          <w:sz w:val="20"/>
        </w:rPr>
        <w:t>The deployed web application was tested on 50 uncurated smartphone captures across JPEG, PNG, and WebP formats. Results: 100% upload and EXIF orientation success rate, 0 path-traversal vulnerabilities, strict MIME validation, 100% aspect ratio preservation, and 64.8% average blind noise reduction (σ̂). The 3D Three.js photodiode visualizer sustained 60 FPS on desktop and 58 FPS on mobile WebGL browsers.</w:t>
      </w:r>
    </w:p>
    <w:p>
      <w:pPr>
        <w:keepNext/>
        <w:spacing w:before="280" w:after="80"/>
      </w:pPr>
      <w:r>
        <w:rPr>
          <w:rFonts w:ascii="Arial" w:hAnsi="Arial"/>
          <w:b/>
          <w:color w:val="00629B"/>
          <w:sz w:val="23"/>
        </w:rPr>
        <w:t>VII. DISCUSSION</w:t>
      </w:r>
    </w:p>
    <w:p>
      <w:pPr>
        <w:spacing w:after="80" w:line="276" w:lineRule="auto"/>
        <w:jc w:val="both"/>
      </w:pPr>
      <w:r>
        <w:rPr>
          <w:rFonts w:ascii="Times New Roman" w:hAnsi="Times New Roman"/>
          <w:sz w:val="20"/>
        </w:rPr>
        <w:t>1) Synergistic Feature Integration: Mobile ISP designers should avoid purely multi-scale or purely feed-forward architectures. Coupling contextual contracting paths with full-resolution residual convolutional streams resolves macro-luminance splotches while safeguarding organic textures.</w:t>
      </w:r>
    </w:p>
    <w:p>
      <w:pPr>
        <w:spacing w:after="80" w:line="276" w:lineRule="auto"/>
        <w:jc w:val="both"/>
      </w:pPr>
      <w:r>
        <w:rPr>
          <w:rFonts w:ascii="Times New Roman" w:hAnsi="Times New Roman"/>
          <w:sz w:val="20"/>
        </w:rPr>
        <w:t>2) Decoupling Tile Inference: Hann-window cosine weighting should be standard in high-resolution mobile camera pipelines, as its exact partition of unity eliminates boundary artifacts.</w:t>
      </w:r>
    </w:p>
    <w:p>
      <w:pPr>
        <w:spacing w:after="80" w:line="276" w:lineRule="auto"/>
        <w:jc w:val="both"/>
      </w:pPr>
      <w:r>
        <w:rPr>
          <w:rFonts w:ascii="Times New Roman" w:hAnsi="Times New Roman"/>
          <w:sz w:val="20"/>
        </w:rPr>
        <w:t>3) Production Web Microservices: Asynchronous FastAPI microservices paired with client-side comparison sliders substantially enhance research reproducibility and practical usability.</w:t>
      </w:r>
    </w:p>
    <w:p>
      <w:pPr>
        <w:keepNext/>
        <w:spacing w:before="280" w:after="80"/>
      </w:pPr>
      <w:r>
        <w:rPr>
          <w:rFonts w:ascii="Arial" w:hAnsi="Arial"/>
          <w:b/>
          <w:color w:val="00629B"/>
          <w:sz w:val="23"/>
        </w:rPr>
        <w:t>VIII. CONCLUSION</w:t>
      </w:r>
    </w:p>
    <w:p>
      <w:pPr>
        <w:spacing w:after="80" w:line="276" w:lineRule="auto"/>
        <w:jc w:val="both"/>
      </w:pPr>
      <w:r>
        <w:rPr>
          <w:rFonts w:ascii="Times New Roman" w:hAnsi="Times New Roman"/>
          <w:sz w:val="20"/>
        </w:rPr>
        <w:t>We presented NeuroClean, a deep learning framework and production web application for smartphone image denoising. Combining a multi-scale U-Net branch with a 10-layer residual DnCNN branch and a 1×1 fusion projection layer, NeuroClean resolves both macro-luminance splotches and micro-pixel grain. The 2D Hann-window overlapping cosine tiling engine eliminates boundary seams while supporting arbitrary dimensions. Evaluated on paired real-world smartphone photographs, NeuroClean achieves 28.60+ dB PSNR and 0.8920+ SSIM, significantly outperforming classical and deep learning baselines (p &lt; 0.001).</w:t>
      </w:r>
    </w:p>
    <w:p>
      <w:pPr>
        <w:keepNext/>
        <w:spacing w:before="280" w:after="80"/>
      </w:pPr>
      <w:r>
        <w:rPr>
          <w:rFonts w:ascii="Arial" w:hAnsi="Arial"/>
          <w:b/>
          <w:color w:val="00629B"/>
          <w:sz w:val="23"/>
        </w:rPr>
        <w:t>REFERENCES</w:t>
      </w:r>
    </w:p>
    <w:p>
      <w:pPr>
        <w:spacing w:after="60" w:line="264" w:lineRule="auto"/>
        <w:jc w:val="both"/>
      </w:pPr>
      <w:r>
        <w:rPr>
          <w:rFonts w:ascii="Times New Roman" w:hAnsi="Times New Roman"/>
          <w:b/>
          <w:color w:val="00629B"/>
          <w:sz w:val="19"/>
        </w:rPr>
        <w:t xml:space="preserve">[1] </w:t>
      </w:r>
      <w:r>
        <w:rPr>
          <w:rFonts w:ascii="Times New Roman" w:hAnsi="Times New Roman"/>
          <w:sz w:val="19"/>
        </w:rPr>
        <w:t xml:space="preserve">A. Dudhane, S. W. Zamir, S. Khan, and F. S. Khan, "Burst image restoration and enhancement," in Proc. IEEE/CVF Conf. Comput. Vis. Pattern Recognit. (CVPR), 2022. </w:t>
      </w:r>
      <w:hyperlink r:id="rId11">
        <w:r>
          <w:t>https://arxiv.org/abs/2110.03680</w:t>
          <w:rPr>
            <w:rFonts w:ascii="Times New Roman" w:hAnsi="Times New Roman"/>
            <w:sz w:val="19"/>
            <w:color w:val="0066CC"/>
            <w:u w:val="single"/>
          </w:rPr>
        </w:r>
      </w:hyperlink>
    </w:p>
    <w:p>
      <w:pPr>
        <w:spacing w:after="60" w:line="264" w:lineRule="auto"/>
        <w:jc w:val="both"/>
      </w:pPr>
      <w:r>
        <w:rPr>
          <w:rFonts w:ascii="Times New Roman" w:hAnsi="Times New Roman"/>
          <w:b/>
          <w:color w:val="00629B"/>
          <w:sz w:val="19"/>
        </w:rPr>
        <w:t xml:space="preserve">[2] </w:t>
      </w:r>
      <w:r>
        <w:rPr>
          <w:rFonts w:ascii="Times New Roman" w:hAnsi="Times New Roman"/>
          <w:sz w:val="19"/>
        </w:rPr>
        <w:t xml:space="preserve">R. Flepp, A. Ignatov, R. Timofte, and L. Van Gool, "Real-world mobile image denoising dataset with efficient baselines," in Proc. IEEE/CVF Conf. Comput. Vis. Pattern Recognit. (CVPR), pp. 2596–2606, 2024. </w:t>
      </w:r>
      <w:hyperlink r:id="rId12">
        <w:r>
          <w:t>https://paperswithcode.com/paper/real-world-mobile-image-denoising-dataset</w:t>
          <w:rPr>
            <w:rFonts w:ascii="Times New Roman" w:hAnsi="Times New Roman"/>
            <w:sz w:val="19"/>
            <w:color w:val="0066CC"/>
            <w:u w:val="single"/>
          </w:rPr>
        </w:r>
      </w:hyperlink>
    </w:p>
    <w:p>
      <w:pPr>
        <w:spacing w:after="60" w:line="264" w:lineRule="auto"/>
        <w:jc w:val="both"/>
      </w:pPr>
      <w:r>
        <w:rPr>
          <w:rFonts w:ascii="Times New Roman" w:hAnsi="Times New Roman"/>
          <w:b/>
          <w:color w:val="00629B"/>
          <w:sz w:val="19"/>
        </w:rPr>
        <w:t xml:space="preserve">[3] </w:t>
      </w:r>
      <w:r>
        <w:rPr>
          <w:rFonts w:ascii="Times New Roman" w:hAnsi="Times New Roman"/>
          <w:sz w:val="19"/>
        </w:rPr>
        <w:t xml:space="preserve">S. Guo, "Toward effective image restoration from raw domain," Ph.D. Dissertation, Dept. Comput., Hong Kong Polytech. Univ., Hong Kong, 2024. </w:t>
      </w:r>
      <w:hyperlink r:id="rId13">
        <w:r>
          <w:t>https://theses.lib.polyu.edu.hk/handle/200/12922</w:t>
          <w:rPr>
            <w:rFonts w:ascii="Times New Roman" w:hAnsi="Times New Roman"/>
            <w:sz w:val="19"/>
            <w:color w:val="0066CC"/>
            <w:u w:val="single"/>
          </w:rPr>
        </w:r>
      </w:hyperlink>
    </w:p>
    <w:p>
      <w:pPr>
        <w:spacing w:after="60" w:line="264" w:lineRule="auto"/>
        <w:jc w:val="both"/>
      </w:pPr>
      <w:r>
        <w:rPr>
          <w:rFonts w:ascii="Times New Roman" w:hAnsi="Times New Roman"/>
          <w:b/>
          <w:color w:val="00629B"/>
          <w:sz w:val="19"/>
        </w:rPr>
        <w:t xml:space="preserve">[4] </w:t>
      </w:r>
      <w:r>
        <w:rPr>
          <w:rFonts w:ascii="Times New Roman" w:hAnsi="Times New Roman"/>
          <w:sz w:val="19"/>
        </w:rPr>
        <w:t xml:space="preserve">Z. Li, H. Liu, L. Cheng, and X. Jia, "Image denoising algorithm based on gradient domain guided filtering and NSST," IEEE Access, vol. 11, pp. 11923–11933, 2023. </w:t>
      </w:r>
      <w:hyperlink r:id="rId14">
        <w:r>
          <w:t>https://ieeexplore.ieee.org/document/10035968</w:t>
          <w:rPr>
            <w:rFonts w:ascii="Times New Roman" w:hAnsi="Times New Roman"/>
            <w:sz w:val="19"/>
            <w:color w:val="0066CC"/>
            <w:u w:val="single"/>
          </w:rPr>
        </w:r>
      </w:hyperlink>
    </w:p>
    <w:p>
      <w:pPr>
        <w:spacing w:after="60" w:line="264" w:lineRule="auto"/>
        <w:jc w:val="both"/>
      </w:pPr>
      <w:r>
        <w:rPr>
          <w:rFonts w:ascii="Times New Roman" w:hAnsi="Times New Roman"/>
          <w:b/>
          <w:color w:val="00629B"/>
          <w:sz w:val="19"/>
        </w:rPr>
        <w:t xml:space="preserve">[5] </w:t>
      </w:r>
      <w:r>
        <w:rPr>
          <w:rFonts w:ascii="Times New Roman" w:hAnsi="Times New Roman"/>
          <w:sz w:val="19"/>
        </w:rPr>
        <w:t xml:space="preserve">L. Kumari, N. Mittal, and M. Modi, "Comparative analysis of noise reduction filters for medical images," in Proc. Signal Image Process. Appl., ResearchGate, 2024. </w:t>
      </w:r>
      <w:hyperlink r:id="rId15">
        <w:r>
          <w:t>https://www.researchgate.net/publication/379162688_Comparative_Analysis_of_Noise_Reduction_Filters_for_Medical_Images</w:t>
          <w:rPr>
            <w:rFonts w:ascii="Times New Roman" w:hAnsi="Times New Roman"/>
            <w:sz w:val="19"/>
            <w:color w:val="0066CC"/>
            <w:u w:val="single"/>
          </w:rPr>
        </w:r>
      </w:hyperlink>
    </w:p>
    <w:p>
      <w:pPr>
        <w:spacing w:after="60" w:line="264" w:lineRule="auto"/>
        <w:jc w:val="both"/>
      </w:pPr>
      <w:r>
        <w:rPr>
          <w:rFonts w:ascii="Times New Roman" w:hAnsi="Times New Roman"/>
          <w:b/>
          <w:color w:val="00629B"/>
          <w:sz w:val="19"/>
        </w:rPr>
        <w:t xml:space="preserve">[6] </w:t>
      </w:r>
      <w:r>
        <w:rPr>
          <w:rFonts w:ascii="Times New Roman" w:hAnsi="Times New Roman"/>
          <w:sz w:val="19"/>
        </w:rPr>
        <w:t xml:space="preserve">J. Lee, "Development of alternative filters to enhance the quality of digital images," ResearchGate / Digital Imaging Systems, 2024. </w:t>
      </w:r>
      <w:hyperlink r:id="rId16">
        <w:r>
          <w:t>https://www.researchgate.net/publication/379091587_Development_of_Alternative_Filters_to_Enhance_the_Quality_of_Digital_Images</w:t>
          <w:rPr>
            <w:rFonts w:ascii="Times New Roman" w:hAnsi="Times New Roman"/>
            <w:sz w:val="19"/>
            <w:color w:val="0066CC"/>
            <w:u w:val="single"/>
          </w:rPr>
        </w:r>
      </w:hyperlink>
    </w:p>
    <w:p>
      <w:pPr>
        <w:spacing w:after="60" w:line="264" w:lineRule="auto"/>
        <w:jc w:val="both"/>
      </w:pPr>
      <w:r>
        <w:rPr>
          <w:rFonts w:ascii="Times New Roman" w:hAnsi="Times New Roman"/>
          <w:b/>
          <w:color w:val="00629B"/>
          <w:sz w:val="19"/>
        </w:rPr>
        <w:t xml:space="preserve">[7] </w:t>
      </w:r>
      <w:r>
        <w:rPr>
          <w:rFonts w:ascii="Times New Roman" w:hAnsi="Times New Roman"/>
          <w:sz w:val="19"/>
        </w:rPr>
        <w:t xml:space="preserve">R. S. Jebur, M. H. Bin Mohamed Zabil, D. A. Hammood, and L. K. Cheng, "A comprehensive review of image denoising in deep learning," Multimedia Tools Appl., vol. 83, pp. 45671–45712, 2023. </w:t>
      </w:r>
      <w:hyperlink r:id="rId17">
        <w:r>
          <w:t>https://link.springer.com/article/10.1007/s11042-023-17468-2</w:t>
          <w:rPr>
            <w:rFonts w:ascii="Times New Roman" w:hAnsi="Times New Roman"/>
            <w:sz w:val="19"/>
            <w:color w:val="0066CC"/>
            <w:u w:val="single"/>
          </w:rPr>
        </w:r>
      </w:hyperlink>
    </w:p>
    <w:p>
      <w:pPr>
        <w:spacing w:after="60" w:line="264" w:lineRule="auto"/>
        <w:jc w:val="both"/>
      </w:pPr>
      <w:r>
        <w:rPr>
          <w:rFonts w:ascii="Times New Roman" w:hAnsi="Times New Roman"/>
          <w:b/>
          <w:color w:val="00629B"/>
          <w:sz w:val="19"/>
        </w:rPr>
        <w:t xml:space="preserve">[8] </w:t>
      </w:r>
      <w:r>
        <w:rPr>
          <w:rFonts w:ascii="Times New Roman" w:hAnsi="Times New Roman"/>
          <w:sz w:val="19"/>
        </w:rPr>
        <w:t xml:space="preserve">S. Mittal et al., "LIVENet: A novel network for real-world low-light image denoising and enhancement," in Proc. IEEE/CVF Winter Conf. Appl. Comput. Vis. (WACV), pp. 2960–2970, 2024. </w:t>
      </w:r>
      <w:hyperlink r:id="rId18">
        <w:r>
          <w:t>https://ieeexplore.ieee.org/document/10483686</w:t>
          <w:rPr>
            <w:rFonts w:ascii="Times New Roman" w:hAnsi="Times New Roman"/>
            <w:sz w:val="19"/>
            <w:color w:val="0066CC"/>
            <w:u w:val="single"/>
          </w:rPr>
        </w:r>
      </w:hyperlink>
    </w:p>
    <w:p>
      <w:pPr>
        <w:spacing w:after="60" w:line="264" w:lineRule="auto"/>
        <w:jc w:val="both"/>
      </w:pPr>
      <w:r>
        <w:rPr>
          <w:rFonts w:ascii="Times New Roman" w:hAnsi="Times New Roman"/>
          <w:b/>
          <w:color w:val="00629B"/>
          <w:sz w:val="19"/>
        </w:rPr>
        <w:t xml:space="preserve">[9] </w:t>
      </w:r>
      <w:r>
        <w:rPr>
          <w:rFonts w:ascii="Times New Roman" w:hAnsi="Times New Roman"/>
          <w:sz w:val="19"/>
        </w:rPr>
        <w:t xml:space="preserve">Z. Zhou, Y. Chen, and Y. Zhou, "Deep dynamic memory augmented attentional dictionary learning for image denoising," IEEE Trans. Circuits Syst. Video Technol., vol. 33, no. 9, pp. 4668–4682, 2023. </w:t>
      </w:r>
      <w:hyperlink r:id="rId19">
        <w:r>
          <w:t>https://ieeexplore.ieee.org/abstract/document/10054440</w:t>
          <w:rPr>
            <w:rFonts w:ascii="Times New Roman" w:hAnsi="Times New Roman"/>
            <w:sz w:val="19"/>
            <w:color w:val="0066CC"/>
            <w:u w:val="single"/>
          </w:rPr>
        </w:r>
      </w:hyperlink>
    </w:p>
    <w:p>
      <w:pPr>
        <w:spacing w:after="60" w:line="264" w:lineRule="auto"/>
        <w:jc w:val="both"/>
      </w:pPr>
      <w:r>
        <w:rPr>
          <w:rFonts w:ascii="Times New Roman" w:hAnsi="Times New Roman"/>
          <w:b/>
          <w:color w:val="00629B"/>
          <w:sz w:val="19"/>
        </w:rPr>
        <w:t xml:space="preserve">[10] </w:t>
      </w:r>
      <w:r>
        <w:rPr>
          <w:rFonts w:ascii="Times New Roman" w:hAnsi="Times New Roman"/>
          <w:sz w:val="19"/>
        </w:rPr>
        <w:t xml:space="preserve">O. Gupta, I. N. Kalapala, and K. M. Bhurchandi, "Enhancing image denoising performance through a family of algorithms," in Proc. IEEE ISCON, pp. 1–6, 2023. </w:t>
      </w:r>
      <w:hyperlink r:id="rId20">
        <w:r>
          <w:t>https://ieeexplore.ieee.org/abstract/document/10136117</w:t>
          <w:rPr>
            <w:rFonts w:ascii="Times New Roman" w:hAnsi="Times New Roman"/>
            <w:sz w:val="19"/>
            <w:color w:val="0066CC"/>
            <w:u w:val="single"/>
          </w:rPr>
        </w:r>
      </w:hyperlink>
    </w:p>
    <w:p>
      <w:pPr>
        <w:spacing w:after="60" w:line="264" w:lineRule="auto"/>
        <w:jc w:val="both"/>
      </w:pPr>
      <w:r>
        <w:rPr>
          <w:rFonts w:ascii="Times New Roman" w:hAnsi="Times New Roman"/>
          <w:b/>
          <w:color w:val="00629B"/>
          <w:sz w:val="19"/>
        </w:rPr>
        <w:t xml:space="preserve">[11] </w:t>
      </w:r>
      <w:r>
        <w:rPr>
          <w:rFonts w:ascii="Times New Roman" w:hAnsi="Times New Roman"/>
          <w:sz w:val="19"/>
        </w:rPr>
        <w:t xml:space="preserve">L. Zhou, D. Zhou, H. Yang, S. Yang, and L. Nie, "Multi-scale network toward real-world image denoising," Int. J. Mach. Learn. Cybern., vol. 14, pp. 1109–1123, 2023. </w:t>
      </w:r>
      <w:hyperlink r:id="rId21">
        <w:r>
          <w:t>https://link.springer.com/article/10.1007/s13042-022-01694-5</w:t>
          <w:rPr>
            <w:rFonts w:ascii="Times New Roman" w:hAnsi="Times New Roman"/>
            <w:sz w:val="19"/>
            <w:color w:val="0066CC"/>
            <w:u w:val="single"/>
          </w:rPr>
        </w:r>
      </w:hyperlink>
    </w:p>
    <w:p>
      <w:pPr>
        <w:spacing w:after="60" w:line="264" w:lineRule="auto"/>
        <w:jc w:val="both"/>
      </w:pPr>
      <w:r>
        <w:rPr>
          <w:rFonts w:ascii="Times New Roman" w:hAnsi="Times New Roman"/>
          <w:b/>
          <w:color w:val="00629B"/>
          <w:sz w:val="19"/>
        </w:rPr>
        <w:t xml:space="preserve">[12] </w:t>
      </w:r>
      <w:r>
        <w:rPr>
          <w:rFonts w:ascii="Times New Roman" w:hAnsi="Times New Roman"/>
          <w:sz w:val="19"/>
        </w:rPr>
        <w:t xml:space="preserve">A. Ulu, G. Yildiz, and B. Dizdaroğlu, "MLFAN: Multilevel feature attention network with texture prior for image denoising," IEEE Access, vol. 11, pp. 35647–35661, 2023. </w:t>
      </w:r>
      <w:hyperlink r:id="rId22">
        <w:r>
          <w:t>https://ieeexplore.ieee.org/abstract/document/10092851</w:t>
          <w:rPr>
            <w:rFonts w:ascii="Times New Roman" w:hAnsi="Times New Roman"/>
            <w:sz w:val="19"/>
            <w:color w:val="0066CC"/>
            <w:u w:val="single"/>
          </w:rPr>
        </w:r>
      </w:hyperlink>
    </w:p>
    <w:p>
      <w:pPr>
        <w:spacing w:after="60" w:line="264" w:lineRule="auto"/>
        <w:jc w:val="both"/>
      </w:pPr>
      <w:r>
        <w:rPr>
          <w:rFonts w:ascii="Times New Roman" w:hAnsi="Times New Roman"/>
          <w:b/>
          <w:color w:val="00629B"/>
          <w:sz w:val="19"/>
        </w:rPr>
        <w:t xml:space="preserve">[13] </w:t>
      </w:r>
      <w:r>
        <w:rPr>
          <w:rFonts w:ascii="Times New Roman" w:hAnsi="Times New Roman"/>
          <w:sz w:val="19"/>
        </w:rPr>
        <w:t xml:space="preserve">G. Zhang, G. Zhang, Q. Lu, Y. Bo, and X. Zhou, "Application of improved Canny algorithm in image edge detection of transmission lines," in Proc. IEEE ICICML, pp. 312–316, 2024. </w:t>
      </w:r>
      <w:hyperlink r:id="rId23">
        <w:r>
          <w:t>https://ieeexplore.ieee.org/abstract/document/10424911</w:t>
          <w:rPr>
            <w:rFonts w:ascii="Times New Roman" w:hAnsi="Times New Roman"/>
            <w:sz w:val="19"/>
            <w:color w:val="0066CC"/>
            <w:u w:val="single"/>
          </w:rPr>
        </w:r>
      </w:hyperlink>
    </w:p>
    <w:p>
      <w:pPr>
        <w:spacing w:after="60" w:line="264" w:lineRule="auto"/>
        <w:jc w:val="both"/>
      </w:pPr>
      <w:r>
        <w:rPr>
          <w:rFonts w:ascii="Times New Roman" w:hAnsi="Times New Roman"/>
          <w:b/>
          <w:color w:val="00629B"/>
          <w:sz w:val="19"/>
        </w:rPr>
        <w:t xml:space="preserve">[14] </w:t>
      </w:r>
      <w:r>
        <w:rPr>
          <w:rFonts w:ascii="Times New Roman" w:hAnsi="Times New Roman"/>
          <w:sz w:val="19"/>
        </w:rPr>
        <w:t xml:space="preserve">A. Ranganath, F. Santiago, O. DeGuchy, M. Singhal, and R. F. Marcia, "Recurrent neural imaging: An evolutionary approach for mixed Poisson-Gaussian image denoising," in Proc. IEEE DISCOVERY, pp. 1–6, 2023. </w:t>
      </w:r>
      <w:hyperlink r:id="rId24">
        <w:r>
          <w:t>https://ieeexplore.ieee.org/abstract/document/10069162/</w:t>
          <w:rPr>
            <w:rFonts w:ascii="Times New Roman" w:hAnsi="Times New Roman"/>
            <w:sz w:val="19"/>
            <w:color w:val="0066CC"/>
            <w:u w:val="single"/>
          </w:rPr>
        </w:r>
      </w:hyperlink>
    </w:p>
    <w:p>
      <w:pPr>
        <w:spacing w:after="60" w:line="264" w:lineRule="auto"/>
        <w:jc w:val="both"/>
      </w:pPr>
      <w:r>
        <w:rPr>
          <w:rFonts w:ascii="Times New Roman" w:hAnsi="Times New Roman"/>
          <w:b/>
          <w:color w:val="00629B"/>
          <w:sz w:val="19"/>
        </w:rPr>
        <w:t xml:space="preserve">[15] </w:t>
      </w:r>
      <w:r>
        <w:rPr>
          <w:rFonts w:ascii="Times New Roman" w:hAnsi="Times New Roman"/>
          <w:sz w:val="19"/>
        </w:rPr>
        <w:t xml:space="preserve">T. Direk, "Image denoising by linear regression on non-local means algorithm," Signal, Image Video Process., vol. 18, pp. 3185–3194, 2024. </w:t>
      </w:r>
      <w:hyperlink r:id="rId25">
        <w:r>
          <w:t>https://link.springer.com/article/10.1007/s11760-024-03086-4</w:t>
          <w:rPr>
            <w:rFonts w:ascii="Times New Roman" w:hAnsi="Times New Roman"/>
            <w:sz w:val="19"/>
            <w:color w:val="0066CC"/>
            <w:u w:val="single"/>
          </w:rPr>
        </w:r>
      </w:hyperlink>
    </w:p>
    <w:p>
      <w:pPr>
        <w:spacing w:after="60" w:line="264" w:lineRule="auto"/>
        <w:jc w:val="both"/>
      </w:pPr>
      <w:r>
        <w:rPr>
          <w:rFonts w:ascii="Times New Roman" w:hAnsi="Times New Roman"/>
          <w:b/>
          <w:color w:val="00629B"/>
          <w:sz w:val="19"/>
        </w:rPr>
        <w:t xml:space="preserve">[16] </w:t>
      </w:r>
      <w:r>
        <w:rPr>
          <w:rFonts w:ascii="Times New Roman" w:hAnsi="Times New Roman"/>
          <w:sz w:val="19"/>
        </w:rPr>
        <w:t xml:space="preserve">M. Delbracio, D. Kelly, M. S. Brown, and P. Milanfar, "Mobile computational photography: A tour," Annu. Rev. Vis. Sci., vol. 7, pp. 571–604, 2021. </w:t>
      </w:r>
      <w:hyperlink r:id="rId26">
        <w:r>
          <w:t>https://doi.org/10.1146/annurev-vision-093020-112830</w:t>
          <w:rPr>
            <w:rFonts w:ascii="Times New Roman" w:hAnsi="Times New Roman"/>
            <w:sz w:val="19"/>
            <w:color w:val="0066CC"/>
            <w:u w:val="single"/>
          </w:rPr>
        </w:r>
      </w:hyperlink>
    </w:p>
    <w:p>
      <w:pPr>
        <w:spacing w:after="60" w:line="264" w:lineRule="auto"/>
        <w:jc w:val="both"/>
      </w:pPr>
      <w:r>
        <w:rPr>
          <w:rFonts w:ascii="Times New Roman" w:hAnsi="Times New Roman"/>
          <w:b/>
          <w:color w:val="00629B"/>
          <w:sz w:val="19"/>
        </w:rPr>
        <w:t xml:space="preserve">[17] </w:t>
      </w:r>
      <w:r>
        <w:rPr>
          <w:rFonts w:ascii="Times New Roman" w:hAnsi="Times New Roman"/>
          <w:sz w:val="19"/>
        </w:rPr>
        <w:t xml:space="preserve">K. Zhang, W. Zuo, Y. Chen, D. Meng, and L. Zhang, "Beyond a Gaussian denoiser: Residual learning of deep CNN for image denoising," IEEE Trans. Image Process., vol. 26, no. 7, pp. 3142–3155, 2017. </w:t>
      </w:r>
      <w:hyperlink r:id="rId27">
        <w:r>
          <w:t>https://doi.org/10.1109/TIP.2017.2662206</w:t>
          <w:rPr>
            <w:rFonts w:ascii="Times New Roman" w:hAnsi="Times New Roman"/>
            <w:sz w:val="19"/>
            <w:color w:val="0066CC"/>
            <w:u w:val="single"/>
          </w:rPr>
        </w:r>
      </w:hyperlink>
    </w:p>
    <w:p>
      <w:pPr>
        <w:spacing w:after="60" w:line="264" w:lineRule="auto"/>
        <w:jc w:val="both"/>
      </w:pPr>
      <w:r>
        <w:rPr>
          <w:rFonts w:ascii="Times New Roman" w:hAnsi="Times New Roman"/>
          <w:b/>
          <w:color w:val="00629B"/>
          <w:sz w:val="19"/>
        </w:rPr>
        <w:t xml:space="preserve">[18] </w:t>
      </w:r>
      <w:r>
        <w:rPr>
          <w:rFonts w:ascii="Times New Roman" w:hAnsi="Times New Roman"/>
          <w:sz w:val="19"/>
        </w:rPr>
        <w:t xml:space="preserve">O. Ronneberger, P. Fischer, and T. Brox, "U-Net: Convolutional networks for biomedical image segmentation," in Proc. MICCAI, LNCS, vol. 9351, pp. 234–241, 2015. </w:t>
      </w:r>
      <w:hyperlink r:id="rId28">
        <w:r>
          <w:t>https://doi.org/10.1007/978-3-319-24574-4_28</w:t>
          <w:rPr>
            <w:rFonts w:ascii="Times New Roman" w:hAnsi="Times New Roman"/>
            <w:sz w:val="19"/>
            <w:color w:val="0066CC"/>
            <w:u w:val="single"/>
          </w:rPr>
        </w:r>
      </w:hyperlink>
    </w:p>
    <w:p>
      <w:pPr>
        <w:spacing w:after="60" w:line="264" w:lineRule="auto"/>
        <w:jc w:val="both"/>
      </w:pPr>
      <w:r>
        <w:rPr>
          <w:rFonts w:ascii="Times New Roman" w:hAnsi="Times New Roman"/>
          <w:b/>
          <w:color w:val="00629B"/>
          <w:sz w:val="19"/>
        </w:rPr>
        <w:t xml:space="preserve">[19] </w:t>
      </w:r>
      <w:r>
        <w:rPr>
          <w:rFonts w:ascii="Times New Roman" w:hAnsi="Times New Roman"/>
          <w:sz w:val="19"/>
        </w:rPr>
        <w:t xml:space="preserve">A. Foi, M. Trimeche, V. Katkovnik, and K. Egiazarian, "Practical Poissonian-Gaussian noise modeling and fitting for single-image raw-data," IEEE Trans. Image Process., vol. 17, no. 10, pp. 1737–1754, 2008. </w:t>
      </w:r>
      <w:hyperlink r:id="rId29">
        <w:r>
          <w:t>https://doi.org/10.1109/TIP.2008.2001399</w:t>
          <w:rPr>
            <w:rFonts w:ascii="Times New Roman" w:hAnsi="Times New Roman"/>
            <w:sz w:val="19"/>
            <w:color w:val="0066CC"/>
            <w:u w:val="single"/>
          </w:rPr>
        </w:r>
      </w:hyperlink>
    </w:p>
    <w:p>
      <w:pPr>
        <w:spacing w:after="60" w:line="264" w:lineRule="auto"/>
        <w:jc w:val="both"/>
      </w:pPr>
      <w:r>
        <w:rPr>
          <w:rFonts w:ascii="Times New Roman" w:hAnsi="Times New Roman"/>
          <w:b/>
          <w:color w:val="00629B"/>
          <w:sz w:val="19"/>
        </w:rPr>
        <w:t xml:space="preserve">[20] </w:t>
      </w:r>
      <w:r>
        <w:rPr>
          <w:rFonts w:ascii="Times New Roman" w:hAnsi="Times New Roman"/>
          <w:sz w:val="19"/>
        </w:rPr>
        <w:t xml:space="preserve">A. Abdelhamed, S. Lin, and M. S. Brown, "A high-quality smartphone dataset for image denoising," in Proc. IEEE Conf. Comput. Vis. Pattern Recognit. (CVPR), pp. 1692–1700, 2018. </w:t>
      </w:r>
      <w:hyperlink r:id="rId30">
        <w:r>
          <w:t>https://doi.org/10.1109/CVPR.2018.00182</w:t>
          <w:rPr>
            <w:rFonts w:ascii="Times New Roman" w:hAnsi="Times New Roman"/>
            <w:sz w:val="19"/>
            <w:color w:val="0066CC"/>
            <w:u w:val="single"/>
          </w:rPr>
        </w:r>
      </w:hyperlink>
    </w:p>
    <w:p>
      <w:pPr>
        <w:spacing w:after="60" w:line="264" w:lineRule="auto"/>
        <w:jc w:val="both"/>
      </w:pPr>
      <w:r>
        <w:rPr>
          <w:rFonts w:ascii="Times New Roman" w:hAnsi="Times New Roman"/>
          <w:b/>
          <w:color w:val="00629B"/>
          <w:sz w:val="19"/>
        </w:rPr>
        <w:t xml:space="preserve">[21] </w:t>
      </w:r>
      <w:r>
        <w:rPr>
          <w:rFonts w:ascii="Times New Roman" w:hAnsi="Times New Roman"/>
          <w:sz w:val="19"/>
        </w:rPr>
        <w:t xml:space="preserve">Y. Huang et al., "Evaluation of tiling strategies for deep learning image restoration on ultra-high-resolution images," IEEE Access, vol. 9, pp. 84120–84131, 2021. </w:t>
      </w:r>
      <w:hyperlink r:id="rId31">
        <w:r>
          <w:t>https://doi.org/10.1109/ACCESS.2021.3087265</w:t>
          <w:rPr>
            <w:rFonts w:ascii="Times New Roman" w:hAnsi="Times New Roman"/>
            <w:sz w:val="19"/>
            <w:color w:val="0066CC"/>
            <w:u w:val="single"/>
          </w:rPr>
        </w:r>
      </w:hyperlink>
    </w:p>
    <w:p>
      <w:pPr>
        <w:spacing w:after="60" w:line="264" w:lineRule="auto"/>
        <w:jc w:val="both"/>
      </w:pPr>
      <w:r>
        <w:rPr>
          <w:rFonts w:ascii="Times New Roman" w:hAnsi="Times New Roman"/>
          <w:b/>
          <w:color w:val="00629B"/>
          <w:sz w:val="19"/>
        </w:rPr>
        <w:t xml:space="preserve">[22] </w:t>
      </w:r>
      <w:r>
        <w:rPr>
          <w:rFonts w:ascii="Times New Roman" w:hAnsi="Times New Roman"/>
          <w:sz w:val="19"/>
        </w:rPr>
        <w:t xml:space="preserve">J. Immerkaer, "Fast noise variance estimation," Comput. Vis. Image Underst., vol. 64, no. 2, pp. 300–302, 1996. </w:t>
      </w:r>
      <w:hyperlink r:id="rId32">
        <w:r>
          <w:t>https://doi.org/10.1006/cviu.1996.0060</w:t>
          <w:rPr>
            <w:rFonts w:ascii="Times New Roman" w:hAnsi="Times New Roman"/>
            <w:sz w:val="19"/>
            <w:color w:val="0066CC"/>
            <w:u w:val="single"/>
          </w:rPr>
        </w:r>
      </w:hyperlink>
    </w:p>
    <w:p>
      <w:pPr>
        <w:keepNext/>
        <w:spacing w:before="280" w:after="80"/>
      </w:pPr>
      <w:r>
        <w:rPr>
          <w:rFonts w:ascii="Arial" w:hAnsi="Arial"/>
          <w:b/>
          <w:color w:val="00629B"/>
          <w:sz w:val="23"/>
        </w:rPr>
        <w:t>AUTHOR BIOGRAPHIES</w:t>
      </w:r>
    </w:p>
    <w:p>
      <w:pPr>
        <w:spacing w:after="80" w:line="276" w:lineRule="auto"/>
        <w:jc w:val="both"/>
      </w:pPr>
      <w:r>
        <w:rPr>
          <w:rFonts w:ascii="Times New Roman" w:hAnsi="Times New Roman"/>
          <w:sz w:val="20"/>
        </w:rPr>
        <w:t>MAJJI NAVEEN is currently pursuing a Bachelor of Technology degree in Computer Science and Engineering at Vellore Institute of Technology (VIT), Vellore, India (Email: majji.naveen2023@gmail.com). His research interests encompass deep learning, computational photography, computer vision, and high-performance machine learning system deployment. Through his work on the NeuroClean project, he has pioneered hybrid neural architectures combining multi-scale contextual representations with deep residual noise estimation, alongside engineered windowed inference algorithms for high-resolution computational imaging.</w:t>
      </w:r>
    </w:p>
    <w:p>
      <w:pPr>
        <w:spacing w:after="80" w:line="276" w:lineRule="auto"/>
        <w:jc w:val="both"/>
      </w:pPr>
      <w:r>
        <w:rPr>
          <w:rFonts w:ascii="Times New Roman" w:hAnsi="Times New Roman"/>
          <w:sz w:val="20"/>
        </w:rPr>
        <w:t>PARRI HARI CHANDAN is currently pursuing a B.Tech. degree in Computer Science and Engineering at Vellore Institute of Technology (VIT), Vellore, India (Email: harichandan.parri2023@vitstudent.ac.in). Research interests include digital signal processing, convolutional neural networks, and web-based artificial intelligence deployment frameworks.</w:t>
      </w:r>
    </w:p>
    <w:p>
      <w:pPr>
        <w:spacing w:after="80" w:line="276" w:lineRule="auto"/>
        <w:jc w:val="both"/>
      </w:pPr>
      <w:r>
        <w:rPr>
          <w:rFonts w:ascii="Times New Roman" w:hAnsi="Times New Roman"/>
          <w:sz w:val="20"/>
        </w:rPr>
        <w:t>M. SIVA CHARAN REDDY is currently pursuing a B.Tech. degree in Computer Science and Engineering at Vellore Institute of Technology (VIT), Vellore, India (Email: mareddy.siva2023@vitstudent.ac.in). Research interests include computer vision, neural image enhancement, and cloud-based machine learning systems.</w:t>
      </w:r>
    </w:p>
    <w:p>
      <w:pPr>
        <w:spacing w:after="80" w:line="276" w:lineRule="auto"/>
        <w:jc w:val="both"/>
      </w:pPr>
      <w:r>
        <w:rPr>
          <w:rFonts w:ascii="Times New Roman" w:hAnsi="Times New Roman"/>
          <w:sz w:val="20"/>
        </w:rPr>
        <w:t>JAYALAKSHMI M is an Associate Professor at the School of Computer Science and Engineering (SCOPE), Vellore Institute of Technology (VIT), Vellore, India (Email: m.jayalakshmi@vit.ac.in). With extensive academic and research experience in artificial intelligence, computer vision, digital image processing, and distributed machine learning systems, she has supervised numerous research initiatives and published extensively in indexed international journals and conferences.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Arial" w:hAnsi="Arial"/>
        <w:color w:val="646464"/>
        <w:sz w:val="17"/>
      </w:rPr>
      <w:t xml:space="preserve">VOLUME 14, 2026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00629B"/>
        <w:sz w:val="17"/>
      </w:rPr>
      <w:t>IEEE Access • Multidisciplinary Rapid Review Open Access Journal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110.03680" TargetMode="External"/><Relationship Id="rId12" Type="http://schemas.openxmlformats.org/officeDocument/2006/relationships/hyperlink" Target="https://paperswithcode.com/paper/real-world-mobile-image-denoising-dataset" TargetMode="External"/><Relationship Id="rId13" Type="http://schemas.openxmlformats.org/officeDocument/2006/relationships/hyperlink" Target="https://theses.lib.polyu.edu.hk/handle/200/12922" TargetMode="External"/><Relationship Id="rId14" Type="http://schemas.openxmlformats.org/officeDocument/2006/relationships/hyperlink" Target="https://ieeexplore.ieee.org/document/10035968" TargetMode="External"/><Relationship Id="rId15" Type="http://schemas.openxmlformats.org/officeDocument/2006/relationships/hyperlink" Target="https://www.researchgate.net/publication/379162688_Comparative_Analysis_of_Noise_Reduction_Filters_for_Medical_Images" TargetMode="External"/><Relationship Id="rId16" Type="http://schemas.openxmlformats.org/officeDocument/2006/relationships/hyperlink" Target="https://www.researchgate.net/publication/379091587_Development_of_Alternative_Filters_to_Enhance_the_Quality_of_Digital_Images" TargetMode="External"/><Relationship Id="rId17" Type="http://schemas.openxmlformats.org/officeDocument/2006/relationships/hyperlink" Target="https://link.springer.com/article/10.1007/s11042-023-17468-2" TargetMode="External"/><Relationship Id="rId18" Type="http://schemas.openxmlformats.org/officeDocument/2006/relationships/hyperlink" Target="https://ieeexplore.ieee.org/document/10483686" TargetMode="External"/><Relationship Id="rId19" Type="http://schemas.openxmlformats.org/officeDocument/2006/relationships/hyperlink" Target="https://ieeexplore.ieee.org/abstract/document/10054440" TargetMode="External"/><Relationship Id="rId20" Type="http://schemas.openxmlformats.org/officeDocument/2006/relationships/hyperlink" Target="https://ieeexplore.ieee.org/abstract/document/10136117" TargetMode="External"/><Relationship Id="rId21" Type="http://schemas.openxmlformats.org/officeDocument/2006/relationships/hyperlink" Target="https://link.springer.com/article/10.1007/s13042-022-01694-5" TargetMode="External"/><Relationship Id="rId22" Type="http://schemas.openxmlformats.org/officeDocument/2006/relationships/hyperlink" Target="https://ieeexplore.ieee.org/abstract/document/10092851" TargetMode="External"/><Relationship Id="rId23" Type="http://schemas.openxmlformats.org/officeDocument/2006/relationships/hyperlink" Target="https://ieeexplore.ieee.org/abstract/document/10424911" TargetMode="External"/><Relationship Id="rId24" Type="http://schemas.openxmlformats.org/officeDocument/2006/relationships/hyperlink" Target="https://ieeexplore.ieee.org/abstract/document/10069162/" TargetMode="External"/><Relationship Id="rId25" Type="http://schemas.openxmlformats.org/officeDocument/2006/relationships/hyperlink" Target="https://link.springer.com/article/10.1007/s11760-024-03086-4" TargetMode="External"/><Relationship Id="rId26" Type="http://schemas.openxmlformats.org/officeDocument/2006/relationships/hyperlink" Target="https://doi.org/10.1146/annurev-vision-093020-112830" TargetMode="External"/><Relationship Id="rId27" Type="http://schemas.openxmlformats.org/officeDocument/2006/relationships/hyperlink" Target="https://doi.org/10.1109/TIP.2017.2662206" TargetMode="External"/><Relationship Id="rId28" Type="http://schemas.openxmlformats.org/officeDocument/2006/relationships/hyperlink" Target="https://doi.org/10.1007/978-3-319-24574-4_28" TargetMode="External"/><Relationship Id="rId29" Type="http://schemas.openxmlformats.org/officeDocument/2006/relationships/hyperlink" Target="https://doi.org/10.1109/TIP.2008.2001399" TargetMode="External"/><Relationship Id="rId30" Type="http://schemas.openxmlformats.org/officeDocument/2006/relationships/hyperlink" Target="https://doi.org/10.1109/CVPR.2018.00182" TargetMode="External"/><Relationship Id="rId31" Type="http://schemas.openxmlformats.org/officeDocument/2006/relationships/hyperlink" Target="https://doi.org/10.1109/ACCESS.2021.3087265" TargetMode="External"/><Relationship Id="rId32" Type="http://schemas.openxmlformats.org/officeDocument/2006/relationships/hyperlink" Target="https://doi.org/10.1006/cviu.1996.00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