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AGREEMENT: VANTDOMUS FORWARD DEPLOYMENT</w:t>
      </w:r>
    </w:p>
    <w:p>
      <w:r>
        <w:t>*Propuesta Comercial Estructural - Modelo Tier-1 (Anclaje a Valor de Capital)*</w:t>
      </w:r>
    </w:p>
    <w:p>
      <w:r>
        <w:t>CLIENTE: [NOMBRE DE LA MINERA/HOLDING]</w:t>
      </w:r>
    </w:p>
    <w:p>
      <w:r>
        <w:t>ACTIVO DESPLEGADO: [NOMBRE DEL MEGAPROYECTO]</w:t>
      </w:r>
    </w:p>
    <w:p>
      <w:r>
        <w:t>TAV (Total Asset Value / CAPEX Estimado): $ [XXX.XXX.XXX] USD</w:t>
      </w:r>
    </w:p>
    <w:p>
      <w:pPr>
        <w:pStyle w:val="Heading2"/>
      </w:pPr>
      <w:r>
        <w:t>1. DOCTRINA DE DESPLIEGUE ZERO-TRUST</w:t>
      </w:r>
    </w:p>
    <w:p>
      <w:r>
        <w:t>Luxen provee blindaje operativo pasivo ("VantDomus") para la gestión de riesgo asimétrico en entornos de alta presión industrial. Se ejecutarán las siguientes fases topológicas:</w:t>
      </w:r>
    </w:p>
    <w:p>
      <w:pPr>
        <w:pStyle w:val="ListBullet"/>
      </w:pPr>
      <w:r>
        <w:t>1.A Pilotaje FDE (Forward Deployed Engineering): Despliegue de un Gateway Inverso durante 45 días sobre [SAP / Oracle P6]. Operación de extracción de telemetría pasiva e identificación algorítmica de materia oscura constructiva (fugas de capital).</w:t>
      </w:r>
    </w:p>
    <w:p>
      <w:pPr>
        <w:pStyle w:val="ListBullet"/>
      </w:pPr>
      <w:r>
        <w:t>1.B Acoplamiento Definitivo (Enterprise License): Traspaso de la matriz operativa completa. Todos los nodos de toma de decisión en faena quedan protegidos matemáticamente (Zero-Hallucination) contra sobre-facturaciones de subcontratos.</w:t>
      </w:r>
    </w:p>
    <w:p>
      <w:pPr>
        <w:pStyle w:val="Heading2"/>
      </w:pPr>
      <w:r>
        <w:t>2. ESTRUCTURA FINANCIERA (CAPEX-LINKED)</w:t>
      </w:r>
    </w:p>
    <w:p>
      <w:r>
        <w:t>El licenciamiento VantDomus no está sujeto a "usuarios o escritorios", sino al volumen de flujo de caja que se está protegiendo. Todo despliegue es confidencial.</w:t>
      </w:r>
    </w:p>
    <w:p>
      <w:pPr>
        <w:pStyle w:val="Heading3"/>
      </w:pPr>
      <w:r>
        <w:t>2.1 Fase de Inspección y FDE (Proof of Value)</w:t>
      </w:r>
    </w:p>
    <w:p>
      <w:r>
        <w:t>FEE: 3.000 UF (Pago íntegro contra inicio de actividades).</w:t>
      </w:r>
    </w:p>
    <w:p>
      <w:pPr>
        <w:pStyle w:val="ListBullet"/>
      </w:pPr>
      <w:r>
        <w:t>*Propósito:* Instanciar la llave criptográfica inicial y demostrar fugas financieras pasivas en la red operacional del cliente antes de firmar el despliegue anual.</w:t>
      </w:r>
    </w:p>
    <w:p>
      <w:pPr>
        <w:pStyle w:val="Heading3"/>
      </w:pPr>
      <w:r>
        <w:t>2.2 Licenciamiento Empresarial (VantDomus Continuity)</w:t>
      </w:r>
    </w:p>
    <w:p>
      <w:r>
        <w:t>FEE Base de Operación Anual: [0.25%] del CAPEX del Proyecto, facturable mensualmente.</w:t>
      </w:r>
    </w:p>
    <w:p>
      <w:pPr>
        <w:pStyle w:val="ListBullet"/>
      </w:pPr>
      <w:r>
        <w:t>*Valor Total Despliegue Anual:* $ [XX.XXX] UF.</w:t>
      </w:r>
    </w:p>
    <w:p>
      <w:pPr>
        <w:pStyle w:val="ListBullet"/>
      </w:pPr>
      <w:r>
        <w:t>*Propósito:* Custodia continua, almacenamiento irrefutable blockchain-backed de eventos, defensa contra facturaciones anómalas.</w:t>
      </w:r>
    </w:p>
    <w:p>
      <w:pPr>
        <w:pStyle w:val="Heading3"/>
      </w:pPr>
      <w:r>
        <w:t>2.3 Regalías de Identificación Temprana (Dispute Arbitrage)</w:t>
      </w:r>
    </w:p>
    <w:p>
      <w:r>
        <w:t>SUCCESS FEE: [8% - 12%] sobre cualquier capital salvaguardado, multas evitadas o compensaciones recibidas a favor del cliente gracias a reportes emitidos por la Plataforma VantDomus.</w:t>
      </w:r>
    </w:p>
    <w:p>
      <w:pPr>
        <w:pStyle w:val="ListBullet"/>
      </w:pPr>
      <w:r>
        <w:t>*Activación:* Automática y ejecutiva ante el cierre contable del litigio o Dispute Board.</w:t>
      </w:r>
    </w:p>
    <w:p>
      <w:pPr>
        <w:pStyle w:val="ListParagraph"/>
      </w:pPr>
      <w:r>
        <w:t>TÉRMINOS INNEGOCIABLES</w:t>
      </w:r>
    </w:p>
    <w:p>
      <w:pPr>
        <w:pStyle w:val="ListParagraph"/>
      </w:pPr>
      <w:r>
        <w:t>Luxen no vende propiedad intelectual del código fuente. Los datos y el análisis derivado pertenecen al Cliente bajo esquema de cifrado asimétrico FIDO2. Si la Licencia Empresarial entra en inactividad, los "Gateways" o acoplamientos cesan la extracción al milisegundo siguiente, devolviendo al activo a su nivel de riesgo ciego basal.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