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Ejecutivo: Modelo de Negocios y Tarifas B2B (Luxen / VantDomus)</w:t>
      </w:r>
    </w:p>
    <w:p>
      <w:r>
        <w:t>La filosofía comercial de Luxen abandona el esquema tradicional de "Venta de Software (SaaS) por Usuario". Operamos como una firma de Defensa Analítica y Arbitraje (Modelo Tier-1), donde el cobro se ata directamente a la protección del flujo financiero (CAPEX) y la recuperación de capital.</w:t>
      </w:r>
    </w:p>
    <w:p>
      <w:pPr>
        <w:pStyle w:val="Heading2"/>
      </w:pPr>
      <w:r>
        <w:t>La Matriz de Cobro Híbrida (Los 2 Brazos)</w:t>
      </w:r>
    </w:p>
    <w:p>
      <w:r>
        <w:t>Nuestro modelo ancla un piso operativo seguro para Luxen y libera la máxima escalabilidad financiera a través del éxito penal/contractual del cliente.</w:t>
      </w:r>
    </w:p>
    <w:p>
      <w:pPr>
        <w:pStyle w:val="Heading3"/>
      </w:pPr>
      <w:r>
        <w:t>Brazo 1: El Escudo de Costos (Honorario Estructural / Retainer)</w:t>
      </w:r>
    </w:p>
    <w:p>
      <w:r>
        <w:t>Es el cobro innegociable *Up-front* (Por Adelantado) que cubre la movilización tecnológica.</w:t>
      </w:r>
    </w:p>
    <w:p>
      <w:pPr>
        <w:pStyle w:val="ListBullet"/>
      </w:pPr>
      <w:r>
        <w:t>Concepto: Despliegue del motor VantDomus, acoplamiento de datos (FDE Pilot), reestructuración de documentación forense y el blindaje analítico continuo.</w:t>
      </w:r>
    </w:p>
    <w:p>
      <w:pPr>
        <w:pStyle w:val="ListBullet"/>
      </w:pPr>
      <w:r>
        <w:t>Tarifa Típica por Litigio/Auditoría: 500 a 1.200 UF (~$18M - $45M CLP) facturables fijos, independientes del resultado final.</w:t>
      </w:r>
    </w:p>
    <w:p>
      <w:pPr>
        <w:pStyle w:val="ListBullet"/>
      </w:pPr>
      <w:r>
        <w:t>Tarifa Típica por Licencia de Faena Anual: 0.25% del CAPEX total del proyecto minero o bloque de obra.</w:t>
      </w:r>
    </w:p>
    <w:p>
      <w:pPr>
        <w:pStyle w:val="ListBullet"/>
      </w:pPr>
      <w:r>
        <w:t>Propósito: Luxen jamás trabaja a pérdida ni asume el riesgo operativo del proyecto. El cliente paga por el mero acto de que nuestro equipo levante la defensa criptográfica y analice su "Materia Oscura".</w:t>
      </w:r>
    </w:p>
    <w:p>
      <w:pPr>
        <w:pStyle w:val="Heading3"/>
      </w:pPr>
      <w:r>
        <w:t>Brazo 2: La Extracción de Valor (El Success Fee)</w:t>
      </w:r>
    </w:p>
    <w:p>
      <w:r>
        <w:t>Es donde se capitaliza el verdadero margen corporativo masivo y escalable.</w:t>
      </w:r>
    </w:p>
    <w:p>
      <w:pPr>
        <w:pStyle w:val="ListBullet"/>
      </w:pPr>
      <w:r>
        <w:t>Concepto: Retención asimétrica de capital ante procesos exitosos (Dispute Boards, Claims aprobados, multas revertidas) respaldados por la evidencia irrefutable de VantDomus.</w:t>
      </w:r>
    </w:p>
    <w:p>
      <w:pPr>
        <w:pStyle w:val="ListBullet"/>
      </w:pPr>
      <w:r>
        <w:t>Tarifa Base Inamovible: 8% al 12% Neto sobre el total del monto recuperado a favor del cliente.</w:t>
      </w:r>
    </w:p>
    <w:p>
      <w:pPr>
        <w:pStyle w:val="ListBullet"/>
      </w:pPr>
      <w:r>
        <w:t>Ejemplo Táctico: Si el reclamo elaborado por nuestra topología justifica $5.0 Millones USD ante el mandante (Ej. Antucoya), VantDomus retiene un cheque de $500,000 USD.</w:t>
      </w:r>
    </w:p>
    <w:p>
      <w:pPr>
        <w:pStyle w:val="ListBullet"/>
      </w:pPr>
      <w:r>
        <w:t>Propósito: Convierte nuestra consultoría en el seguro más rentable para el cliente. La alta dirección lo aprueba al instante, porque literalmente *el sistema se paga a sí mismo con el dinero que el cliente habría perdido.*</w:t>
      </w:r>
    </w:p>
    <w:p>
      <w:pPr>
        <w:pStyle w:val="Heading2"/>
      </w:pPr>
      <w:r>
        <w:t>Postura Básica en Mesa de Negociación:</w:t>
      </w:r>
    </w:p>
    <w:p>
      <w:r>
        <w:t>1. El precio no se negocia: Si cuestionan el Retainer del Brazo 1, respondes demostrando cuánto dinero ya perdieron esta semana en ineficiencias de HH u horas fantasma.</w:t>
      </w:r>
    </w:p>
    <w:p>
      <w:r>
        <w:t>2. Mentalidad de Inversión: El cliente no "compra una app para los ingenieros", contrata un Escudo Financiero.</w:t>
      </w:r>
    </w:p>
    <w:p>
      <w:r>
        <w:t>3. El Troya Forense: Si un caso fue mal cobrado históricamente (Ej. $2.5M CLP por un análisis de millones de dólares), la estrategia manda a usar el reporte de calidad extrema como Caballo de Troya: se les demuestra lo letal que fuiste y en el "Día 2", para el siguiente contrato, se ancla y aplica la Matriz de Cobro Híbrida sin compasión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