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0B6B73"/>
          <w:sz w:val="26"/>
          <w:szCs w:val="26"/>
        </w:rPr>
        <w:t xml:space="preserve">INSTRUMENTO DE EVALUACIÓN DE LA CALIDAD DE UN RED</w:t>
      </w:r>
    </w:p>
    <w:p>
      <w:pPr>
        <w:spacing w:after="60"/>
        <w:jc w:val="center"/>
      </w:pPr>
      <w:r>
        <w:rPr>
          <w:b/>
          <w:bCs/>
          <w:sz w:val="22"/>
          <w:szCs w:val="22"/>
        </w:rPr>
        <w:t xml:space="preserve">Modelo / Norma: UNE 71362 — Calidad de los materiales educativos digitales</w:t>
      </w:r>
    </w:p>
    <w:p>
      <w:pPr>
        <w:spacing w:after="240"/>
        <w:jc w:val="center"/>
      </w:pPr>
      <w:r>
        <w:rPr>
          <w:color w:val="6B7886"/>
          <w:sz w:val="18"/>
          <w:szCs w:val="18"/>
        </w:rPr>
        <w:t xml:space="preserve">Marlon Joaquín Gómez Argüello · Universidad de Santander (UDES)</w:t>
      </w:r>
    </w:p>
    <w:p>
      <w:pPr>
        <w:spacing w:after="120"/>
      </w:pPr>
      <w:r>
        <w:rPr>
          <w:b/>
          <w:bCs/>
          <w:color w:val="0B6B73"/>
          <w:sz w:val="22"/>
          <w:szCs w:val="22"/>
        </w:rPr>
        <w:t xml:space="preserve">1. Identificación del recurso educativo digital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Nombre del RED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Propiedades de los Gases (PhET)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Grado de aplicación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Educación Superior (Procesos Industriales I)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Área de conocimiento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Ingeniería de Producción / Termodinámica Aplicada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Objetivos de aprendizaje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Comprender empíricamente las leyes de los gases ideales y el comportamiento cinético de las partículas bajo variables de presión, volumen y temperatura.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Repositorio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PhET Interactive Simulations — Universidad de Colorado Boulder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URL del recurso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https://phet.colorado.edu/es/simulations/gas-properties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5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Descripción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Laboratorio virtual interactivo basado en HTML5 que simula una cámara sellada en la que se puede inyectar gas, añadir calor y comprimir el volumen, observando en tiempo real la relación entre presión, volumen y temperatura.</w:t>
            </w:r>
          </w:p>
        </w:tc>
      </w:tr>
    </w:tbl>
    <w:p>
      <w:pPr>
        <w:spacing w:after="160"/>
      </w:pPr>
    </w:p>
    <w:p>
      <w:pPr>
        <w:spacing w:after="100"/>
      </w:pPr>
      <w:r>
        <w:rPr>
          <w:b/>
          <w:bCs/>
          <w:color w:val="0B6B73"/>
          <w:sz w:val="22"/>
          <w:szCs w:val="22"/>
        </w:rPr>
        <w:t xml:space="preserve">2. Descripción del modelo de evaluación</w:t>
      </w:r>
    </w:p>
    <w:p>
      <w:pPr>
        <w:spacing w:after="160"/>
      </w:pPr>
      <w:r>
        <w:rPr>
          <w:sz w:val="20"/>
          <w:szCs w:val="20"/>
        </w:rPr>
        <w:t xml:space="preserve">La norma UNE 71362:2017 (AENOR) establece los criterios de calidad de los materiales educativos digitales, organizados en tres categorías —didáctica, tecnológica y de accesibilidad— evaluadas mediante rúbricas cerradas en una escala de 0 a 4. Cada criterio se valora con un descriptor objetivo, lo que permite obtener un puntaje cuantitativo total y trazable.</w:t>
      </w:r>
    </w:p>
    <w:p>
      <w:pPr>
        <w:spacing w:after="100"/>
      </w:pPr>
      <w:r>
        <w:rPr>
          <w:b/>
          <w:bCs/>
          <w:color w:val="0B6B73"/>
          <w:sz w:val="22"/>
          <w:szCs w:val="22"/>
        </w:rPr>
        <w:t xml:space="preserve">3. Criterios de evaluación y puntuación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792"/>
        <w:gridCol w:w="792"/>
        <w:gridCol w:w="792"/>
        <w:gridCol w:w="792"/>
        <w:gridCol w:w="792"/>
      </w:tblGrid>
      <w:tr>
        <w:trPr>
          <w:tblHeader/>
        </w:trP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6B7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Criterio de evaluación</w:t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6B7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0</w:t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6B7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6B7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</w:t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6B7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</w:t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6B7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9360"/>
            <w:gridSpan w:val="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DE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16212B"/>
                <w:sz w:val="18"/>
                <w:szCs w:val="18"/>
              </w:rPr>
              <w:t xml:space="preserve">Categoría: Didáctica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1. Descripción y coherencia de los objetivos didácticos</w:t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2. Calidad, veracidad y actualidad de los contenidos</w:t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>X</w:t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3. Capacidad para generar aprendizaje y desarrollo de competencias</w:t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4. Adaptabilidad e interactividad didáctica</w:t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>X</w:t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5. Motivación y atractivo para el estudiante</w:t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>X</w:t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360"/>
            <w:gridSpan w:val="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DE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16212B"/>
                <w:sz w:val="18"/>
                <w:szCs w:val="18"/>
              </w:rPr>
              <w:t xml:space="preserve">Categoría: Tecnológica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6. Formato y diseño de la información</w:t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7. Reusabilidad en distintos contextos</w:t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>X</w:t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8. Portabilidad e interoperabilidad (estándares)</w:t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>X</w:t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9. Robustez y estabilidad técnica</w:t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10. Estructuración y navegación</w:t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9360"/>
            <w:gridSpan w:val="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DE5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16212B"/>
                <w:sz w:val="18"/>
                <w:szCs w:val="18"/>
              </w:rPr>
              <w:t xml:space="preserve">Categoría: Accesibilidad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11. Acceso al contenido textual (alternativas)</w:t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>X</w:t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12. Acceso al contenido visual y sonoro</w:t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>X</w:t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13. Operabilidad y navegación accesible</w:t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>X</w:t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14. Compatibilidad con productos de apoyo</w:t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>X</w:t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15. Conformidad con pautas de accesibilidad (WCAG)</w:t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>X</w:t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  <w:tc>
          <w:tcPr>
            <w:tcW w:type="dxa" w:w="7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B6B73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40"/>
      </w:pPr>
      <w:r>
        <w:rPr>
          <w:b/>
          <w:bCs/>
          <w:color w:val="16212B"/>
          <w:sz w:val="22"/>
          <w:szCs w:val="22"/>
        </w:rPr>
        <w:t xml:space="preserve">Puntuación final: 47 / 60</w:t>
      </w:r>
    </w:p>
    <w:p>
      <w:pPr>
        <w:spacing w:after="200"/>
      </w:pPr>
      <w:r>
        <w:rPr>
          <w:color w:val="6B7886"/>
          <w:sz w:val="20"/>
          <w:szCs w:val="20"/>
        </w:rPr>
        <w:t xml:space="preserve">Equivalencia porcentual: 78%</w:t>
      </w:r>
    </w:p>
    <w:p>
      <w:pPr>
        <w:spacing w:after="100"/>
      </w:pPr>
      <w:r>
        <w:rPr>
          <w:b/>
          <w:bCs/>
          <w:color w:val="0B6B73"/>
          <w:sz w:val="22"/>
          <w:szCs w:val="22"/>
        </w:rPr>
        <w:t xml:space="preserve">4. Conclusiones de la evaluación</w:t>
      </w:r>
    </w:p>
    <w:p>
      <w:pPr>
        <w:spacing w:after="200"/>
      </w:pPr>
      <w:r>
        <w:rPr>
          <w:sz w:val="20"/>
          <w:szCs w:val="20"/>
        </w:rPr>
        <w:t xml:space="preserve">El recurso alcanza una calidad alta en las dimensiones didáctica y tecnológica, destacando por su robustez técnica (HTML5) y su capacidad para generar aprendizaje conceptual. Las puntuaciones más bajas se concentran en la categoría de accesibilidad: el simulador carece de alternativas textuales completas para lectores de pantalla y de descripciones de los elementos visuales, lo que limita su uso por estudiantes con discapacidad visual.</w:t>
      </w:r>
    </w:p>
    <w:p>
      <w:pPr>
        <w:spacing w:after="80"/>
      </w:pPr>
      <w:r>
        <w:rPr>
          <w:b/>
          <w:bCs/>
          <w:color w:val="0B6B73"/>
          <w:sz w:val="22"/>
          <w:szCs w:val="22"/>
        </w:rPr>
        <w:t xml:space="preserve">5. Ventajas de la aplicación del modelo</w:t>
      </w:r>
    </w:p>
    <w:p>
      <w:pPr>
        <w:spacing w:after="160"/>
      </w:pPr>
      <w:r>
        <w:rPr>
          <w:sz w:val="20"/>
          <w:szCs w:val="20"/>
        </w:rPr>
        <w:t xml:space="preserve">La rúbrica cerrada de la norma UNE 71362 obliga a evaluar la accesibilidad de forma explícita, evidenciando vacíos que modelos más pedagógicos (LORI, COdA) tienden a omitir. Aporta una métrica objetiva y trazable, coherente con la cultura de la ingeniería.</w:t>
      </w:r>
    </w:p>
    <w:p>
      <w:pPr>
        <w:spacing w:after="80"/>
      </w:pPr>
      <w:r>
        <w:rPr>
          <w:b/>
          <w:bCs/>
          <w:color w:val="0B6B73"/>
          <w:sz w:val="22"/>
          <w:szCs w:val="22"/>
        </w:rPr>
        <w:t xml:space="preserve">6. Desventajas de la aplicación del modelo</w:t>
      </w:r>
    </w:p>
    <w:p>
      <w:pPr>
        <w:spacing w:after="220"/>
      </w:pPr>
      <w:r>
        <w:rPr>
          <w:sz w:val="20"/>
          <w:szCs w:val="20"/>
        </w:rPr>
        <w:t xml:space="preserve">Su aplicación es extensa y exige tiempo considerable por recurso. Varios descriptores de accesibilidad requieren herramientas o conocimiento técnico que exceden el perfil del docente promedio, y la norma no contempla la fidelidad disciplinar del modelo termodinámico subyacente.</w:t>
      </w:r>
    </w:p>
    <w:p>
      <w:pPr>
        <w:spacing w:before="200"/>
      </w:pPr>
      <w:r>
        <w:rPr>
          <w:sz w:val="20"/>
          <w:szCs w:val="20"/>
        </w:rPr>
        <w:t xml:space="preserve">Elaborado por: Marlon Joaquín Gómez Argüello</w:t>
      </w:r>
    </w:p>
    <w:p>
      <w:r>
        <w:rPr>
          <w:sz w:val="20"/>
          <w:szCs w:val="20"/>
        </w:rPr>
        <w:t xml:space="preserve">Revisado por: Luz Elena Cardona Castaño (Docente Directora)</w:t>
      </w:r>
    </w:p>
    <w:p>
      <w:pPr>
        <w:spacing w:before="60"/>
      </w:pPr>
      <w:r>
        <w:rPr>
          <w:i/>
          <w:iCs/>
          <w:color w:val="6B7886"/>
          <w:sz w:val="16"/>
          <w:szCs w:val="16"/>
        </w:rPr>
        <w:t xml:space="preserve">Referencia del modelo: AENOR (2017). UNE 71362:2017. Calidad de los materiales educativos digitales.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6212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2026-06-06T02:45:57.231Z</dcterms:created>
  <dcterms:modified xsi:type="dcterms:W3CDTF">2026-06-06T02:45:57.233Z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