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B6B73"/>
          <w:sz w:val="26"/>
          <w:szCs w:val="26"/>
        </w:rPr>
        <w:t xml:space="preserve">INSTRUMENTO DE EVALUACIÓN DE LA CALIDAD DE UN RED</w:t>
      </w:r>
    </w:p>
    <w:p>
      <w:pPr>
        <w:spacing w:after="60"/>
        <w:jc w:val="center"/>
      </w:pPr>
      <w:r>
        <w:rPr>
          <w:b/>
          <w:bCs/>
          <w:sz w:val="22"/>
          <w:szCs w:val="22"/>
        </w:rPr>
        <w:t xml:space="preserve">Modelo / Norma: UNE 71362 — Calidad de los materiales educativos digitales</w:t>
      </w:r>
    </w:p>
    <w:p>
      <w:pPr>
        <w:spacing w:after="240"/>
        <w:jc w:val="center"/>
      </w:pPr>
      <w:r>
        <w:rPr>
          <w:color w:val="6B7886"/>
          <w:sz w:val="18"/>
          <w:szCs w:val="18"/>
        </w:rPr>
        <w:t xml:space="preserve">Marlon Joaquín Gómez Argüello · Universidad de Santander (UDES)</w:t>
      </w:r>
    </w:p>
    <w:p>
      <w:pPr>
        <w:spacing w:after="120"/>
      </w:pPr>
      <w:r>
        <w:rPr>
          <w:b/>
          <w:bCs/>
          <w:color w:val="0B6B73"/>
          <w:sz w:val="22"/>
          <w:szCs w:val="22"/>
        </w:rPr>
        <w:t xml:space="preserve">1. Identificación del recurso educativo digital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Nombre del RED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Estados de la Materia y Cambios de Fase (PhET)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Grado de aplicación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Educación Superior (Procesos Industriales I)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Área de conocimiento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Ingeniería de Producción / Fisicoquímica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Objetivos de aprendizaje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Observar a nivel molecular los estados sólido, líquido y gaseoso y los cambios de fase de distintas sustancias al variar la temperatura y la presión, como base para comprender la licuefacción del gas natural (GNL).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PhET Interactive Simulations — Universidad de Colorado Boulder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URL del recurso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https://phet.colorado.edu/es/simulations/states-of-matter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Laboratorio interactivo HTML5 que permite someter diferentes elementos (neón, oxígeno, agua) a cambios de temperatura y presión para observar los cambios de fase y el comportamiento molecular asociado.</w:t>
            </w:r>
          </w:p>
        </w:tc>
      </w:tr>
    </w:tbl>
    <w:p>
      <w:pPr>
        <w:spacing w:after="160"/>
      </w:pPr>
    </w:p>
    <w:p>
      <w:pPr>
        <w:spacing w:after="100"/>
      </w:pPr>
      <w:r>
        <w:rPr>
          <w:b/>
          <w:bCs/>
          <w:color w:val="0B6B73"/>
          <w:sz w:val="22"/>
          <w:szCs w:val="22"/>
        </w:rPr>
        <w:t xml:space="preserve">2. Descripción del modelo de evaluación</w:t>
      </w:r>
    </w:p>
    <w:p>
      <w:pPr>
        <w:spacing w:after="160"/>
      </w:pPr>
      <w:r>
        <w:rPr>
          <w:sz w:val="20"/>
          <w:szCs w:val="20"/>
        </w:rPr>
        <w:t xml:space="preserve">La norma UNE 71362:2017 (AENOR) establece los criterios de calidad de los materiales educativos digitales, organizados en tres categorías —didáctica, tecnológica y de accesibilidad— evaluadas mediante rúbricas cerradas en una escala de 0 a 4. Cada criterio se valora con un descriptor objetivo, lo que permite obtener un puntaje cuantitativo total y trazable.</w:t>
      </w:r>
    </w:p>
    <w:p>
      <w:pPr>
        <w:spacing w:after="100"/>
      </w:pPr>
      <w:r>
        <w:rPr>
          <w:b/>
          <w:bCs/>
          <w:color w:val="0B6B73"/>
          <w:sz w:val="22"/>
          <w:szCs w:val="22"/>
        </w:rPr>
        <w:t xml:space="preserve">3. Criterios de evaluación y puntuación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92"/>
        <w:gridCol w:w="792"/>
        <w:gridCol w:w="792"/>
        <w:gridCol w:w="792"/>
        <w:gridCol w:w="792"/>
      </w:tblGrid>
      <w:tr>
        <w:trPr>
          <w:tblHeader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de evaluación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9360"/>
            <w:gridSpan w:val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DE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6212B"/>
                <w:sz w:val="18"/>
                <w:szCs w:val="18"/>
              </w:rPr>
              <w:t xml:space="preserve">Categoría: Didáctica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1. Descripción y coherencia de los objetivos didácticos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2. Calidad, veracidad y actualidad de los contenidos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3. Capacidad para generar aprendizaje y desarrollo de competencias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4. Adaptabilidad e interactividad didáctica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5. Motivación y atractivo para el estudiante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9360"/>
            <w:gridSpan w:val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DE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6212B"/>
                <w:sz w:val="18"/>
                <w:szCs w:val="18"/>
              </w:rPr>
              <w:t xml:space="preserve">Categoría: Tecnológica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6. Formato y diseño de la información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7. Reusabilidad en distintos contextos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8. Portabilidad e interoperabilidad (estándares)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9. Robustez y estabilidad técnica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 Estructuración y navegación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gridSpan w:val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DE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6212B"/>
                <w:sz w:val="18"/>
                <w:szCs w:val="18"/>
              </w:rPr>
              <w:t xml:space="preserve">Categoría: Accesibilidad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11. Acceso al contenido textual (alternativas)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12. Acceso al contenido visual y sonoro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13. Operabilidad y navegación accesible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14. Compatibilidad con productos de apoyo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15. Conformidad con pautas de accesibilidad (WCAG)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40"/>
      </w:pPr>
      <w:r>
        <w:rPr>
          <w:b/>
          <w:bCs/>
          <w:color w:val="16212B"/>
          <w:sz w:val="22"/>
          <w:szCs w:val="22"/>
        </w:rPr>
        <w:t xml:space="preserve">Puntuación final: 46 / 60</w:t>
      </w:r>
    </w:p>
    <w:p>
      <w:pPr>
        <w:spacing w:after="200"/>
      </w:pPr>
      <w:r>
        <w:rPr>
          <w:color w:val="6B7886"/>
          <w:sz w:val="20"/>
          <w:szCs w:val="20"/>
        </w:rPr>
        <w:t xml:space="preserve">Equivalencia porcentual: 77%</w:t>
      </w:r>
    </w:p>
    <w:p>
      <w:pPr>
        <w:spacing w:after="100"/>
      </w:pPr>
      <w:r>
        <w:rPr>
          <w:b/>
          <w:bCs/>
          <w:color w:val="0B6B73"/>
          <w:sz w:val="22"/>
          <w:szCs w:val="22"/>
        </w:rPr>
        <w:t xml:space="preserve">4. Conclusiones de la evaluación</w:t>
      </w:r>
    </w:p>
    <w:p>
      <w:pPr>
        <w:spacing w:after="200"/>
      </w:pPr>
      <w:r>
        <w:rPr>
          <w:sz w:val="20"/>
          <w:szCs w:val="20"/>
        </w:rPr>
        <w:t xml:space="preserve">El recurso obtiene una valoración alta en motivación y formato, gracias a su representación molecular visualmente atractiva, y mantiene una sólida robustez técnica. Al igual que el RED 1, su principal debilidad es la accesibilidad: no ofrece descripciones alternativas suficientes ni compatibilidad plena con productos de apoyo. Desde la fidelidad disciplinar, solo dispone de sustancias genéricas y no de mezclas de hidrocarburos.</w:t>
      </w:r>
    </w:p>
    <w:p>
      <w:pPr>
        <w:spacing w:after="80"/>
      </w:pPr>
      <w:r>
        <w:rPr>
          <w:b/>
          <w:bCs/>
          <w:color w:val="0B6B73"/>
          <w:sz w:val="22"/>
          <w:szCs w:val="22"/>
        </w:rPr>
        <w:t xml:space="preserve">5. Ventajas de la aplicación del modelo</w:t>
      </w:r>
    </w:p>
    <w:p>
      <w:pPr>
        <w:spacing w:after="160"/>
      </w:pPr>
      <w:r>
        <w:rPr>
          <w:sz w:val="20"/>
          <w:szCs w:val="20"/>
        </w:rPr>
        <w:t xml:space="preserve">Permite cuantificar con precisión las fortalezas comunicacionales del recurso y exponer sistemáticamente sus limitaciones de accesibilidad. La estructura normativa facilita comparar este RED con el RED 1 bajo los mismos criterios objetivos.</w:t>
      </w:r>
    </w:p>
    <w:p>
      <w:pPr>
        <w:spacing w:after="80"/>
      </w:pPr>
      <w:r>
        <w:rPr>
          <w:b/>
          <w:bCs/>
          <w:color w:val="0B6B73"/>
          <w:sz w:val="22"/>
          <w:szCs w:val="22"/>
        </w:rPr>
        <w:t xml:space="preserve">6. Desventajas de la aplicación del modelo</w:t>
      </w:r>
    </w:p>
    <w:p>
      <w:pPr>
        <w:spacing w:after="220"/>
      </w:pPr>
      <w:r>
        <w:rPr>
          <w:sz w:val="20"/>
          <w:szCs w:val="20"/>
        </w:rPr>
        <w:t xml:space="preserve">El proceso es largo y técnico; la norma no captura la necesidad disciplinar específica (ausencia de hidrocarburos pesados), vacío que justifica el rediseño del modelo de evaluación con una dimensión de Fidelidad Disciplinar.</w:t>
      </w:r>
    </w:p>
    <w:p>
      <w:pPr>
        <w:spacing w:before="200"/>
      </w:pPr>
      <w:r>
        <w:rPr>
          <w:sz w:val="20"/>
          <w:szCs w:val="20"/>
        </w:rPr>
        <w:t xml:space="preserve">Elaborado por: Marlon Joaquín Gómez Argüello</w:t>
      </w:r>
    </w:p>
    <w:p>
      <w:r>
        <w:rPr>
          <w:sz w:val="20"/>
          <w:szCs w:val="20"/>
        </w:rPr>
        <w:t xml:space="preserve">Revisado por: Luz Elena Cardona Castaño (Docente Directora)</w:t>
      </w:r>
    </w:p>
    <w:p>
      <w:pPr>
        <w:spacing w:before="60"/>
      </w:pPr>
      <w:r>
        <w:rPr>
          <w:i/>
          <w:iCs/>
          <w:color w:val="6B7886"/>
          <w:sz w:val="16"/>
          <w:szCs w:val="16"/>
        </w:rPr>
        <w:t xml:space="preserve">Referencia del modelo: AENOR (2017). UNE 71362:2017. Calidad de los materiales educativos digitales.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1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2026-06-06T02:45:57.315Z</dcterms:created>
  <dcterms:modified xsi:type="dcterms:W3CDTF">2026-06-06T02:45:57.315Z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