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0B6B73"/>
          <w:sz w:val="26"/>
          <w:szCs w:val="26"/>
        </w:rPr>
        <w:t xml:space="preserve">INSTRUMENTO DE EVALUACIÓN DE LA CALIDAD DE UN RED</w:t>
      </w:r>
    </w:p>
    <w:p>
      <w:pPr>
        <w:spacing w:after="60"/>
        <w:jc w:val="center"/>
      </w:pPr>
      <w:r>
        <w:rPr>
          <w:b/>
          <w:bCs/>
          <w:sz w:val="22"/>
          <w:szCs w:val="22"/>
        </w:rPr>
        <w:t xml:space="preserve">Modelo: COdA-IP (COdA rediseñado con dimensión de Fidelidad Disciplinar)</w:t>
      </w:r>
    </w:p>
    <w:p>
      <w:pPr>
        <w:spacing w:after="240"/>
        <w:jc w:val="center"/>
      </w:pPr>
      <w:r>
        <w:rPr>
          <w:color w:val="6B7886"/>
          <w:sz w:val="18"/>
          <w:szCs w:val="18"/>
        </w:rPr>
        <w:t xml:space="preserve">Marlon Joaquín Gómez Argüello · Universidad de Santander (UDES)</w:t>
      </w:r>
    </w:p>
    <w:p>
      <w:pPr>
        <w:spacing w:after="120" w:line="280"/>
        <w:jc w:val="both"/>
      </w:pPr>
      <w:r>
        <w:rPr>
          <w:b/>
          <w:bCs/>
          <w:color w:val="0B6B73"/>
          <w:sz w:val="22"/>
          <w:szCs w:val="22"/>
        </w:rPr>
        <w:t xml:space="preserve">1. Identificación del recurso educativo digital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7F5F1" w:val="clear"/>
            <w:tcMar>
              <w:top w:type="dxa" w:w="60"/>
              <w:left w:type="dxa" w:w="100"/>
              <w:bottom w:type="dxa" w:w="60"/>
              <w:right w:type="dxa" w:w="100"/>
            </w:tcMar>
            <w:vAlign w:val="center"/>
          </w:tcPr>
          <w:p>
            <w:pPr>
              <w:jc w:val="left"/>
            </w:pPr>
            <w:r>
              <w:rPr>
                <w:b/>
                <w:bCs/>
                <w:sz w:val="18"/>
                <w:szCs w:val="18"/>
              </w:rPr>
              <w:t xml:space="preserve">Nombre del RED</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sz w:val="18"/>
                <w:szCs w:val="18"/>
              </w:rPr>
              <w:t xml:space="preserve">MaintPro CMMS — Sistema de Gestión de Mantenimiento Computarizado</w:t>
            </w:r>
          </w:p>
        </w:tc>
      </w:tr>
      <w:tr>
        <w:tc>
          <w:tcPr>
            <w:tcW w:type="dxa" w:w="3000"/>
            <w:tcBorders>
              <w:top w:val="single" w:color="CCCCCC" w:sz="1"/>
              <w:left w:val="single" w:color="CCCCCC" w:sz="1"/>
              <w:bottom w:val="single" w:color="CCCCCC" w:sz="1"/>
              <w:right w:val="single" w:color="CCCCCC" w:sz="1"/>
            </w:tcBorders>
            <w:shd w:fill="F7F5F1" w:val="clear"/>
            <w:tcMar>
              <w:top w:type="dxa" w:w="60"/>
              <w:left w:type="dxa" w:w="100"/>
              <w:bottom w:type="dxa" w:w="60"/>
              <w:right w:type="dxa" w:w="100"/>
            </w:tcMar>
            <w:vAlign w:val="center"/>
          </w:tcPr>
          <w:p>
            <w:pPr>
              <w:jc w:val="left"/>
            </w:pPr>
            <w:r>
              <w:rPr>
                <w:b/>
                <w:bCs/>
                <w:sz w:val="18"/>
                <w:szCs w:val="18"/>
              </w:rPr>
              <w:t xml:space="preserve">Grado de aplicación</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sz w:val="18"/>
                <w:szCs w:val="18"/>
              </w:rPr>
              <w:t xml:space="preserve">Educación Superior (Programación y Control del Mantenimiento — TOSEM, UNIPAZ)</w:t>
            </w:r>
          </w:p>
        </w:tc>
      </w:tr>
      <w:tr>
        <w:tc>
          <w:tcPr>
            <w:tcW w:type="dxa" w:w="3000"/>
            <w:tcBorders>
              <w:top w:val="single" w:color="CCCCCC" w:sz="1"/>
              <w:left w:val="single" w:color="CCCCCC" w:sz="1"/>
              <w:bottom w:val="single" w:color="CCCCCC" w:sz="1"/>
              <w:right w:val="single" w:color="CCCCCC" w:sz="1"/>
            </w:tcBorders>
            <w:shd w:fill="F7F5F1" w:val="clear"/>
            <w:tcMar>
              <w:top w:type="dxa" w:w="60"/>
              <w:left w:type="dxa" w:w="100"/>
              <w:bottom w:type="dxa" w:w="60"/>
              <w:right w:type="dxa" w:w="100"/>
            </w:tcMar>
            <w:vAlign w:val="center"/>
          </w:tcPr>
          <w:p>
            <w:pPr>
              <w:jc w:val="left"/>
            </w:pPr>
            <w:r>
              <w:rPr>
                <w:b/>
                <w:bCs/>
                <w:sz w:val="18"/>
                <w:szCs w:val="18"/>
              </w:rPr>
              <w:t xml:space="preserve">Área de conocimiento</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sz w:val="18"/>
                <w:szCs w:val="18"/>
              </w:rPr>
              <w:t xml:space="preserve">Ingeniería de Producción / Gestión del Mantenimiento Industrial</w:t>
            </w:r>
          </w:p>
        </w:tc>
      </w:tr>
      <w:tr>
        <w:tc>
          <w:tcPr>
            <w:tcW w:type="dxa" w:w="3000"/>
            <w:tcBorders>
              <w:top w:val="single" w:color="CCCCCC" w:sz="1"/>
              <w:left w:val="single" w:color="CCCCCC" w:sz="1"/>
              <w:bottom w:val="single" w:color="CCCCCC" w:sz="1"/>
              <w:right w:val="single" w:color="CCCCCC" w:sz="1"/>
            </w:tcBorders>
            <w:shd w:fill="F7F5F1" w:val="clear"/>
            <w:tcMar>
              <w:top w:type="dxa" w:w="60"/>
              <w:left w:type="dxa" w:w="100"/>
              <w:bottom w:type="dxa" w:w="60"/>
              <w:right w:type="dxa" w:w="100"/>
            </w:tcMar>
            <w:vAlign w:val="center"/>
          </w:tcPr>
          <w:p>
            <w:pPr>
              <w:jc w:val="left"/>
            </w:pPr>
            <w:r>
              <w:rPr>
                <w:b/>
                <w:bCs/>
                <w:sz w:val="18"/>
                <w:szCs w:val="18"/>
              </w:rPr>
              <w:t xml:space="preserve">Tipo de RED</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sz w:val="18"/>
                <w:szCs w:val="18"/>
              </w:rPr>
              <w:t xml:space="preserve">Aplicación web educativa / simulador de gestión (CMMS)</w:t>
            </w:r>
          </w:p>
        </w:tc>
      </w:tr>
      <w:tr>
        <w:tc>
          <w:tcPr>
            <w:tcW w:type="dxa" w:w="3000"/>
            <w:tcBorders>
              <w:top w:val="single" w:color="CCCCCC" w:sz="1"/>
              <w:left w:val="single" w:color="CCCCCC" w:sz="1"/>
              <w:bottom w:val="single" w:color="CCCCCC" w:sz="1"/>
              <w:right w:val="single" w:color="CCCCCC" w:sz="1"/>
            </w:tcBorders>
            <w:shd w:fill="F7F5F1" w:val="clear"/>
            <w:tcMar>
              <w:top w:type="dxa" w:w="60"/>
              <w:left w:type="dxa" w:w="100"/>
              <w:bottom w:type="dxa" w:w="60"/>
              <w:right w:type="dxa" w:w="100"/>
            </w:tcMar>
            <w:vAlign w:val="center"/>
          </w:tcPr>
          <w:p>
            <w:pPr>
              <w:jc w:val="left"/>
            </w:pPr>
            <w:r>
              <w:rPr>
                <w:b/>
                <w:bCs/>
                <w:sz w:val="18"/>
                <w:szCs w:val="18"/>
              </w:rPr>
              <w:t xml:space="preserve">Autor</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sz w:val="18"/>
                <w:szCs w:val="18"/>
              </w:rPr>
              <w:t xml:space="preserve">Marlon Joaquín Gómez Argüello (recurso de autoría propia)</w:t>
            </w:r>
          </w:p>
        </w:tc>
      </w:tr>
      <w:tr>
        <w:tc>
          <w:tcPr>
            <w:tcW w:type="dxa" w:w="3000"/>
            <w:tcBorders>
              <w:top w:val="single" w:color="CCCCCC" w:sz="1"/>
              <w:left w:val="single" w:color="CCCCCC" w:sz="1"/>
              <w:bottom w:val="single" w:color="CCCCCC" w:sz="1"/>
              <w:right w:val="single" w:color="CCCCCC" w:sz="1"/>
            </w:tcBorders>
            <w:shd w:fill="F7F5F1" w:val="clear"/>
            <w:tcMar>
              <w:top w:type="dxa" w:w="60"/>
              <w:left w:type="dxa" w:w="100"/>
              <w:bottom w:type="dxa" w:w="60"/>
              <w:right w:type="dxa" w:w="100"/>
            </w:tcMar>
            <w:vAlign w:val="center"/>
          </w:tcPr>
          <w:p>
            <w:pPr>
              <w:jc w:val="left"/>
            </w:pPr>
            <w:r>
              <w:rPr>
                <w:b/>
                <w:bCs/>
                <w:sz w:val="18"/>
                <w:szCs w:val="18"/>
              </w:rPr>
              <w:t xml:space="preserve">Objetivos de aprendizaje</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sz w:val="18"/>
                <w:szCs w:val="18"/>
              </w:rPr>
              <w:t xml:space="preserve">Que el estudiante gestione el ciclo completo del mantenimiento (activos, órdenes de trabajo, planes preventivos, inventario e indicadores) en un entorno realista basado en normas ISO 14224 e ISO 55000.</w:t>
            </w:r>
          </w:p>
        </w:tc>
      </w:tr>
      <w:tr>
        <w:tc>
          <w:tcPr>
            <w:tcW w:type="dxa" w:w="3000"/>
            <w:tcBorders>
              <w:top w:val="single" w:color="CCCCCC" w:sz="1"/>
              <w:left w:val="single" w:color="CCCCCC" w:sz="1"/>
              <w:bottom w:val="single" w:color="CCCCCC" w:sz="1"/>
              <w:right w:val="single" w:color="CCCCCC" w:sz="1"/>
            </w:tcBorders>
            <w:shd w:fill="F7F5F1" w:val="clear"/>
            <w:tcMar>
              <w:top w:type="dxa" w:w="60"/>
              <w:left w:type="dxa" w:w="100"/>
              <w:bottom w:type="dxa" w:w="60"/>
              <w:right w:type="dxa" w:w="100"/>
            </w:tcMar>
            <w:vAlign w:val="center"/>
          </w:tcPr>
          <w:p>
            <w:pPr>
              <w:jc w:val="left"/>
            </w:pPr>
            <w:r>
              <w:rPr>
                <w:b/>
                <w:bCs/>
                <w:sz w:val="18"/>
                <w:szCs w:val="18"/>
              </w:rPr>
              <w:t xml:space="preserve">URL del recurso</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sz w:val="18"/>
                <w:szCs w:val="18"/>
              </w:rPr>
              <w:t xml:space="preserve">https://github.com/marlongomez9603-netizen/CMMS (módulo PRIMER CORTE/cmms-app)</w:t>
            </w:r>
          </w:p>
        </w:tc>
      </w:tr>
      <w:tr>
        <w:tc>
          <w:tcPr>
            <w:tcW w:type="dxa" w:w="3000"/>
            <w:tcBorders>
              <w:top w:val="single" w:color="CCCCCC" w:sz="1"/>
              <w:left w:val="single" w:color="CCCCCC" w:sz="1"/>
              <w:bottom w:val="single" w:color="CCCCCC" w:sz="1"/>
              <w:right w:val="single" w:color="CCCCCC" w:sz="1"/>
            </w:tcBorders>
            <w:shd w:fill="F7F5F1" w:val="clear"/>
            <w:tcMar>
              <w:top w:type="dxa" w:w="60"/>
              <w:left w:type="dxa" w:w="100"/>
              <w:bottom w:type="dxa" w:w="60"/>
              <w:right w:type="dxa" w:w="100"/>
            </w:tcMar>
            <w:vAlign w:val="center"/>
          </w:tcPr>
          <w:p>
            <w:pPr>
              <w:jc w:val="left"/>
            </w:pPr>
            <w:r>
              <w:rPr>
                <w:b/>
                <w:bCs/>
                <w:sz w:val="18"/>
                <w:szCs w:val="18"/>
              </w:rPr>
              <w:t xml:space="preserve">Descripción</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sz w:val="18"/>
                <w:szCs w:val="18"/>
              </w:rPr>
              <w:t xml:space="preserve">Aplicación web (HTML5/JS/Chart.js/Supabase) con datos de tres empresas demo; incluye dashboard de KPIs (MTBF, MTTR, disponibilidad), órdenes de trabajo, mantenimiento preventivo, inventario, personal técnico, vista de técnico, parcial evaluado y encuesta de percepción.</w:t>
            </w:r>
          </w:p>
        </w:tc>
      </w:tr>
    </w:tbl>
    <w:p>
      <w:pPr>
        <w:spacing w:after="160"/>
      </w:pPr>
    </w:p>
    <w:p>
      <w:pPr>
        <w:spacing w:after="100" w:line="280"/>
        <w:jc w:val="both"/>
      </w:pPr>
      <w:r>
        <w:rPr>
          <w:b/>
          <w:bCs/>
          <w:color w:val="0B6B73"/>
          <w:sz w:val="22"/>
          <w:szCs w:val="22"/>
        </w:rPr>
        <w:t xml:space="preserve">2. Descripción del modelo de evaluación</w:t>
      </w:r>
    </w:p>
    <w:p>
      <w:pPr>
        <w:spacing w:after="160" w:line="280"/>
        <w:jc w:val="both"/>
      </w:pPr>
      <w:r>
        <w:rPr>
          <w:sz w:val="20"/>
          <w:szCs w:val="20"/>
        </w:rPr>
        <w:t xml:space="preserve">El modelo COdA-IP adapta la herramienta COdA (Fernández-Pampillón et al., 2012) conservando sus 10 criterios (didácticos y tecnológicos) y añadiendo un criterio 11 de Fidelidad Disciplinar, que valora la exactitud con que el RED representa los fenómenos y procesos reales de la disciplina. Cada criterio se valora de 1 a 5 y se pondera por bloques: didáctica 40 %, tecnológica 35 % y fidelidad disciplinar 25 %.</w:t>
      </w:r>
    </w:p>
    <w:p>
      <w:pPr>
        <w:spacing w:after="100" w:line="280"/>
        <w:jc w:val="both"/>
      </w:pPr>
      <w:r>
        <w:rPr>
          <w:b/>
          <w:bCs/>
          <w:color w:val="0B6B73"/>
          <w:sz w:val="22"/>
          <w:szCs w:val="22"/>
        </w:rPr>
        <w:t xml:space="preserve">3. Criterios de evaluación y puntuación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872"/>
        <w:gridCol w:w="872"/>
        <w:gridCol w:w="872"/>
        <w:gridCol w:w="872"/>
        <w:gridCol w:w="872"/>
      </w:tblGrid>
      <w:tr>
        <w:trPr>
          <w:tblHeader/>
        </w:trPr>
        <w:tc>
          <w:tcPr>
            <w:tcW w:type="dxa" w:w="5000"/>
            <w:tcBorders>
              <w:top w:val="single" w:color="CCCCCC" w:sz="1"/>
              <w:left w:val="single" w:color="CCCCCC" w:sz="1"/>
              <w:bottom w:val="single" w:color="CCCCCC" w:sz="1"/>
              <w:right w:val="single" w:color="CCCCCC" w:sz="1"/>
            </w:tcBorders>
            <w:shd w:fill="0B6B73" w:val="clear"/>
            <w:tcMar>
              <w:top w:type="dxa" w:w="60"/>
              <w:left w:type="dxa" w:w="100"/>
              <w:bottom w:type="dxa" w:w="60"/>
              <w:right w:type="dxa" w:w="100"/>
            </w:tcMar>
            <w:vAlign w:val="center"/>
          </w:tcPr>
          <w:p>
            <w:pPr>
              <w:jc w:val="left"/>
            </w:pPr>
            <w:r>
              <w:rPr>
                <w:b/>
                <w:bCs/>
                <w:color w:val="FFFFFF"/>
                <w:sz w:val="18"/>
                <w:szCs w:val="18"/>
              </w:rPr>
              <w:t xml:space="preserve">Criterio de evaluación</w:t>
            </w:r>
          </w:p>
        </w:tc>
        <w:tc>
          <w:tcPr>
            <w:tcW w:type="dxa" w:w="872"/>
            <w:tcBorders>
              <w:top w:val="single" w:color="CCCCCC" w:sz="1"/>
              <w:left w:val="single" w:color="CCCCCC" w:sz="1"/>
              <w:bottom w:val="single" w:color="CCCCCC" w:sz="1"/>
              <w:right w:val="single" w:color="CCCCCC" w:sz="1"/>
            </w:tcBorders>
            <w:shd w:fill="0B6B73" w:val="clear"/>
            <w:tcMar>
              <w:top w:type="dxa" w:w="60"/>
              <w:left w:type="dxa" w:w="100"/>
              <w:bottom w:type="dxa" w:w="60"/>
              <w:right w:type="dxa" w:w="100"/>
            </w:tcMar>
            <w:vAlign w:val="center"/>
          </w:tcPr>
          <w:p>
            <w:pPr>
              <w:jc w:val="center"/>
            </w:pPr>
            <w:r>
              <w:rPr>
                <w:b/>
                <w:bCs/>
                <w:color w:val="FFFFFF"/>
                <w:sz w:val="18"/>
                <w:szCs w:val="18"/>
              </w:rPr>
              <w:t xml:space="preserve">1</w:t>
            </w:r>
          </w:p>
        </w:tc>
        <w:tc>
          <w:tcPr>
            <w:tcW w:type="dxa" w:w="872"/>
            <w:tcBorders>
              <w:top w:val="single" w:color="CCCCCC" w:sz="1"/>
              <w:left w:val="single" w:color="CCCCCC" w:sz="1"/>
              <w:bottom w:val="single" w:color="CCCCCC" w:sz="1"/>
              <w:right w:val="single" w:color="CCCCCC" w:sz="1"/>
            </w:tcBorders>
            <w:shd w:fill="0B6B73" w:val="clear"/>
            <w:tcMar>
              <w:top w:type="dxa" w:w="60"/>
              <w:left w:type="dxa" w:w="100"/>
              <w:bottom w:type="dxa" w:w="60"/>
              <w:right w:type="dxa" w:w="100"/>
            </w:tcMar>
            <w:vAlign w:val="center"/>
          </w:tcPr>
          <w:p>
            <w:pPr>
              <w:jc w:val="center"/>
            </w:pPr>
            <w:r>
              <w:rPr>
                <w:b/>
                <w:bCs/>
                <w:color w:val="FFFFFF"/>
                <w:sz w:val="18"/>
                <w:szCs w:val="18"/>
              </w:rPr>
              <w:t xml:space="preserve">2</w:t>
            </w:r>
          </w:p>
        </w:tc>
        <w:tc>
          <w:tcPr>
            <w:tcW w:type="dxa" w:w="872"/>
            <w:tcBorders>
              <w:top w:val="single" w:color="CCCCCC" w:sz="1"/>
              <w:left w:val="single" w:color="CCCCCC" w:sz="1"/>
              <w:bottom w:val="single" w:color="CCCCCC" w:sz="1"/>
              <w:right w:val="single" w:color="CCCCCC" w:sz="1"/>
            </w:tcBorders>
            <w:shd w:fill="0B6B73" w:val="clear"/>
            <w:tcMar>
              <w:top w:type="dxa" w:w="60"/>
              <w:left w:type="dxa" w:w="100"/>
              <w:bottom w:type="dxa" w:w="60"/>
              <w:right w:type="dxa" w:w="100"/>
            </w:tcMar>
            <w:vAlign w:val="center"/>
          </w:tcPr>
          <w:p>
            <w:pPr>
              <w:jc w:val="center"/>
            </w:pPr>
            <w:r>
              <w:rPr>
                <w:b/>
                <w:bCs/>
                <w:color w:val="FFFFFF"/>
                <w:sz w:val="18"/>
                <w:szCs w:val="18"/>
              </w:rPr>
              <w:t xml:space="preserve">3</w:t>
            </w:r>
          </w:p>
        </w:tc>
        <w:tc>
          <w:tcPr>
            <w:tcW w:type="dxa" w:w="872"/>
            <w:tcBorders>
              <w:top w:val="single" w:color="CCCCCC" w:sz="1"/>
              <w:left w:val="single" w:color="CCCCCC" w:sz="1"/>
              <w:bottom w:val="single" w:color="CCCCCC" w:sz="1"/>
              <w:right w:val="single" w:color="CCCCCC" w:sz="1"/>
            </w:tcBorders>
            <w:shd w:fill="0B6B73" w:val="clear"/>
            <w:tcMar>
              <w:top w:type="dxa" w:w="60"/>
              <w:left w:type="dxa" w:w="100"/>
              <w:bottom w:type="dxa" w:w="60"/>
              <w:right w:type="dxa" w:w="100"/>
            </w:tcMar>
            <w:vAlign w:val="center"/>
          </w:tcPr>
          <w:p>
            <w:pPr>
              <w:jc w:val="center"/>
            </w:pPr>
            <w:r>
              <w:rPr>
                <w:b/>
                <w:bCs/>
                <w:color w:val="FFFFFF"/>
                <w:sz w:val="18"/>
                <w:szCs w:val="18"/>
              </w:rPr>
              <w:t xml:space="preserve">4</w:t>
            </w:r>
          </w:p>
        </w:tc>
        <w:tc>
          <w:tcPr>
            <w:tcW w:type="dxa" w:w="872"/>
            <w:tcBorders>
              <w:top w:val="single" w:color="CCCCCC" w:sz="1"/>
              <w:left w:val="single" w:color="CCCCCC" w:sz="1"/>
              <w:bottom w:val="single" w:color="CCCCCC" w:sz="1"/>
              <w:right w:val="single" w:color="CCCCCC" w:sz="1"/>
            </w:tcBorders>
            <w:shd w:fill="0B6B73" w:val="clear"/>
            <w:tcMar>
              <w:top w:type="dxa" w:w="60"/>
              <w:left w:type="dxa" w:w="100"/>
              <w:bottom w:type="dxa" w:w="60"/>
              <w:right w:type="dxa" w:w="100"/>
            </w:tcMar>
            <w:vAlign w:val="center"/>
          </w:tcPr>
          <w:p>
            <w:pPr>
              <w:jc w:val="center"/>
            </w:pPr>
            <w:r>
              <w:rPr>
                <w:b/>
                <w:bCs/>
                <w:color w:val="FFFFFF"/>
                <w:sz w:val="18"/>
                <w:szCs w:val="18"/>
              </w:rPr>
              <w:t xml:space="preserve">5</w:t>
            </w:r>
          </w:p>
        </w:tc>
      </w:tr>
      <w:tr>
        <w:tc>
          <w:tcPr>
            <w:tcW w:type="dxa" w:w="9360"/>
            <w:gridSpan w:val="6"/>
            <w:tcBorders>
              <w:top w:val="single" w:color="CCCCCC" w:sz="1"/>
              <w:left w:val="single" w:color="CCCCCC" w:sz="1"/>
              <w:bottom w:val="single" w:color="CCCCCC" w:sz="1"/>
              <w:right w:val="single" w:color="CCCCCC" w:sz="1"/>
            </w:tcBorders>
            <w:shd w:fill="F1EDE5" w:val="clear"/>
            <w:tcMar>
              <w:top w:type="dxa" w:w="50"/>
              <w:left w:type="dxa" w:w="100"/>
              <w:bottom w:type="dxa" w:w="50"/>
              <w:right w:type="dxa" w:w="100"/>
            </w:tcMar>
          </w:tcPr>
          <w:p>
            <w:r>
              <w:rPr>
                <w:b/>
                <w:bCs/>
                <w:color w:val="16212B"/>
                <w:sz w:val="18"/>
                <w:szCs w:val="18"/>
              </w:rPr>
              <w:t xml:space="preserve">Dimensión: Didáctica</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sz w:val="18"/>
                <w:szCs w:val="18"/>
              </w:rPr>
              <w:t xml:space="preserve">1. Objetivos y coherencia didáctica</w:t>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X</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sz w:val="18"/>
                <w:szCs w:val="18"/>
              </w:rPr>
              <w:t xml:space="preserve">2. Calidad de los contenidos</w:t>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X</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sz w:val="18"/>
                <w:szCs w:val="18"/>
              </w:rPr>
              <w:t xml:space="preserve">3. Capacidad de generar aprendizaje</w:t>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X</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sz w:val="18"/>
                <w:szCs w:val="18"/>
              </w:rPr>
              <w:t xml:space="preserve">4. Interactividad y adaptabilidad</w:t>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X</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sz w:val="18"/>
                <w:szCs w:val="18"/>
              </w:rPr>
              <w:t xml:space="preserve">5. Motivación</w:t>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X</w:t>
            </w:r>
          </w:p>
        </w:tc>
      </w:tr>
      <w:tr>
        <w:tc>
          <w:tcPr>
            <w:tcW w:type="dxa" w:w="9360"/>
            <w:gridSpan w:val="6"/>
            <w:tcBorders>
              <w:top w:val="single" w:color="CCCCCC" w:sz="1"/>
              <w:left w:val="single" w:color="CCCCCC" w:sz="1"/>
              <w:bottom w:val="single" w:color="CCCCCC" w:sz="1"/>
              <w:right w:val="single" w:color="CCCCCC" w:sz="1"/>
            </w:tcBorders>
            <w:shd w:fill="F1EDE5" w:val="clear"/>
            <w:tcMar>
              <w:top w:type="dxa" w:w="50"/>
              <w:left w:type="dxa" w:w="100"/>
              <w:bottom w:type="dxa" w:w="50"/>
              <w:right w:type="dxa" w:w="100"/>
            </w:tcMar>
          </w:tcPr>
          <w:p>
            <w:r>
              <w:rPr>
                <w:b/>
                <w:bCs/>
                <w:color w:val="16212B"/>
                <w:sz w:val="18"/>
                <w:szCs w:val="18"/>
              </w:rPr>
              <w:t xml:space="preserve">Dimensión: Tecnológica</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sz w:val="18"/>
                <w:szCs w:val="18"/>
              </w:rPr>
              <w:t xml:space="preserve">6. Formato y diseño</w:t>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X</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sz w:val="18"/>
                <w:szCs w:val="18"/>
              </w:rPr>
              <w:t xml:space="preserve">7. Usabilidad</w:t>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X</w:t>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sz w:val="18"/>
                <w:szCs w:val="18"/>
              </w:rPr>
              <w:t xml:space="preserve">8. Accesibilidad</w:t>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X</w:t>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sz w:val="18"/>
                <w:szCs w:val="18"/>
              </w:rPr>
              <w:t xml:space="preserve">9. Reusabilidad</w:t>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X</w:t>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sz w:val="18"/>
                <w:szCs w:val="18"/>
              </w:rPr>
              <w:t xml:space="preserve">10. Interoperabilidad</w:t>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X</w:t>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r>
      <w:tr>
        <w:tc>
          <w:tcPr>
            <w:tcW w:type="dxa" w:w="9360"/>
            <w:gridSpan w:val="6"/>
            <w:tcBorders>
              <w:top w:val="single" w:color="CCCCCC" w:sz="1"/>
              <w:left w:val="single" w:color="CCCCCC" w:sz="1"/>
              <w:bottom w:val="single" w:color="CCCCCC" w:sz="1"/>
              <w:right w:val="single" w:color="CCCCCC" w:sz="1"/>
            </w:tcBorders>
            <w:shd w:fill="FBEEE3" w:val="clear"/>
            <w:tcMar>
              <w:top w:type="dxa" w:w="50"/>
              <w:left w:type="dxa" w:w="100"/>
              <w:bottom w:type="dxa" w:w="50"/>
              <w:right w:type="dxa" w:w="100"/>
            </w:tcMar>
          </w:tcPr>
          <w:p>
            <w:r>
              <w:rPr>
                <w:b/>
                <w:bCs/>
                <w:color w:val="C25A19"/>
                <w:sz w:val="18"/>
                <w:szCs w:val="18"/>
              </w:rPr>
              <w:t xml:space="preserve">Dimensión: Fidelidad disciplinar</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sz w:val="18"/>
                <w:szCs w:val="18"/>
              </w:rPr>
              <w:t xml:space="preserve">11. Fidelidad disciplinar (nuevo)</w:t>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
            </w:r>
          </w:p>
        </w:tc>
        <w:tc>
          <w:tcPr>
            <w:tcW w:type="dxa" w:w="872"/>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0B6B73"/>
                <w:sz w:val="18"/>
                <w:szCs w:val="18"/>
              </w:rPr>
              <w:t xml:space="preserve">X</w:t>
            </w:r>
          </w:p>
        </w:tc>
      </w:tr>
    </w:tbl>
    <w:p>
      <w:pPr>
        <w:spacing w:after="160"/>
      </w:pPr>
    </w:p>
    <w:p>
      <w:pPr>
        <w:spacing w:after="100" w:line="280"/>
        <w:jc w:val="both"/>
      </w:pPr>
      <w:r>
        <w:rPr>
          <w:b/>
          <w:bCs/>
          <w:color w:val="0B6B73"/>
          <w:sz w:val="22"/>
          <w:szCs w:val="22"/>
        </w:rPr>
        <w:t xml:space="preserve">4. Índice de Calidad COdA-IP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4000"/>
      </w:tblGrid>
      <w:tr>
        <w:trPr>
          <w:tblHeader/>
        </w:trPr>
        <w:tc>
          <w:tcPr>
            <w:tcW w:type="dxa" w:w="3360"/>
            <w:tcBorders>
              <w:top w:val="single" w:color="CCCCCC" w:sz="1"/>
              <w:left w:val="single" w:color="CCCCCC" w:sz="1"/>
              <w:bottom w:val="single" w:color="CCCCCC" w:sz="1"/>
              <w:right w:val="single" w:color="CCCCCC" w:sz="1"/>
            </w:tcBorders>
            <w:shd w:fill="0B6B73" w:val="clear"/>
            <w:tcMar>
              <w:top w:type="dxa" w:w="60"/>
              <w:left w:type="dxa" w:w="100"/>
              <w:bottom w:type="dxa" w:w="60"/>
              <w:right w:type="dxa" w:w="100"/>
            </w:tcMar>
            <w:vAlign w:val="center"/>
          </w:tcPr>
          <w:p>
            <w:pPr>
              <w:jc w:val="left"/>
            </w:pPr>
            <w:r>
              <w:rPr>
                <w:b/>
                <w:bCs/>
                <w:color w:val="FFFFFF"/>
                <w:sz w:val="18"/>
                <w:szCs w:val="18"/>
              </w:rPr>
              <w:t xml:space="preserve">Dimensión</w:t>
            </w:r>
          </w:p>
        </w:tc>
        <w:tc>
          <w:tcPr>
            <w:tcW w:type="dxa" w:w="2000"/>
            <w:tcBorders>
              <w:top w:val="single" w:color="CCCCCC" w:sz="1"/>
              <w:left w:val="single" w:color="CCCCCC" w:sz="1"/>
              <w:bottom w:val="single" w:color="CCCCCC" w:sz="1"/>
              <w:right w:val="single" w:color="CCCCCC" w:sz="1"/>
            </w:tcBorders>
            <w:shd w:fill="0B6B73" w:val="clear"/>
            <w:tcMar>
              <w:top w:type="dxa" w:w="60"/>
              <w:left w:type="dxa" w:w="100"/>
              <w:bottom w:type="dxa" w:w="60"/>
              <w:right w:type="dxa" w:w="100"/>
            </w:tcMar>
            <w:vAlign w:val="center"/>
          </w:tcPr>
          <w:p>
            <w:pPr>
              <w:jc w:val="center"/>
            </w:pPr>
            <w:r>
              <w:rPr>
                <w:b/>
                <w:bCs/>
                <w:color w:val="FFFFFF"/>
                <w:sz w:val="18"/>
                <w:szCs w:val="18"/>
              </w:rPr>
              <w:t xml:space="preserve">Media (1-5)</w:t>
            </w:r>
          </w:p>
        </w:tc>
        <w:tc>
          <w:tcPr>
            <w:tcW w:type="dxa" w:w="4000"/>
            <w:tcBorders>
              <w:top w:val="single" w:color="CCCCCC" w:sz="1"/>
              <w:left w:val="single" w:color="CCCCCC" w:sz="1"/>
              <w:bottom w:val="single" w:color="CCCCCC" w:sz="1"/>
              <w:right w:val="single" w:color="CCCCCC" w:sz="1"/>
            </w:tcBorders>
            <w:shd w:fill="0B6B73" w:val="clear"/>
            <w:tcMar>
              <w:top w:type="dxa" w:w="60"/>
              <w:left w:type="dxa" w:w="100"/>
              <w:bottom w:type="dxa" w:w="60"/>
              <w:right w:type="dxa" w:w="100"/>
            </w:tcMar>
            <w:vAlign w:val="center"/>
          </w:tcPr>
          <w:p>
            <w:pPr>
              <w:jc w:val="center"/>
            </w:pPr>
            <w:r>
              <w:rPr>
                <w:b/>
                <w:bCs/>
                <w:color w:val="FFFFFF"/>
                <w:sz w:val="18"/>
                <w:szCs w:val="18"/>
              </w:rPr>
              <w:t xml:space="preserve">Peso</w:t>
            </w:r>
          </w:p>
        </w:tc>
      </w:tr>
      <w:tr>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sz w:val="18"/>
                <w:szCs w:val="18"/>
              </w:rPr>
              <w:t xml:space="preserve">Didáctica</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sz w:val="18"/>
                <w:szCs w:val="18"/>
              </w:rPr>
              <w:t xml:space="preserve">5.00</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sz w:val="18"/>
                <w:szCs w:val="18"/>
              </w:rPr>
              <w:t xml:space="preserve">40 %</w:t>
            </w:r>
          </w:p>
        </w:tc>
      </w:tr>
      <w:tr>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sz w:val="18"/>
                <w:szCs w:val="18"/>
              </w:rPr>
              <w:t xml:space="preserve">Tecnológica</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sz w:val="18"/>
                <w:szCs w:val="18"/>
              </w:rPr>
              <w:t xml:space="preserve">4.00</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sz w:val="18"/>
                <w:szCs w:val="18"/>
              </w:rPr>
              <w:t xml:space="preserve">35 %</w:t>
            </w:r>
          </w:p>
        </w:tc>
      </w:tr>
      <w:tr>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color w:val="C25A19"/>
                <w:sz w:val="18"/>
                <w:szCs w:val="18"/>
              </w:rPr>
              <w:t xml:space="preserve">Fidelidad disciplinar</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b/>
                <w:bCs/>
                <w:color w:val="C25A19"/>
                <w:sz w:val="18"/>
                <w:szCs w:val="18"/>
              </w:rPr>
              <w:t xml:space="preserve">5.00</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sz w:val="18"/>
                <w:szCs w:val="18"/>
              </w:rPr>
              <w:t xml:space="preserve">25 %</w:t>
            </w:r>
          </w:p>
        </w:tc>
      </w:tr>
      <w:tr>
        <w:tc>
          <w:tcPr>
            <w:tcW w:type="dxa" w:w="3360"/>
            <w:tcBorders>
              <w:top w:val="single" w:color="CCCCCC" w:sz="1"/>
              <w:left w:val="single" w:color="CCCCCC" w:sz="1"/>
              <w:bottom w:val="single" w:color="CCCCCC" w:sz="1"/>
              <w:right w:val="single" w:color="CCCCCC" w:sz="1"/>
            </w:tcBorders>
            <w:shd w:fill="F1EDE5" w:val="clear"/>
            <w:tcMar>
              <w:top w:type="dxa" w:w="60"/>
              <w:left w:type="dxa" w:w="100"/>
              <w:bottom w:type="dxa" w:w="60"/>
              <w:right w:type="dxa" w:w="100"/>
            </w:tcMar>
            <w:vAlign w:val="center"/>
          </w:tcPr>
          <w:p>
            <w:pPr>
              <w:jc w:val="left"/>
            </w:pPr>
            <w:r>
              <w:rPr>
                <w:b/>
                <w:bCs/>
                <w:sz w:val="18"/>
                <w:szCs w:val="18"/>
              </w:rPr>
              <w:t xml:space="preserve">ÍNDICE DE CALIDAD COdA-IP</w:t>
            </w:r>
          </w:p>
        </w:tc>
        <w:tc>
          <w:tcPr>
            <w:tcW w:type="dxa" w:w="2000"/>
            <w:tcBorders>
              <w:top w:val="single" w:color="CCCCCC" w:sz="1"/>
              <w:left w:val="single" w:color="CCCCCC" w:sz="1"/>
              <w:bottom w:val="single" w:color="CCCCCC" w:sz="1"/>
              <w:right w:val="single" w:color="CCCCCC" w:sz="1"/>
            </w:tcBorders>
            <w:shd w:fill="F1EDE5" w:val="clear"/>
            <w:tcMar>
              <w:top w:type="dxa" w:w="60"/>
              <w:left w:type="dxa" w:w="100"/>
              <w:bottom w:type="dxa" w:w="60"/>
              <w:right w:type="dxa" w:w="100"/>
            </w:tcMar>
            <w:vAlign w:val="center"/>
          </w:tcPr>
          <w:p>
            <w:pPr>
              <w:jc w:val="center"/>
            </w:pPr>
            <w:r>
              <w:rPr>
                <w:b/>
                <w:bCs/>
                <w:sz w:val="18"/>
                <w:szCs w:val="18"/>
              </w:rPr>
              <w:t xml:space="preserve">4.65</w:t>
            </w:r>
          </w:p>
        </w:tc>
        <w:tc>
          <w:tcPr>
            <w:tcW w:type="dxa" w:w="4000"/>
            <w:tcBorders>
              <w:top w:val="single" w:color="CCCCCC" w:sz="1"/>
              <w:left w:val="single" w:color="CCCCCC" w:sz="1"/>
              <w:bottom w:val="single" w:color="CCCCCC" w:sz="1"/>
              <w:right w:val="single" w:color="CCCCCC" w:sz="1"/>
            </w:tcBorders>
            <w:shd w:fill="F1EDE5" w:val="clear"/>
            <w:tcMar>
              <w:top w:type="dxa" w:w="60"/>
              <w:left w:type="dxa" w:w="100"/>
              <w:bottom w:type="dxa" w:w="60"/>
              <w:right w:type="dxa" w:w="100"/>
            </w:tcMar>
            <w:vAlign w:val="center"/>
          </w:tcPr>
          <w:p>
            <w:pPr>
              <w:jc w:val="center"/>
            </w:pPr>
            <w:r>
              <w:rPr>
                <w:b/>
                <w:bCs/>
                <w:sz w:val="18"/>
                <w:szCs w:val="18"/>
              </w:rPr>
              <w:t xml:space="preserve">Nivel: Excelente (93 %)</w:t>
            </w:r>
          </w:p>
        </w:tc>
      </w:tr>
    </w:tbl>
    <w:p>
      <w:pPr>
        <w:spacing w:after="160"/>
      </w:pPr>
    </w:p>
    <w:p>
      <w:pPr>
        <w:spacing w:after="100" w:line="280"/>
        <w:jc w:val="both"/>
      </w:pPr>
      <w:r>
        <w:rPr>
          <w:b/>
          <w:bCs/>
          <w:color w:val="0B6B73"/>
          <w:sz w:val="22"/>
          <w:szCs w:val="22"/>
        </w:rPr>
        <w:t xml:space="preserve">5. Evidencia empírica: encuesta de percepción</w:t>
      </w:r>
    </w:p>
    <w:p>
      <w:pPr>
        <w:spacing w:after="120" w:line="280"/>
        <w:jc w:val="both"/>
      </w:pPr>
      <w:r>
        <w:rPr>
          <w:sz w:val="20"/>
          <w:szCs w:val="20"/>
        </w:rPr>
        <w:t xml:space="preserve">La valoración se contrastó con la Encuesta de Percepción Académica aplicada a los estudiantes (N = 14; 350 respuestas individuales). Resultados globales: media 4,5 / 5; desviación estándar 0,75; 86,3 % de respuestas positivas (4-5) y solo 0,9 % negativas. La consistencia interna del instrumento fue alta (α de Cronbach por dimensión entre 0,71 y 0,99).</w:t>
      </w:r>
    </w:p>
    <w:p>
      <w:pPr>
        <w:spacing w:after="160" w:line="280"/>
        <w:jc w:val="both"/>
      </w:pPr>
      <w:r>
        <w:rPr>
          <w:sz w:val="20"/>
          <w:szCs w:val="20"/>
        </w:rPr>
        <w:t xml:space="preserve">Las dimensiones mejor valoradas fueron Motivación (4,64), Diseño y experiencia visual (4,57), Pertinencia académica (4,55) y Viabilidad pedagógica (4,55). Los ítems que sustentan la Fidelidad Disciplinar obtuvieron puntajes altos: «escenarios similares a la industria real» (4,64), «comprende conceptos ISO/MTBF/MTTR/criticidad» (4,50) y «refuerza el uso de normas ISO 14224/55000» (4,43). Un estudiante destacó: «Primer docente en implementar su propio software… simulando diferentes situaciones que podemos enfrentar en el área del desempeño profesional».</w:t>
      </w:r>
    </w:p>
    <w:p>
      <w:pPr>
        <w:spacing w:after="100" w:line="280"/>
        <w:jc w:val="both"/>
      </w:pPr>
      <w:r>
        <w:rPr>
          <w:b/>
          <w:bCs/>
          <w:color w:val="0B6B73"/>
          <w:sz w:val="22"/>
          <w:szCs w:val="22"/>
        </w:rPr>
        <w:t xml:space="preserve">6. Conclusiones de la evaluación</w:t>
      </w:r>
    </w:p>
    <w:p>
      <w:pPr>
        <w:spacing w:after="120" w:line="280"/>
        <w:jc w:val="both"/>
      </w:pPr>
      <w:r>
        <w:rPr>
          <w:sz w:val="20"/>
          <w:szCs w:val="20"/>
        </w:rPr>
        <w:t xml:space="preserve">MaintPro CMMS obtiene un Índice de Calidad COdA-IP de 4.65 / 5,0 (93 %), nivel Excelente. Sobresale en las dimensiones didáctica y de fidelidad disciplinar (ambas 5,0), gracias a un diseño basado en estándares reales de mantenimiento (ISO 14224, ISO 55000) y a actividades de aprendizaje auténticas (gestión de OT, RCA, parcial evaluado). El resultado contrasta con los simuladores PhET evaluados (3,98 y 3,83), cuya fidelidad disciplinar fue 3,0; ello confirma la capacidad del modelo COdA-IP para discriminar la exactitud técnica de un RED.</w:t>
      </w:r>
    </w:p>
    <w:p>
      <w:pPr>
        <w:spacing w:after="160" w:line="280"/>
        <w:jc w:val="both"/>
      </w:pPr>
      <w:r>
        <w:rPr>
          <w:sz w:val="20"/>
          <w:szCs w:val="20"/>
        </w:rPr>
        <w:t xml:space="preserve">El único punto débil es la accesibilidad (3,0): el recurso es responsive pero no incorpora alternativas para personas con discapacidad ni conformidad explícita con pautas WCAG, aspecto que también limitó a los RED anteriores.</w:t>
      </w:r>
    </w:p>
    <w:p>
      <w:pPr>
        <w:spacing w:after="80" w:line="280"/>
        <w:jc w:val="both"/>
      </w:pPr>
      <w:r>
        <w:rPr>
          <w:b/>
          <w:bCs/>
          <w:color w:val="0B6B73"/>
          <w:sz w:val="22"/>
          <w:szCs w:val="22"/>
        </w:rPr>
        <w:t xml:space="preserve">7. Ventajas de la aplicación del modelo</w:t>
      </w:r>
    </w:p>
    <w:p>
      <w:pPr>
        <w:spacing w:after="140" w:line="280"/>
        <w:jc w:val="both"/>
      </w:pPr>
      <w:r>
        <w:rPr>
          <w:sz w:val="20"/>
          <w:szCs w:val="20"/>
        </w:rPr>
        <w:t xml:space="preserve">La dimensión de Fidelidad Disciplinar permitió reconocer y cuantificar el principal valor del recurso —su realismo profesional—, que los modelos tradicionales (COdA, LORI, UNE) no capturan de forma explícita. La triangulación con la encuesta de percepción aportó evidencia empírica que respalda la valoración del evaluador-autor.</w:t>
      </w:r>
    </w:p>
    <w:p>
      <w:pPr>
        <w:spacing w:after="80" w:line="280"/>
        <w:jc w:val="both"/>
      </w:pPr>
      <w:r>
        <w:rPr>
          <w:b/>
          <w:bCs/>
          <w:color w:val="0B6B73"/>
          <w:sz w:val="22"/>
          <w:szCs w:val="22"/>
        </w:rPr>
        <w:t xml:space="preserve">8. Desventajas de la aplicación del modelo</w:t>
      </w:r>
    </w:p>
    <w:p>
      <w:pPr>
        <w:spacing w:after="200" w:line="280"/>
        <w:jc w:val="both"/>
      </w:pPr>
      <w:r>
        <w:rPr>
          <w:sz w:val="20"/>
          <w:szCs w:val="20"/>
        </w:rPr>
        <w:t xml:space="preserve">Al ser el autor quien evalúa su propio recurso, existe riesgo de sesgo de complacencia; la encuesta mitiga este riesgo, pero sería deseable una evaluación por pares externos. Además, el criterio de Fidelidad Disciplinar aún requiere una rúbrica más detallada para estandarizar su valoración entre evaluadores.</w:t>
      </w:r>
    </w:p>
    <w:p>
      <w:pPr>
        <w:spacing w:before="160"/>
      </w:pPr>
      <w:r>
        <w:rPr>
          <w:sz w:val="20"/>
          <w:szCs w:val="20"/>
        </w:rPr>
        <w:t xml:space="preserve">Elaborado por: Marlon Joaquín Gómez Argüello</w:t>
      </w:r>
    </w:p>
    <w:p>
      <w:r>
        <w:rPr>
          <w:sz w:val="20"/>
          <w:szCs w:val="20"/>
        </w:rPr>
        <w:t xml:space="preserve">Revisado por: Luz Elena Cardona Castaño (Docente Directora)</w:t>
      </w:r>
    </w:p>
    <w:p>
      <w:pPr>
        <w:spacing w:before="60"/>
      </w:pPr>
      <w:r>
        <w:rPr>
          <w:i/>
          <w:iCs/>
          <w:color w:val="6B7886"/>
          <w:sz w:val="16"/>
          <w:szCs w:val="16"/>
        </w:rPr>
        <w:t xml:space="preserve">Referencia del modelo base: Fernández-Pampillón, A., Domínguez, E. y De Armas, I. (2012). Herramienta de evaluación de la calidad de objetos de aprendizaje (COdA). Universidad Complutense de Madrid.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621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2026-06-06T21:31:28.947Z</dcterms:created>
  <dcterms:modified xsi:type="dcterms:W3CDTF">2026-06-06T21:31:28.956Z</dcterms:modified>
</cp:coreProperties>
</file>

<file path=docProps/custom.xml><?xml version="1.0" encoding="utf-8"?>
<Properties xmlns="http://schemas.openxmlformats.org/officeDocument/2006/custom-properties" xmlns:vt="http://schemas.openxmlformats.org/officeDocument/2006/docPropsVTypes"/>
</file>