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04C28F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i/>
        </w:rPr>
      </w:pPr>
    </w:p>
    <w:p w14:paraId="7FA895E0" w14:textId="77777777" w:rsidR="006E771A" w:rsidRPr="00E60824" w:rsidRDefault="006E771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hAnsi="Arial" w:cs="Arial"/>
          <w:b/>
        </w:rPr>
      </w:pPr>
      <w:bookmarkStart w:id="0" w:name="_heading=h.gjdgxs" w:colFirst="0" w:colLast="0"/>
      <w:bookmarkEnd w:id="0"/>
    </w:p>
    <w:p w14:paraId="018ABFD8" w14:textId="580078B1" w:rsidR="006E771A" w:rsidRPr="00E6082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</w:rPr>
        <w:t xml:space="preserve">Evaluación de la calidad del recurso educativo digital «Estados de la materia» (PhET) mediante el modelo COdA</w:t>
      </w:r>
    </w:p>
    <w:p w14:paraId="42EE728C" w14:textId="77777777" w:rsidR="006E771A" w:rsidRPr="00E60824" w:rsidRDefault="006E771A">
      <w:pPr>
        <w:jc w:val="center"/>
        <w:rPr>
          <w:rFonts w:ascii="Arial" w:hAnsi="Arial" w:cs="Arial"/>
          <w:i/>
          <w:color w:val="808080"/>
        </w:rPr>
      </w:pPr>
    </w:p>
    <w:p w14:paraId="50AD3DBA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2125D7D9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43D65A0D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114983BC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4C4F830F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2163C665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0BBED268" w14:textId="77777777" w:rsidR="006E771A" w:rsidRPr="00E60824" w:rsidRDefault="00000000">
      <w:pPr>
        <w:pStyle w:val="Ttul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Marlon Joaquín Gómez Argüello</w:t>
      </w:r>
    </w:p>
    <w:p w14:paraId="329A9EB9" w14:textId="77777777" w:rsidR="006E771A" w:rsidRPr="00E60824" w:rsidRDefault="00000000">
      <w:pPr>
        <w:pStyle w:val="Ttulo"/>
        <w:rPr>
          <w:rFonts w:cs="Arial"/>
          <w:b w:val="0"/>
          <w:i/>
          <w:color w:val="A6A6A6"/>
          <w:sz w:val="22"/>
          <w:szCs w:val="22"/>
        </w:rPr>
      </w:pPr>
      <w:r>
        <w:rPr>
          <w:rFonts w:cs="Arial"/>
          <w:b w:val="0"/>
          <w:i/>
          <w:color w:val="A6A6A6"/>
          <w:sz w:val="22"/>
          <w:szCs w:val="22"/>
        </w:rPr>
        <w:t xml:space="preserve"/>
      </w:r>
    </w:p>
    <w:p w14:paraId="70C7E8DC" w14:textId="77777777" w:rsidR="006E771A" w:rsidRPr="00E60824" w:rsidRDefault="006E771A">
      <w:pPr>
        <w:pStyle w:val="Ttulo"/>
        <w:rPr>
          <w:rFonts w:cs="Arial"/>
          <w:sz w:val="22"/>
          <w:szCs w:val="22"/>
        </w:rPr>
      </w:pPr>
    </w:p>
    <w:p w14:paraId="403D2EF7" w14:textId="77777777" w:rsidR="006E771A" w:rsidRPr="00E60824" w:rsidRDefault="006E771A">
      <w:pPr>
        <w:rPr>
          <w:rFonts w:ascii="Arial" w:hAnsi="Arial" w:cs="Arial"/>
        </w:rPr>
      </w:pPr>
    </w:p>
    <w:p w14:paraId="063F9B11" w14:textId="77777777" w:rsidR="006E771A" w:rsidRPr="00E60824" w:rsidRDefault="006E771A">
      <w:pPr>
        <w:pStyle w:val="Ttulo"/>
        <w:ind w:firstLine="0"/>
        <w:rPr>
          <w:rFonts w:cs="Arial"/>
          <w:sz w:val="22"/>
          <w:szCs w:val="22"/>
        </w:rPr>
      </w:pPr>
    </w:p>
    <w:p w14:paraId="512C8CC7" w14:textId="77777777" w:rsidR="006E771A" w:rsidRPr="00E60824" w:rsidRDefault="00000000">
      <w:pPr>
        <w:pStyle w:val="Ttulo"/>
        <w:ind w:firstLine="0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 xml:space="preserve">            </w:t>
      </w:r>
    </w:p>
    <w:p w14:paraId="35219193" w14:textId="77777777" w:rsidR="006E771A" w:rsidRPr="00E60824" w:rsidRDefault="006E771A">
      <w:pPr>
        <w:rPr>
          <w:rFonts w:ascii="Arial" w:hAnsi="Arial" w:cs="Arial"/>
        </w:rPr>
      </w:pPr>
    </w:p>
    <w:p w14:paraId="63DA81BA" w14:textId="77777777" w:rsidR="006E771A" w:rsidRPr="00E60824" w:rsidRDefault="006E771A">
      <w:pPr>
        <w:pStyle w:val="Ttulo"/>
        <w:rPr>
          <w:rFonts w:cs="Arial"/>
          <w:sz w:val="22"/>
          <w:szCs w:val="22"/>
        </w:rPr>
      </w:pPr>
    </w:p>
    <w:p w14:paraId="50AFA7CB" w14:textId="77777777" w:rsidR="006E771A" w:rsidRPr="00E60824" w:rsidRDefault="00000000">
      <w:pPr>
        <w:pStyle w:val="Ttul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 xml:space="preserve">Universidad de Santander </w:t>
      </w:r>
    </w:p>
    <w:p w14:paraId="7DC4EDCF" w14:textId="77777777" w:rsidR="006E771A" w:rsidRPr="00E60824" w:rsidRDefault="00000000">
      <w:pPr>
        <w:pStyle w:val="Ttul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Facultad de Ciencias Sociales</w:t>
      </w:r>
    </w:p>
    <w:p w14:paraId="06E420F4" w14:textId="6210739B" w:rsidR="006E771A" w:rsidRPr="00E60824" w:rsidRDefault="00E60824">
      <w:pPr>
        <w:pStyle w:val="Ttul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Especialización en Aplicación de TIC para la Enseñanza</w:t>
      </w:r>
    </w:p>
    <w:p w14:paraId="78D0E2C4" w14:textId="77777777" w:rsidR="006E771A" w:rsidRPr="00E60824" w:rsidRDefault="00000000">
      <w:pPr>
        <w:pStyle w:val="Ttul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Bucaramanga</w:t>
      </w:r>
    </w:p>
    <w:p w14:paraId="009866E7" w14:textId="77777777" w:rsidR="006E771A" w:rsidRPr="00E60824" w:rsidRDefault="00000000">
      <w:pPr>
        <w:pStyle w:val="Ttul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2026</w:t>
      </w:r>
    </w:p>
    <w:p w14:paraId="71B05C65" w14:textId="77777777" w:rsidR="006E771A" w:rsidRPr="00E60824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15D57C8A" w14:textId="77777777" w:rsidR="006E771A" w:rsidRPr="00E60824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3A178416" w14:textId="77777777" w:rsidR="006E771A" w:rsidRPr="00E60824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3333248C" w14:textId="77777777" w:rsidR="006E771A" w:rsidRPr="00E60824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C0DDF8F" w14:textId="77777777" w:rsidR="006E771A" w:rsidRPr="00E60824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B463C7A" w14:textId="0E488510" w:rsidR="00E60824" w:rsidRDefault="00E60824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br w:type="page"/>
      </w:r>
    </w:p>
    <w:p w14:paraId="0F25774B" w14:textId="77777777" w:rsidR="006E771A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6470C53" w14:textId="77777777" w:rsidR="00E60824" w:rsidRDefault="00E60824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B949F28" w14:textId="77777777" w:rsidR="00E60824" w:rsidRPr="00E60824" w:rsidRDefault="00E60824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tbl>
      <w:tblPr>
        <w:tblStyle w:val="a"/>
        <w:tblW w:w="9209" w:type="dxa"/>
        <w:tblInd w:w="0" w:type="dxa"/>
        <w:tblBorders>
          <w:top w:val="single" w:sz="4" w:space="0" w:color="2F5496"/>
          <w:left w:val="single" w:sz="4" w:space="0" w:color="2F5496"/>
          <w:bottom w:val="single" w:sz="4" w:space="0" w:color="2F5496"/>
          <w:right w:val="single" w:sz="4" w:space="0" w:color="2F5496"/>
          <w:insideH w:val="single" w:sz="4" w:space="0" w:color="2F5496"/>
          <w:insideV w:val="single" w:sz="4" w:space="0" w:color="2F5496"/>
        </w:tblBorders>
        <w:tblLayout w:type="fixed"/>
        <w:tblLook w:val="0400" w:firstRow="0" w:lastRow="0" w:firstColumn="0" w:lastColumn="0" w:noHBand="0" w:noVBand="1"/>
      </w:tblPr>
      <w:tblGrid>
        <w:gridCol w:w="2762"/>
        <w:gridCol w:w="6447"/>
      </w:tblGrid>
      <w:tr w:rsidR="006E771A" w:rsidRPr="00E60824" w14:paraId="5F88AAD1" w14:textId="77777777">
        <w:tc>
          <w:tcPr>
            <w:tcW w:w="2762" w:type="dxa"/>
            <w:shd w:val="clear" w:color="auto" w:fill="D6E3BC"/>
            <w:vAlign w:val="center"/>
          </w:tcPr>
          <w:p w14:paraId="608AF1C1" w14:textId="0E353C82" w:rsidR="006E771A" w:rsidRPr="00E60824" w:rsidRDefault="00000000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 del recurso educativo digital:</w:t>
            </w:r>
          </w:p>
        </w:tc>
        <w:tc>
          <w:tcPr>
            <w:tcW w:w="6447" w:type="dxa"/>
            <w:shd w:val="clear" w:color="auto" w:fill="auto"/>
          </w:tcPr>
          <w:p>
            <w:r>
              <w:t>Estados de la Materia: Conceptos básicos (PhET)</w:t>
            </w:r>
          </w:p>
        </w:tc>
      </w:tr>
      <w:tr w:rsidR="006E771A" w:rsidRPr="00E60824" w14:paraId="20EB1879" w14:textId="77777777">
        <w:tc>
          <w:tcPr>
            <w:tcW w:w="2762" w:type="dxa"/>
            <w:shd w:val="clear" w:color="auto" w:fill="D6E3BC"/>
            <w:vAlign w:val="center"/>
          </w:tcPr>
          <w:p w14:paraId="190DF423" w14:textId="73ADF51D" w:rsidR="006E771A" w:rsidRPr="00E60824" w:rsidRDefault="00000000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Grado de aplicación:</w:t>
            </w:r>
          </w:p>
        </w:tc>
        <w:tc>
          <w:tcPr>
            <w:tcW w:w="6447" w:type="dxa"/>
            <w:shd w:val="clear" w:color="auto" w:fill="auto"/>
            <w:vAlign w:val="center"/>
          </w:tcPr>
          <w:p>
            <w:r>
              <w:t>Educación Superior (Procesos Industriales I)</w:t>
            </w:r>
          </w:p>
        </w:tc>
      </w:tr>
      <w:tr w:rsidR="006E771A" w:rsidRPr="00E60824" w14:paraId="33093A82" w14:textId="77777777">
        <w:tc>
          <w:tcPr>
            <w:tcW w:w="2762" w:type="dxa"/>
            <w:shd w:val="clear" w:color="auto" w:fill="D6E3BC"/>
            <w:vAlign w:val="center"/>
          </w:tcPr>
          <w:p w14:paraId="7616A1A9" w14:textId="73A15889" w:rsidR="006E771A" w:rsidRPr="00E60824" w:rsidRDefault="00000000">
            <w:pPr>
              <w:spacing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Área de conocimiento:</w:t>
            </w:r>
          </w:p>
        </w:tc>
        <w:tc>
          <w:tcPr>
            <w:tcW w:w="6447" w:type="dxa"/>
            <w:shd w:val="clear" w:color="auto" w:fill="auto"/>
          </w:tcPr>
          <w:p>
            <w:r>
              <w:t>Ingeniería de Producción / Fisicoquímica</w:t>
            </w:r>
          </w:p>
        </w:tc>
      </w:tr>
      <w:tr w:rsidR="006E771A" w:rsidRPr="00E60824" w14:paraId="6C66F981" w14:textId="77777777">
        <w:tc>
          <w:tcPr>
            <w:tcW w:w="2762" w:type="dxa"/>
            <w:shd w:val="clear" w:color="auto" w:fill="D6E3BC"/>
            <w:vAlign w:val="center"/>
          </w:tcPr>
          <w:p w14:paraId="04164D85" w14:textId="7F63CCF6" w:rsidR="006E771A" w:rsidRPr="00E60824" w:rsidRDefault="00000000">
            <w:pPr>
              <w:spacing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Objetivos de aprendizaje:</w:t>
            </w:r>
          </w:p>
        </w:tc>
        <w:tc>
          <w:tcPr>
            <w:tcW w:w="6447" w:type="dxa"/>
            <w:shd w:val="clear" w:color="auto" w:fill="auto"/>
          </w:tcPr>
          <w:p>
            <w:r>
              <w:t>Analizar visualmente el cambio de fase a nivel molecular al alterar temperatura y presión.</w:t>
            </w:r>
          </w:p>
        </w:tc>
      </w:tr>
      <w:tr w:rsidR="006E771A" w:rsidRPr="00E60824" w14:paraId="08239C85" w14:textId="77777777">
        <w:tc>
          <w:tcPr>
            <w:tcW w:w="2762" w:type="dxa"/>
            <w:shd w:val="clear" w:color="auto" w:fill="D6E3BC"/>
            <w:vAlign w:val="center"/>
          </w:tcPr>
          <w:p w14:paraId="457EB1CA" w14:textId="79E2ACBC" w:rsidR="006E771A" w:rsidRPr="00E60824" w:rsidRDefault="00000000">
            <w:pPr>
              <w:spacing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 del repositorio:</w:t>
            </w:r>
          </w:p>
        </w:tc>
        <w:tc>
          <w:tcPr>
            <w:tcW w:w="6447" w:type="dxa"/>
            <w:shd w:val="clear" w:color="auto" w:fill="auto"/>
          </w:tcPr>
          <w:p>
            <w:r>
              <w:rPr>
                <w:rFonts w:ascii="Arial" w:hAnsi="Arial" w:cs="Arial"/>
              </w:rPr>
              <w:t xml:space="preserve">PhET Interactive Simulations (Universidad de Colorado Boulder)</w:t>
            </w:r>
          </w:p>
        </w:tc>
      </w:tr>
      <w:tr w:rsidR="006E771A" w:rsidRPr="00E60824" w14:paraId="5DE3AC6C" w14:textId="77777777">
        <w:tc>
          <w:tcPr>
            <w:tcW w:w="2762" w:type="dxa"/>
            <w:shd w:val="clear" w:color="auto" w:fill="D6E3BC"/>
            <w:vAlign w:val="center"/>
          </w:tcPr>
          <w:p w14:paraId="59385E20" w14:textId="03B45E9B" w:rsidR="006E771A" w:rsidRPr="00E60824" w:rsidRDefault="00000000">
            <w:pPr>
              <w:spacing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URL del recurso educativo digital:</w:t>
            </w:r>
          </w:p>
        </w:tc>
        <w:tc>
          <w:tcPr>
            <w:tcW w:w="6447" w:type="dxa"/>
            <w:shd w:val="clear" w:color="auto" w:fill="auto"/>
          </w:tcPr>
          <w:p>
            <w:r>
              <w:rPr>
                <w:rFonts w:ascii="Arial" w:hAnsi="Arial" w:cs="Arial"/>
              </w:rPr>
              <w:t xml:space="preserve">https://phet.colorado.edu/es/simulations/states-of-matter</w:t>
            </w:r>
          </w:p>
        </w:tc>
      </w:tr>
    </w:tbl>
    <w:p w14:paraId="025AA4C6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0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6E771A" w:rsidRPr="00E60824" w14:paraId="61AC078B" w14:textId="77777777" w:rsidTr="00E60824">
        <w:tc>
          <w:tcPr>
            <w:tcW w:w="9209" w:type="dxa"/>
            <w:shd w:val="clear" w:color="auto" w:fill="C5E0B3"/>
            <w:vAlign w:val="center"/>
          </w:tcPr>
          <w:p w14:paraId="6A6FE4DE" w14:textId="5297841A" w:rsidR="006E771A" w:rsidRPr="00E60824" w:rsidRDefault="00E60824">
            <w:pPr>
              <w:numPr>
                <w:ilvl w:val="0"/>
                <w:numId w:val="1"/>
              </w:num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Descripción del recurso educativo digital</w:t>
            </w:r>
          </w:p>
        </w:tc>
      </w:tr>
      <w:tr w:rsidR="006E771A" w:rsidRPr="00E60824" w14:paraId="62DBED97" w14:textId="77777777">
        <w:tc>
          <w:tcPr>
            <w:tcW w:w="9209" w:type="dxa"/>
            <w:shd w:val="clear" w:color="auto" w:fill="auto"/>
          </w:tcPr>
          <w:p>
            <w:r>
              <w:t>Simulador que permite seleccionar átomos y moléculas y calentarlos o enfriarlos para observar el comportamiento de la materia.</w:t>
            </w:r>
          </w:p>
        </w:tc>
      </w:tr>
    </w:tbl>
    <w:p w14:paraId="2A36A574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1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6E771A" w:rsidRPr="00E60824" w14:paraId="08B6F5B9" w14:textId="77777777">
        <w:tc>
          <w:tcPr>
            <w:tcW w:w="9209" w:type="dxa"/>
            <w:shd w:val="clear" w:color="auto" w:fill="C5E0B3"/>
          </w:tcPr>
          <w:p w14:paraId="0D7626B0" w14:textId="2019B05D" w:rsidR="006E771A" w:rsidRPr="00E60824" w:rsidRDefault="00E60824">
            <w:pPr>
              <w:numPr>
                <w:ilvl w:val="0"/>
                <w:numId w:val="1"/>
              </w:num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Modelo de evaluación </w:t>
            </w:r>
          </w:p>
        </w:tc>
      </w:tr>
      <w:tr w:rsidR="006E771A" w:rsidRPr="00E60824" w14:paraId="2E76E379" w14:textId="77777777">
        <w:tc>
          <w:tcPr>
            <w:tcW w:w="9209" w:type="dxa"/>
            <w:shd w:val="clear" w:color="auto" w:fill="auto"/>
          </w:tcPr>
          <w:p w14:paraId="6DFD6E21" w14:textId="53C853C1" w:rsidR="006E771A" w:rsidRPr="00E60824" w:rsidRDefault="0000000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Modelo: </w:t>
            </w:r>
            <w:r>
              <w:rPr>
                <w:rFonts w:ascii="Arial" w:hAnsi="Arial" w:cs="Arial"/>
              </w:rPr>
              <w:t>COdA</w:t>
            </w:r>
          </w:p>
        </w:tc>
      </w:tr>
      <w:tr w:rsidR="006E771A" w:rsidRPr="00E60824" w14:paraId="00814FC9" w14:textId="77777777">
        <w:tc>
          <w:tcPr>
            <w:tcW w:w="9209" w:type="dxa"/>
            <w:shd w:val="clear" w:color="auto" w:fill="auto"/>
          </w:tcPr>
          <w:p>
            <w:r>
              <w:t>Descripción del modelo: COdA (Calidad de Objetos de Aprendizaje) evalúa 10 criterios (5 pedagógicos y 5 tecnológicos) de 1 a 5.</w:t>
            </w:r>
          </w:p>
        </w:tc>
      </w:tr>
    </w:tbl>
    <w:p w14:paraId="7BDE9574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2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6E771A" w:rsidRPr="00E60824" w14:paraId="357146EA" w14:textId="77777777">
        <w:tc>
          <w:tcPr>
            <w:tcW w:w="9209" w:type="dxa"/>
            <w:shd w:val="clear" w:color="auto" w:fill="C5E0B3"/>
          </w:tcPr>
          <w:p w14:paraId="25186F44" w14:textId="14293525" w:rsidR="006E771A" w:rsidRPr="00E60824" w:rsidRDefault="00E60824">
            <w:pPr>
              <w:numPr>
                <w:ilvl w:val="0"/>
                <w:numId w:val="1"/>
              </w:num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Criterios de evaluación del modelo</w:t>
            </w:r>
          </w:p>
        </w:tc>
      </w:tr>
    </w:tbl>
    <w:p w14:paraId="55BA5639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3"/>
        <w:tblW w:w="921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67"/>
        <w:gridCol w:w="423"/>
        <w:gridCol w:w="424"/>
        <w:gridCol w:w="423"/>
        <w:gridCol w:w="423"/>
        <w:gridCol w:w="423"/>
        <w:gridCol w:w="730"/>
      </w:tblGrid>
      <w:tr w:rsidR="006E771A" w:rsidRPr="00E60824" w14:paraId="68F151F9" w14:textId="77777777">
        <w:trPr>
          <w:trHeight w:val="553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AB307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Plantilla de evaluación de la calidad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C030A15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BA688BF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ED8B4F2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3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AA26C2D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4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41CC008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DFFC9E6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N/A</w:t>
            </w:r>
          </w:p>
        </w:tc>
      </w:tr>
      <w:tr w:rsidR="006E771A" w:rsidRPr="00E60824" w14:paraId="3C0F1330" w14:textId="77777777">
        <w:trPr>
          <w:trHeight w:val="402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299FF" w14:textId="7E29F6D2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1.Objetivos y coherencia didáctica 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C3A8BA0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1D0B579D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572CD775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E5290E6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594E482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</w:tr>
      <w:tr w:rsidR="006E771A" w:rsidRPr="00E60824" w14:paraId="3C85D5BA" w14:textId="77777777">
        <w:tc>
          <w:tcPr>
            <w:tcW w:w="92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6E771A" w:rsidRPr="00E60824" w14:paraId="530BBB0D" w14:textId="77777777">
        <w:trPr>
          <w:trHeight w:val="280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504D4" w14:textId="2AEEC0EA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2. Calidad de los contenidos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F772510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58D5ADF4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187F4D00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7B45DF8F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29E6EC1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</w:tr>
      <w:tr w:rsidR="006E771A" w:rsidRPr="00E60824" w14:paraId="52C6C4EF" w14:textId="77777777">
        <w:tc>
          <w:tcPr>
            <w:tcW w:w="92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6E771A" w:rsidRPr="00E60824" w14:paraId="30A609CF" w14:textId="77777777">
        <w:trPr>
          <w:trHeight w:val="310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DD479" w14:textId="4E83BB2A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3. Capacidad de generar reflexión, críticas e innovación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C4D0305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179A139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522AC958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2A0651C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E53D1D7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</w:tr>
      <w:tr w:rsidR="006E771A" w:rsidRPr="00E60824" w14:paraId="5047B3E1" w14:textId="77777777">
        <w:tc>
          <w:tcPr>
            <w:tcW w:w="92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6E771A" w:rsidRPr="00E60824" w14:paraId="3F0249DA" w14:textId="77777777">
        <w:trPr>
          <w:trHeight w:val="332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C8C96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4. Interactividad y adaptabilidad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73A4C21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2876E92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0A9B60C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188014FE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4B215FD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</w:tr>
      <w:tr w:rsidR="006E771A" w:rsidRPr="00E60824" w14:paraId="5A2ABA8E" w14:textId="77777777">
        <w:tc>
          <w:tcPr>
            <w:tcW w:w="92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6E771A" w:rsidRPr="00E60824" w14:paraId="333BD6A3" w14:textId="77777777">
        <w:trPr>
          <w:trHeight w:val="341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3C9FB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5. Motivación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7A86758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291678D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1F3E31C4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91FDEC2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16B184AE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</w:tr>
      <w:tr w:rsidR="006E771A" w:rsidRPr="00E60824" w14:paraId="6D723CAB" w14:textId="77777777">
        <w:tc>
          <w:tcPr>
            <w:tcW w:w="92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6E771A" w:rsidRPr="00E60824" w14:paraId="57819A21" w14:textId="77777777">
        <w:trPr>
          <w:trHeight w:val="324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E5505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t>6. Formato y diseño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960860C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7033D0C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249C229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2AA7FB4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58A89C50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</w:tr>
      <w:tr w:rsidR="006E771A" w:rsidRPr="00E60824" w14:paraId="70C760F7" w14:textId="77777777">
        <w:tc>
          <w:tcPr>
            <w:tcW w:w="92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6E771A" w:rsidRPr="00E60824" w14:paraId="27BC2C3F" w14:textId="77777777">
        <w:trPr>
          <w:trHeight w:val="417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FEAAE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7. Usabilidad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83ACDEE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12FB108F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4B70368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C0A953B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ABF4B65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</w:tr>
      <w:tr w:rsidR="006E771A" w:rsidRPr="00E60824" w14:paraId="7BA4BBF7" w14:textId="77777777">
        <w:tc>
          <w:tcPr>
            <w:tcW w:w="92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6E771A" w:rsidRPr="00E60824" w14:paraId="556BCBE1" w14:textId="77777777">
        <w:trPr>
          <w:trHeight w:val="330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BE152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8. Accesibilidad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1D900AE4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9FE894C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74E5F27C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49482FF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7AE24486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</w:tr>
      <w:tr w:rsidR="006E771A" w:rsidRPr="00E60824" w14:paraId="52B1AA04" w14:textId="77777777">
        <w:tc>
          <w:tcPr>
            <w:tcW w:w="92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6E771A" w:rsidRPr="00E60824" w14:paraId="4DEFAD5E" w14:textId="77777777">
        <w:trPr>
          <w:trHeight w:val="341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4342C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9. Reusabilidad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5BE2403E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11C77693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C1C9608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B91FAB1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1A4B184B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</w:tr>
      <w:tr w:rsidR="006E771A" w:rsidRPr="00E60824" w14:paraId="20A27BDD" w14:textId="77777777">
        <w:tc>
          <w:tcPr>
            <w:tcW w:w="92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6E771A" w:rsidRPr="00E60824" w14:paraId="2EC0788F" w14:textId="77777777">
        <w:trPr>
          <w:trHeight w:val="396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6857C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10. Interoperabilidad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1EBA25E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7C0AC17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596D42E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E54D4A4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76E5506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</w:tr>
      <w:tr w:rsidR="006E771A" w:rsidRPr="00E60824" w14:paraId="3BE21B34" w14:textId="77777777">
        <w:tc>
          <w:tcPr>
            <w:tcW w:w="92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</w:tbl>
    <w:p w14:paraId="6C3A7B85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4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6E771A" w:rsidRPr="00E60824" w14:paraId="434A7E7A" w14:textId="77777777">
        <w:tc>
          <w:tcPr>
            <w:tcW w:w="9209" w:type="dxa"/>
            <w:shd w:val="clear" w:color="auto" w:fill="C5E0B3"/>
          </w:tcPr>
          <w:p w14:paraId="1AA19128" w14:textId="06901328" w:rsidR="006E771A" w:rsidRPr="00E60824" w:rsidRDefault="00DD715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Resultados de la </w:t>
            </w:r>
            <w:r>
              <w:rPr>
                <w:rFonts w:ascii="Arial" w:hAnsi="Arial" w:cs="Arial"/>
                <w:b/>
              </w:rPr>
              <w:t>evaluación</w:t>
            </w:r>
          </w:p>
        </w:tc>
      </w:tr>
      <w:tr w:rsidR="006E771A" w:rsidRPr="00E60824" w14:paraId="6B615985" w14:textId="77777777">
        <w:tc>
          <w:tcPr>
            <w:tcW w:w="9209" w:type="dxa"/>
            <w:shd w:val="clear" w:color="auto" w:fill="C5E0B3"/>
          </w:tcPr>
          <w:p w14:paraId="1BE2EB16" w14:textId="069207AF" w:rsidR="006E771A" w:rsidRPr="00E60824" w:rsidRDefault="0000000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Puntuación final: 44 / 50</w:t>
            </w:r>
          </w:p>
        </w:tc>
      </w:tr>
      <w:tr w:rsidR="006E771A" w:rsidRPr="00E60824" w14:paraId="241D2690" w14:textId="77777777">
        <w:tc>
          <w:tcPr>
            <w:tcW w:w="9209" w:type="dxa"/>
            <w:shd w:val="clear" w:color="auto" w:fill="auto"/>
          </w:tcPr>
          <w:p w14:paraId="10B43BCE" w14:textId="32B82380" w:rsidR="006E771A" w:rsidRPr="00E60824" w:rsidRDefault="00000000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Conclusiones de la evaluación: El recurso alcanza una calidad alta, sobresaliendo en formato, usabilidad y accesibilidad. Los puntajes menores se concentran en la capacidad de generar reflexión, la interactividad y la motivación, ya que ofrece sustancias genéricas y no mezclas de hidrocarburos.</w:t>
            </w:r>
          </w:p>
          <w:p w14:paraId="6D67044E" w14:textId="77777777" w:rsidR="006E771A" w:rsidRPr="00E60824" w:rsidRDefault="006E771A">
            <w:pPr>
              <w:rPr>
                <w:rFonts w:ascii="Arial" w:hAnsi="Arial" w:cs="Arial"/>
                <w:b/>
              </w:rPr>
            </w:pPr>
          </w:p>
        </w:tc>
      </w:tr>
    </w:tbl>
    <w:p w14:paraId="0D5D3077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5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1"/>
        <w:gridCol w:w="7168"/>
      </w:tblGrid>
      <w:tr w:rsidR="006E771A" w:rsidRPr="00E60824" w14:paraId="55A200BB" w14:textId="77777777">
        <w:tc>
          <w:tcPr>
            <w:tcW w:w="2041" w:type="dxa"/>
            <w:shd w:val="clear" w:color="auto" w:fill="auto"/>
            <w:vAlign w:val="center"/>
          </w:tcPr>
          <w:p w14:paraId="4B190A04" w14:textId="77777777" w:rsidR="006E771A" w:rsidRPr="00E60824" w:rsidRDefault="00000000">
            <w:pPr>
              <w:spacing w:after="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Elaborado por:</w:t>
            </w:r>
          </w:p>
        </w:tc>
        <w:tc>
          <w:tcPr>
            <w:tcW w:w="7168" w:type="dxa"/>
            <w:shd w:val="clear" w:color="auto" w:fill="auto"/>
          </w:tcPr>
          <w:p w14:paraId="1AA20B8E" w14:textId="18AF42BC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Nombre del(os) estudiante(s)</w:t>
            </w:r>
          </w:p>
        </w:tc>
      </w:tr>
      <w:tr w:rsidR="006E771A" w:rsidRPr="00E60824" w14:paraId="0E6B7FF6" w14:textId="77777777">
        <w:tc>
          <w:tcPr>
            <w:tcW w:w="2041" w:type="dxa"/>
            <w:shd w:val="clear" w:color="auto" w:fill="auto"/>
            <w:vAlign w:val="center"/>
          </w:tcPr>
          <w:p w14:paraId="4302DDF9" w14:textId="77777777" w:rsidR="006E771A" w:rsidRPr="00E60824" w:rsidRDefault="00000000">
            <w:pPr>
              <w:spacing w:after="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Revisado por:</w:t>
            </w:r>
          </w:p>
        </w:tc>
        <w:tc>
          <w:tcPr>
            <w:tcW w:w="7168" w:type="dxa"/>
            <w:shd w:val="clear" w:color="auto" w:fill="auto"/>
          </w:tcPr>
          <w:p w14:paraId="600A83B4" w14:textId="62243E86" w:rsidR="006E771A" w:rsidRPr="00E60824" w:rsidRDefault="00DD7153">
            <w:pPr>
              <w:spacing w:after="0" w:line="24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Nombre del profesor.</w:t>
            </w:r>
          </w:p>
        </w:tc>
      </w:tr>
    </w:tbl>
    <w:p w14:paraId="6F47A6FF" w14:textId="77777777" w:rsidR="00E60824" w:rsidRDefault="00E60824">
      <w:pPr>
        <w:spacing w:after="0" w:line="240" w:lineRule="auto"/>
        <w:jc w:val="both"/>
        <w:rPr>
          <w:rFonts w:ascii="Arial" w:hAnsi="Arial" w:cs="Arial"/>
          <w:color w:val="666666"/>
        </w:rPr>
      </w:pPr>
    </w:p>
    <w:p w14:paraId="4D18C59A" w14:textId="69273AC2" w:rsidR="006E771A" w:rsidRPr="00E60824" w:rsidRDefault="00000000">
      <w:pPr>
        <w:spacing w:after="0" w:line="240" w:lineRule="auto"/>
        <w:jc w:val="both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>Modelo COdA adaptado por Dajer (2021)</w:t>
      </w:r>
    </w:p>
    <w:p w14:paraId="4A61787D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p w14:paraId="4BC26C7E" w14:textId="0BA15130" w:rsidR="006E771A" w:rsidRPr="00E60824" w:rsidRDefault="00000000">
      <w:pPr>
        <w:spacing w:after="0" w:line="240" w:lineRule="auto"/>
        <w:jc w:val="both"/>
        <w:rPr>
          <w:rFonts w:ascii="Arial" w:hAnsi="Arial" w:cs="Arial"/>
        </w:rPr>
      </w:pPr>
      <w:bookmarkStart w:id="1" w:name="_Hlk147091919"/>
      <w:r>
        <w:rPr>
          <w:rFonts w:ascii="Arial" w:hAnsi="Arial" w:cs="Arial"/>
        </w:rPr>
        <w:t>Ventajas de la aplicación del modelo de evaluación: Lenguaje cercano al docente y descriptores guía claros que permiten una evaluación ágil y con baja subjetividad.</w:t>
      </w:r>
    </w:p>
    <w:p w14:paraId="7CC904CC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</w:rPr>
      </w:pPr>
    </w:p>
    <w:p w14:paraId="46C9FCF2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</w:rPr>
      </w:pPr>
    </w:p>
    <w:p w14:paraId="4DF9AD0D" w14:textId="46144A15" w:rsidR="006E771A" w:rsidRPr="00E60824" w:rsidRDefault="00000000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Desventajas de la aplicación del modelo de evaluación: Profundidad limitada para valorar la exactitud técnica de simulaciones complejas, lo que motiva el rediseño hacia el modelo COdA-IP.</w:t>
      </w:r>
      <w:bookmarkEnd w:id="1"/>
    </w:p>
    <w:sectPr w:rsidR="006E771A" w:rsidRPr="00E60824">
      <w:headerReference w:type="default" r:id="rId8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175B5D" w14:textId="77777777" w:rsidR="00062496" w:rsidRDefault="00062496">
      <w:pPr>
        <w:spacing w:after="0" w:line="240" w:lineRule="auto"/>
      </w:pPr>
      <w:r>
        <w:separator/>
      </w:r>
    </w:p>
  </w:endnote>
  <w:endnote w:type="continuationSeparator" w:id="0">
    <w:p w14:paraId="03BA1521" w14:textId="77777777" w:rsidR="00062496" w:rsidRDefault="000624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6E8978" w14:textId="77777777" w:rsidR="00062496" w:rsidRDefault="00062496">
      <w:pPr>
        <w:spacing w:after="0" w:line="240" w:lineRule="auto"/>
      </w:pPr>
      <w:r>
        <w:separator/>
      </w:r>
    </w:p>
  </w:footnote>
  <w:footnote w:type="continuationSeparator" w:id="0">
    <w:p w14:paraId="5D67E251" w14:textId="77777777" w:rsidR="00062496" w:rsidRDefault="000624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B7B4FD" w14:textId="69F33A52" w:rsidR="006E771A" w:rsidRDefault="00E6082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2C6F8D8C" wp14:editId="06B5EFB5">
          <wp:simplePos x="0" y="0"/>
          <wp:positionH relativeFrom="column">
            <wp:posOffset>527685</wp:posOffset>
          </wp:positionH>
          <wp:positionV relativeFrom="paragraph">
            <wp:posOffset>-312420</wp:posOffset>
          </wp:positionV>
          <wp:extent cx="687705" cy="762000"/>
          <wp:effectExtent l="0" t="0" r="0" b="0"/>
          <wp:wrapSquare wrapText="bothSides" distT="0" distB="0" distL="114300" distR="114300"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91747" t="83381" r="1059" b="2446"/>
                  <a:stretch/>
                </pic:blipFill>
                <pic:spPr bwMode="auto">
                  <a:xfrm>
                    <a:off x="0" y="0"/>
                    <a:ext cx="687705" cy="762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6B1254F7" wp14:editId="24A557E1">
          <wp:simplePos x="0" y="0"/>
          <wp:positionH relativeFrom="page">
            <wp:align>left</wp:align>
          </wp:positionH>
          <wp:positionV relativeFrom="paragraph">
            <wp:posOffset>-258445</wp:posOffset>
          </wp:positionV>
          <wp:extent cx="1569720" cy="601980"/>
          <wp:effectExtent l="0" t="0" r="0" b="7620"/>
          <wp:wrapSquare wrapText="bothSides" distT="0" distB="0" distL="114300" distR="11430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r="84455" b="89391"/>
                  <a:stretch/>
                </pic:blipFill>
                <pic:spPr bwMode="auto">
                  <a:xfrm>
                    <a:off x="0" y="0"/>
                    <a:ext cx="1569720" cy="6019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color w:val="000000"/>
      </w:rPr>
      <w:t>Universidad de Santander</w:t>
    </w:r>
    <w:bookmarkStart w:id="2" w:name="_heading=h.30j0zll" w:colFirst="0" w:colLast="0"/>
    <w:bookmarkEnd w:id="2"/>
  </w:p>
  <w:p w14:paraId="1DA722CE" w14:textId="77777777" w:rsidR="006E771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bookmarkStart w:id="3" w:name="_heading=h.1fob9te" w:colFirst="0" w:colLast="0"/>
    <w:bookmarkEnd w:id="3"/>
    <w:r>
      <w:rPr>
        <w:color w:val="000000"/>
      </w:rPr>
      <w:t>Curso: Evaluación de Recurso Educativos Digitales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5F1BF0"/>
    <w:multiLevelType w:val="multilevel"/>
    <w:tmpl w:val="0A04B5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504665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71A"/>
    <w:rsid w:val="00062496"/>
    <w:rsid w:val="006E771A"/>
    <w:rsid w:val="0087087B"/>
    <w:rsid w:val="00DD7153"/>
    <w:rsid w:val="00E60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B614F2"/>
  <w15:docId w15:val="{97B8D1CE-73EF-4607-B66E-9F5BA360B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O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0C5B53"/>
    <w:pPr>
      <w:widowControl w:val="0"/>
      <w:spacing w:after="0" w:line="480" w:lineRule="auto"/>
      <w:ind w:firstLine="720"/>
      <w:contextualSpacing/>
      <w:jc w:val="center"/>
    </w:pPr>
    <w:rPr>
      <w:rFonts w:ascii="Arial" w:eastAsiaTheme="majorEastAsia" w:hAnsi="Arial" w:cstheme="majorBidi"/>
      <w:b/>
      <w:spacing w:val="5"/>
      <w:kern w:val="28"/>
      <w:sz w:val="28"/>
      <w:szCs w:val="52"/>
    </w:rPr>
  </w:style>
  <w:style w:type="character" w:styleId="Hipervnculo">
    <w:name w:val="Hyperlink"/>
    <w:uiPriority w:val="99"/>
    <w:semiHidden/>
    <w:unhideWhenUsed/>
    <w:rsid w:val="00953823"/>
    <w:rPr>
      <w:color w:val="0000FF"/>
      <w:u w:val="single"/>
    </w:rPr>
  </w:style>
  <w:style w:type="character" w:styleId="Textoennegrita">
    <w:name w:val="Strong"/>
    <w:uiPriority w:val="22"/>
    <w:qFormat/>
    <w:rsid w:val="00953823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DD518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D5181"/>
  </w:style>
  <w:style w:type="paragraph" w:styleId="Piedepgina">
    <w:name w:val="footer"/>
    <w:basedOn w:val="Normal"/>
    <w:link w:val="PiedepginaCar"/>
    <w:uiPriority w:val="99"/>
    <w:unhideWhenUsed/>
    <w:rsid w:val="00DD518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D5181"/>
  </w:style>
  <w:style w:type="paragraph" w:styleId="Prrafodelista">
    <w:name w:val="List Paragraph"/>
    <w:basedOn w:val="Normal"/>
    <w:uiPriority w:val="34"/>
    <w:qFormat/>
    <w:rsid w:val="00B46D24"/>
    <w:pPr>
      <w:ind w:left="720"/>
      <w:contextualSpacing/>
    </w:pPr>
  </w:style>
  <w:style w:type="table" w:styleId="Tablaconcuadrcula">
    <w:name w:val="Table Grid"/>
    <w:basedOn w:val="Tablanormal"/>
    <w:uiPriority w:val="59"/>
    <w:rsid w:val="005D41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uiPriority w:val="99"/>
    <w:semiHidden/>
    <w:unhideWhenUsed/>
    <w:rsid w:val="002A336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A336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semiHidden/>
    <w:rsid w:val="002A336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A336D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2A336D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A336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2A336D"/>
    <w:rPr>
      <w:rFonts w:ascii="Segoe UI" w:hAnsi="Segoe UI" w:cs="Segoe UI"/>
      <w:sz w:val="18"/>
      <w:szCs w:val="18"/>
    </w:rPr>
  </w:style>
  <w:style w:type="table" w:customStyle="1" w:styleId="TableGrid">
    <w:name w:val="TableGrid"/>
    <w:rsid w:val="00361386"/>
    <w:rPr>
      <w:rFonts w:asciiTheme="minorHAnsi" w:eastAsiaTheme="minorEastAsia" w:hAnsiTheme="minorHAnsi" w:cstheme="minorBid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Car">
    <w:name w:val="Título Car"/>
    <w:basedOn w:val="Fuentedeprrafopredeter"/>
    <w:link w:val="Ttulo"/>
    <w:uiPriority w:val="10"/>
    <w:rsid w:val="000C5B53"/>
    <w:rPr>
      <w:rFonts w:ascii="Arial" w:eastAsiaTheme="majorEastAsia" w:hAnsi="Arial" w:cstheme="majorBidi"/>
      <w:b/>
      <w:spacing w:val="5"/>
      <w:kern w:val="28"/>
      <w:sz w:val="28"/>
      <w:szCs w:val="52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Jod60J7n5L5/gUuBkP5eD96c+UQ==">AMUW2mXDRU+W5kigHMOb4yXm5LVd4VHaLm/5y4JZNOs3mHDPWN977wFH7ySJxDwlGatRYy6DuN267B57dabOfXcgFliGD7Fc5LyNY0wTYSr0vaSZdLW4TK/A4m2V/0u0S7R6KxbXhEO5dimERsnEDyTd7yS9NCFHfw==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212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WILFREDO SALINAS PEÑALOZA</dc:creator>
  <cp:lastModifiedBy>Maribel Avellaneda</cp:lastModifiedBy>
  <cp:revision>3</cp:revision>
  <dcterms:created xsi:type="dcterms:W3CDTF">2023-10-02T03:20:00Z</dcterms:created>
  <dcterms:modified xsi:type="dcterms:W3CDTF">2023-10-02T12:14:00Z</dcterms:modified>
</cp:coreProperties>
</file>