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DFBA4">
      <w:pPr>
        <w:spacing w:after="240" w:line="48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VIROLOGICAL OUTCOMES OF ISONIAZID PREVENTIVE THERAPY AMONG PEOPLE LIVING WITH HIV RECEIVING</w:t>
      </w:r>
      <w:r>
        <w:rPr>
          <w:rFonts w:hint="default" w:ascii="Times New Roman" w:hAnsi="Times New Roman" w:eastAsia="Times New Roman" w:cs="Times New Roman"/>
          <w:b/>
          <w:bCs/>
          <w:sz w:val="28"/>
          <w:szCs w:val="28"/>
          <w:lang w:val="en-US"/>
        </w:rPr>
        <w:t xml:space="preserve"> TENOFOVIR/LAMUVIDINE/DOLUTEGRAVIR(</w:t>
      </w:r>
      <w:r>
        <w:rPr>
          <w:rFonts w:ascii="Times New Roman" w:hAnsi="Times New Roman" w:eastAsia="Times New Roman" w:cs="Times New Roman"/>
          <w:b/>
          <w:bCs/>
          <w:sz w:val="28"/>
          <w:szCs w:val="28"/>
        </w:rPr>
        <w:t>TLD</w:t>
      </w:r>
      <w:r>
        <w:rPr>
          <w:rFonts w:hint="default" w:ascii="Times New Roman" w:hAnsi="Times New Roman" w:eastAsia="Times New Roman" w:cs="Times New Roman"/>
          <w:b/>
          <w:bCs/>
          <w:sz w:val="28"/>
          <w:szCs w:val="28"/>
          <w:lang w:val="en-US"/>
        </w:rPr>
        <w:t>)-</w:t>
      </w:r>
      <w:r>
        <w:rPr>
          <w:rFonts w:ascii="Times New Roman" w:hAnsi="Times New Roman" w:eastAsia="Times New Roman" w:cs="Times New Roman"/>
          <w:b/>
          <w:bCs/>
          <w:sz w:val="28"/>
          <w:szCs w:val="28"/>
        </w:rPr>
        <w:t>BASED ANTIRETROVIRAL THERAPY</w:t>
      </w:r>
    </w:p>
    <w:p w14:paraId="544F9634">
      <w:pPr>
        <w:spacing w:after="240" w:line="480" w:lineRule="auto"/>
        <w:jc w:val="center"/>
        <w:rPr>
          <w:rFonts w:ascii="Times New Roman" w:hAnsi="Times New Roman" w:eastAsia="Times New Roman" w:cs="Times New Roman"/>
          <w:b/>
          <w:bCs/>
          <w:sz w:val="28"/>
          <w:szCs w:val="28"/>
        </w:rPr>
      </w:pPr>
    </w:p>
    <w:p w14:paraId="19FECDFF">
      <w:pPr>
        <w:spacing w:after="240" w:line="480" w:lineRule="auto"/>
        <w:jc w:val="center"/>
        <w:rPr>
          <w:rFonts w:ascii="Times New Roman" w:hAnsi="Times New Roman" w:eastAsia="Times New Roman" w:cs="Times New Roman"/>
          <w:b/>
          <w:bCs/>
          <w:sz w:val="28"/>
          <w:szCs w:val="28"/>
        </w:rPr>
      </w:pPr>
    </w:p>
    <w:p w14:paraId="37CD8A7B">
      <w:pPr>
        <w:spacing w:after="240" w:line="480" w:lineRule="auto"/>
        <w:jc w:val="center"/>
        <w:rPr>
          <w:rFonts w:ascii="Times New Roman" w:hAnsi="Times New Roman" w:eastAsia="Times New Roman" w:cs="Times New Roman"/>
          <w:b/>
          <w:bCs/>
          <w:sz w:val="28"/>
          <w:szCs w:val="28"/>
        </w:rPr>
      </w:pPr>
    </w:p>
    <w:p w14:paraId="30D8C9A0">
      <w:pPr>
        <w:spacing w:after="240" w:line="480" w:lineRule="auto"/>
        <w:jc w:val="center"/>
        <w:rPr>
          <w:rFonts w:ascii="Times New Roman" w:hAnsi="Times New Roman" w:eastAsia="Times New Roman" w:cs="Times New Roman"/>
          <w:b/>
          <w:bCs/>
          <w:sz w:val="28"/>
          <w:szCs w:val="28"/>
        </w:rPr>
      </w:pPr>
    </w:p>
    <w:p w14:paraId="51337BFE">
      <w:pPr>
        <w:spacing w:after="240" w:line="480" w:lineRule="auto"/>
        <w:jc w:val="center"/>
        <w:rPr>
          <w:rFonts w:ascii="Times New Roman" w:hAnsi="Times New Roman" w:eastAsia="Times New Roman" w:cs="Times New Roman"/>
          <w:b/>
          <w:bCs/>
          <w:sz w:val="28"/>
          <w:szCs w:val="28"/>
        </w:rPr>
      </w:pPr>
    </w:p>
    <w:p w14:paraId="56722AD4">
      <w:pPr>
        <w:spacing w:after="240" w:line="480" w:lineRule="auto"/>
        <w:jc w:val="center"/>
        <w:rPr>
          <w:rFonts w:ascii="Times New Roman" w:hAnsi="Times New Roman" w:eastAsia="Times New Roman" w:cs="Times New Roman"/>
          <w:b/>
          <w:bCs/>
          <w:sz w:val="28"/>
          <w:szCs w:val="28"/>
        </w:rPr>
      </w:pPr>
    </w:p>
    <w:p w14:paraId="1C1ADAF9">
      <w:pPr>
        <w:spacing w:after="240" w:line="480" w:lineRule="auto"/>
        <w:jc w:val="center"/>
        <w:rPr>
          <w:rFonts w:ascii="Times New Roman" w:hAnsi="Times New Roman" w:eastAsia="Times New Roman" w:cs="Times New Roman"/>
          <w:b/>
          <w:bCs/>
          <w:sz w:val="28"/>
          <w:szCs w:val="28"/>
        </w:rPr>
      </w:pPr>
    </w:p>
    <w:p w14:paraId="585AA989">
      <w:pPr>
        <w:spacing w:after="240" w:line="480" w:lineRule="auto"/>
        <w:jc w:val="center"/>
        <w:rPr>
          <w:rFonts w:ascii="Times New Roman" w:hAnsi="Times New Roman" w:eastAsia="Times New Roman" w:cs="Times New Roman"/>
          <w:b/>
          <w:bCs/>
          <w:sz w:val="28"/>
          <w:szCs w:val="28"/>
        </w:rPr>
      </w:pPr>
    </w:p>
    <w:p w14:paraId="0FD31D8F">
      <w:pPr>
        <w:spacing w:after="240" w:line="480" w:lineRule="auto"/>
        <w:jc w:val="center"/>
        <w:rPr>
          <w:rFonts w:ascii="Times New Roman" w:hAnsi="Times New Roman" w:eastAsia="Times New Roman" w:cs="Times New Roman"/>
          <w:b/>
          <w:bCs/>
          <w:sz w:val="28"/>
          <w:szCs w:val="28"/>
        </w:rPr>
      </w:pPr>
    </w:p>
    <w:p w14:paraId="23B7AF8F">
      <w:pPr>
        <w:spacing w:after="240" w:line="480" w:lineRule="auto"/>
        <w:jc w:val="center"/>
        <w:rPr>
          <w:rFonts w:ascii="Times New Roman" w:hAnsi="Times New Roman" w:eastAsia="Times New Roman" w:cs="Times New Roman"/>
          <w:b/>
          <w:bCs/>
          <w:sz w:val="28"/>
          <w:szCs w:val="28"/>
        </w:rPr>
      </w:pPr>
    </w:p>
    <w:p w14:paraId="42C526FF">
      <w:pPr>
        <w:spacing w:after="240" w:line="480" w:lineRule="auto"/>
        <w:jc w:val="both"/>
        <w:rPr>
          <w:rFonts w:ascii="Times New Roman" w:hAnsi="Times New Roman" w:eastAsia="Times New Roman" w:cs="Times New Roman"/>
          <w:b/>
          <w:bCs/>
          <w:sz w:val="28"/>
          <w:szCs w:val="28"/>
        </w:rPr>
      </w:pPr>
    </w:p>
    <w:p w14:paraId="074432B1">
      <w:pPr>
        <w:spacing w:after="240" w:line="480" w:lineRule="auto"/>
        <w:jc w:val="both"/>
        <w:rPr>
          <w:rFonts w:ascii="Times New Roman" w:hAnsi="Times New Roman" w:eastAsia="Times New Roman" w:cs="Times New Roman"/>
          <w:b/>
          <w:bCs/>
          <w:sz w:val="28"/>
          <w:szCs w:val="28"/>
        </w:rPr>
      </w:pPr>
    </w:p>
    <w:p w14:paraId="48BB301A">
      <w:pPr>
        <w:pStyle w:val="2"/>
        <w:spacing w:before="240" w:after="240" w:line="480" w:lineRule="auto"/>
        <w:jc w:val="center"/>
        <w:rPr>
          <w:b/>
          <w:bCs/>
          <w:color w:val="auto"/>
        </w:rPr>
      </w:pPr>
      <w:r>
        <w:rPr>
          <w:rFonts w:ascii="Times New Roman" w:hAnsi="Times New Roman" w:eastAsia="Times New Roman" w:cs="Times New Roman"/>
          <w:b/>
          <w:bCs/>
          <w:color w:val="auto"/>
          <w:sz w:val="28"/>
          <w:szCs w:val="28"/>
        </w:rPr>
        <w:t>CHAPTER ONE</w:t>
      </w:r>
    </w:p>
    <w:p w14:paraId="59B92B94">
      <w:pPr>
        <w:pStyle w:val="3"/>
        <w:spacing w:before="240" w:after="240" w:line="480" w:lineRule="auto"/>
        <w:jc w:val="left"/>
        <w:rPr>
          <w:b/>
          <w:bCs/>
          <w:color w:val="auto"/>
        </w:rPr>
      </w:pPr>
      <w:r>
        <w:rPr>
          <w:rFonts w:ascii="Times New Roman" w:hAnsi="Times New Roman" w:eastAsia="Times New Roman" w:cs="Times New Roman"/>
          <w:b/>
          <w:bCs/>
          <w:color w:val="auto"/>
          <w:sz w:val="26"/>
          <w:szCs w:val="26"/>
        </w:rPr>
        <w:t>1.0 Introduction</w:t>
      </w:r>
    </w:p>
    <w:p w14:paraId="42CBDA6B">
      <w:pPr>
        <w:spacing w:before="0" w:after="0" w:line="480" w:lineRule="auto"/>
        <w:jc w:val="both"/>
      </w:pPr>
      <w:r>
        <w:rPr>
          <w:rFonts w:ascii="Times New Roman" w:hAnsi="Times New Roman" w:eastAsia="Times New Roman" w:cs="Times New Roman"/>
          <w:b w:val="0"/>
          <w:bCs w:val="0"/>
          <w:i w:val="0"/>
          <w:iCs w:val="0"/>
          <w:sz w:val="24"/>
          <w:szCs w:val="24"/>
        </w:rPr>
        <w:t>Human Immunodeficiency Virus (HIV) remains one of the world's major public health challenges despite remarkable progress in prevention and treatment. According to recent global estimates, about 39.9 million people were living with HIV in 2023, with approximately 1.3 million new infections and 630,000 AIDS-related deaths recorded during the same year. Although AIDS-related deaths have reduced by more than half since 2010 due to the widespread availability of antiretroviral therapy (ART), HIV continues to place a significant burden on health systems, particularly in sub-Saharan Africa. The region accounts for over two-thirds of all people living with HIV (PLHIV) worldwide. Nigeria has the second-largest HIV epidemic in the region, with an estimated 1.9 million people living with HIV, an adult HIV prevalence of about 1.3–1.4%, and approximately 22,000 new infections and 15,000 AIDS-related deaths each year (Banadakoppa Manjappa et al., 2024).</w:t>
      </w:r>
    </w:p>
    <w:p w14:paraId="5B7B2997">
      <w:pPr>
        <w:spacing w:before="0" w:after="0" w:line="480" w:lineRule="auto"/>
        <w:jc w:val="both"/>
      </w:pPr>
      <w:r>
        <w:rPr>
          <w:rFonts w:ascii="Times New Roman" w:hAnsi="Times New Roman" w:eastAsia="Times New Roman" w:cs="Times New Roman"/>
          <w:b w:val="0"/>
          <w:bCs w:val="0"/>
          <w:i w:val="0"/>
          <w:iCs w:val="0"/>
          <w:sz w:val="24"/>
          <w:szCs w:val="24"/>
        </w:rPr>
        <w:t xml:space="preserve">Despite remarkable progress towards achieving the UNAIDS 95-95-95 targets, many countries in sub-Saharan Africa still experience challenges in HIV diagnosis, treatment, retention in care, and viral suppression. Limited access to </w:t>
      </w:r>
      <w:r>
        <w:rPr>
          <w:rFonts w:ascii="Times New Roman" w:hAnsi="Times New Roman" w:eastAsia="Times New Roman" w:cs="Times New Roman"/>
          <w:b w:val="0"/>
          <w:bCs w:val="0"/>
          <w:i w:val="0"/>
          <w:iCs w:val="0"/>
          <w:sz w:val="24"/>
          <w:szCs w:val="24"/>
          <w:lang w:val="en-US"/>
        </w:rPr>
        <w:t>health care</w:t>
      </w:r>
      <w:r>
        <w:rPr>
          <w:rFonts w:ascii="Times New Roman" w:hAnsi="Times New Roman" w:eastAsia="Times New Roman" w:cs="Times New Roman"/>
          <w:b w:val="0"/>
          <w:bCs w:val="0"/>
          <w:i w:val="0"/>
          <w:iCs w:val="0"/>
          <w:sz w:val="24"/>
          <w:szCs w:val="24"/>
        </w:rPr>
        <w:t xml:space="preserve"> services, poor adherence, and inadequate integration of preventive interventions continue to affect treatment outcomes. Consequently, strengthening HIV care now involves not only providing effective ART but also preventing common opportunistic infections, particularly tuberculosis (Mukuku et al., 2025; Ford et al., 2020).</w:t>
      </w:r>
    </w:p>
    <w:p w14:paraId="41F422E3">
      <w:pPr>
        <w:spacing w:before="0" w:after="0" w:line="480" w:lineRule="auto"/>
        <w:jc w:val="both"/>
      </w:pPr>
      <w:r>
        <w:rPr>
          <w:rFonts w:ascii="Times New Roman" w:hAnsi="Times New Roman" w:eastAsia="Times New Roman" w:cs="Times New Roman"/>
          <w:b w:val="0"/>
          <w:bCs w:val="0"/>
          <w:i w:val="0"/>
          <w:iCs w:val="0"/>
          <w:sz w:val="24"/>
          <w:szCs w:val="24"/>
        </w:rPr>
        <w:t>Tuberculosis (TB) remains the most common opportunistic infection and the leading cause of death among people living with HIV worldwide. HIV weakens the immune system through progressive destruction of CD4+ T lymphocytes, making infected individuals about 14 to 20 times more likely to develop active tuberculosis than people without HIV. In 2022, approximately 619,000 new TB cases were reported among PLHIV globally, highlighting the close relationship between the two diseases. Because of this, preventing tuberculosis has become an essential component of comprehensive HIV care, especially in countries with a high burden of both HIV and TB (Tumwebaze et al., 2023; WHO, 2023).</w:t>
      </w:r>
    </w:p>
    <w:p w14:paraId="7D0EFFE0">
      <w:pPr>
        <w:spacing w:before="0" w:after="0" w:line="480" w:lineRule="auto"/>
        <w:jc w:val="both"/>
      </w:pPr>
      <w:r>
        <w:rPr>
          <w:rFonts w:ascii="Times New Roman" w:hAnsi="Times New Roman" w:eastAsia="Times New Roman" w:cs="Times New Roman"/>
          <w:b w:val="0"/>
          <w:bCs w:val="0"/>
          <w:i w:val="0"/>
          <w:iCs w:val="0"/>
          <w:sz w:val="24"/>
          <w:szCs w:val="24"/>
        </w:rPr>
        <w:t>One of the most effective strategies for preventing tuberculosis among PLHIV is Isoniazid Preventive Therapy (IPT). Since 1998, the World Health Organization (WHO) and UNAIDS have recommended IPT as part of routine HIV care for individuals without active tuberculosis, particularly in high TB-burden countries. IPT involves the administration of isoniazid 300 mg daily for at least six months to eliminate latent tuberculosis infection before it progresses to active disease, thereby reducing illness and death among people living with HIV (Akamike et al., 2020).</w:t>
      </w:r>
    </w:p>
    <w:p w14:paraId="41B996E3">
      <w:pPr>
        <w:spacing w:before="0" w:after="0" w:line="480" w:lineRule="auto"/>
        <w:jc w:val="both"/>
      </w:pPr>
      <w:r>
        <w:rPr>
          <w:rFonts w:ascii="Times New Roman" w:hAnsi="Times New Roman" w:eastAsia="Times New Roman" w:cs="Times New Roman"/>
          <w:b w:val="0"/>
          <w:bCs w:val="0"/>
          <w:i w:val="0"/>
          <w:iCs w:val="0"/>
          <w:sz w:val="24"/>
          <w:szCs w:val="24"/>
        </w:rPr>
        <w:t>Isoniazid is a first-line anti-tuberculosis drug belonging to the nicotinic acid hydrazide class. It acts by inhibiting the synthesis of mycolic acids, which are essential components of the cell wall of Mycobacterium tuberculosis. The drug is primarily metabolised in the liver through the N-acetyltransferase-2 (NAT2) enzyme. Although isoniazid is generally safe and effective, it may cause adverse effects such as hepatotoxicity, peripheral neuropathy, nausea, and abdominal discomfort. To reduce the risk of peripheral neuropathy, pyridoxine (Vitamin B6) is routinely co-administered with isoniazid. Studies have shown that IPT significantly reduces the risk of developing active TB and decreases mortality among people living with HIV (Alcorn, 2017).</w:t>
      </w:r>
    </w:p>
    <w:p w14:paraId="5BC1BFA3">
      <w:pPr>
        <w:spacing w:before="0" w:after="0" w:line="480" w:lineRule="auto"/>
        <w:jc w:val="both"/>
      </w:pPr>
      <w:r>
        <w:rPr>
          <w:rFonts w:ascii="Times New Roman" w:hAnsi="Times New Roman" w:eastAsia="Times New Roman" w:cs="Times New Roman"/>
          <w:b w:val="0"/>
          <w:bCs w:val="0"/>
          <w:i w:val="0"/>
          <w:iCs w:val="0"/>
          <w:sz w:val="24"/>
          <w:szCs w:val="24"/>
        </w:rPr>
        <w:t>Several studies conducted in Kenya and Ethiopia have demonstrated that IPT effectively reduces the incidence of tuberculosis among PLHIV, although its uptake remains below recommended levels in many healthcare facilities (Karanja et al., 2020; Mulatu et al., 2023).</w:t>
      </w:r>
    </w:p>
    <w:p w14:paraId="7828386F">
      <w:pPr>
        <w:spacing w:before="0" w:after="0" w:line="480" w:lineRule="auto"/>
        <w:jc w:val="both"/>
      </w:pPr>
      <w:r>
        <w:rPr>
          <w:rFonts w:ascii="Times New Roman" w:hAnsi="Times New Roman" w:eastAsia="Times New Roman" w:cs="Times New Roman"/>
          <w:b w:val="0"/>
          <w:bCs w:val="0"/>
          <w:i w:val="0"/>
          <w:iCs w:val="0"/>
          <w:sz w:val="24"/>
          <w:szCs w:val="24"/>
        </w:rPr>
        <w:t>At the same time, HIV treatment has improved considerably with the introduction of dolutegravir-based antiretroviral therapy.</w:t>
      </w:r>
      <w:r>
        <w:rPr>
          <w:rFonts w:hint="default" w:ascii="Times New Roman" w:hAnsi="Times New Roman" w:eastAsia="Times New Roman" w:cs="Times New Roman"/>
          <w:b w:val="0"/>
          <w:bCs w:val="0"/>
          <w:i w:val="0"/>
          <w:iCs w:val="0"/>
          <w:sz w:val="24"/>
          <w:szCs w:val="24"/>
          <w:lang w:val="en-US"/>
        </w:rPr>
        <w:t xml:space="preserve"> Tenofivir and Lamivudine are Nucleoside reverse transcriptase inhibitors (NRTIs) while</w:t>
      </w:r>
      <w:r>
        <w:rPr>
          <w:rFonts w:ascii="Times New Roman" w:hAnsi="Times New Roman" w:eastAsia="Times New Roman" w:cs="Times New Roman"/>
          <w:b w:val="0"/>
          <w:bCs w:val="0"/>
          <w:i w:val="0"/>
          <w:iCs w:val="0"/>
          <w:sz w:val="24"/>
          <w:szCs w:val="24"/>
        </w:rPr>
        <w:t xml:space="preserve"> Dolutegravir is an integrase strand transfer inhibitor (INSTI) that prevents HIV from integrating its genetic material into the DNA of human cells, thereby stopping viral replication. Because of its high efficacy, favourable safety profile, and high genetic barrier to resistance, the World Health Organization recommends dolutegravir-based regimens as the preferred first-line treatment for adults, adolescents, and children living with HIV.</w:t>
      </w:r>
    </w:p>
    <w:p w14:paraId="483428CF">
      <w:pPr>
        <w:spacing w:before="0" w:after="0" w:line="480" w:lineRule="auto"/>
        <w:jc w:val="both"/>
      </w:pPr>
      <w:r>
        <w:rPr>
          <w:rFonts w:ascii="Times New Roman" w:hAnsi="Times New Roman" w:eastAsia="Times New Roman" w:cs="Times New Roman"/>
          <w:b w:val="0"/>
          <w:bCs w:val="0"/>
          <w:i w:val="0"/>
          <w:iCs w:val="0"/>
          <w:sz w:val="24"/>
          <w:szCs w:val="24"/>
        </w:rPr>
        <w:t>In Nigeria, the fixed-dose combination of Tenofovir, Lamivudine and Dolutegravir (TLD) was adopted into the national HIV treatment programme in 2017 and is now the standard first-line regimen for the majority of patients receiving HIV care. Studies conducted in Nigeria have reported excellent viral suppression rates among patients receiving TLD, with suppression exceeding 95% after twelve months of treatment (Abudiore et al., 2023). Similar findings have also been reported in Ethiopia (Ahmed et al., 2021).</w:t>
      </w:r>
    </w:p>
    <w:p w14:paraId="2CDD0444">
      <w:pPr>
        <w:spacing w:before="0" w:after="0" w:line="480" w:lineRule="auto"/>
        <w:jc w:val="both"/>
      </w:pPr>
      <w:r>
        <w:rPr>
          <w:rFonts w:ascii="Times New Roman" w:hAnsi="Times New Roman" w:eastAsia="Times New Roman" w:cs="Times New Roman"/>
          <w:b w:val="0"/>
          <w:bCs w:val="0"/>
          <w:i w:val="0"/>
          <w:iCs w:val="0"/>
          <w:sz w:val="24"/>
          <w:szCs w:val="24"/>
        </w:rPr>
        <w:t>Although TLD is generally well tolerated, several adverse effects have been reported. The most common is excessive weight gain, which may increase the risk of obesity, hypertension, diabetes mellitus, dyslipidaemia, and cardiovascular disease. Other reported adverse effects include insomnia, headache, dizziness, and depression, although these occur less frequently than with older efavirenz-based regimens. These side effects may influence adherence and long-term treatment outcomes, making routine patient monitoring important (Anil et al., 2024; Hirigo et al., 2023; Esber et al., 2023; Ikegaya et al., 2024).</w:t>
      </w:r>
    </w:p>
    <w:p w14:paraId="6CF443B1">
      <w:pPr>
        <w:spacing w:before="0" w:after="0" w:line="480" w:lineRule="auto"/>
        <w:jc w:val="both"/>
      </w:pPr>
      <w:r>
        <w:rPr>
          <w:rFonts w:ascii="Times New Roman" w:hAnsi="Times New Roman" w:eastAsia="Times New Roman" w:cs="Times New Roman"/>
          <w:b w:val="0"/>
          <w:bCs w:val="0"/>
          <w:i w:val="0"/>
          <w:iCs w:val="0"/>
          <w:sz w:val="24"/>
          <w:szCs w:val="24"/>
        </w:rPr>
        <w:t>The primary goal of antiretroviral therapy is to achieve and maintain virological suppression, which is generally defined as reducing HIV viral load to below the detectable limit (usually less than 50 copies/mL). Sustained viral suppression improves immune recovery, reduces HIV-related illness and death, and effectively prevents sexual transmission of HIV. Nevertheless, some patients continue to experience poor treatment outcomes because of inadequate adherence, delayed diagnosis, or other clinical and social factors (Musyoki et al., 2021; Luvuno et al., 2024; Kapiriri et al., 2019).</w:t>
      </w:r>
    </w:p>
    <w:p w14:paraId="5A687F5C">
      <w:pPr>
        <w:spacing w:before="0" w:after="0" w:line="480" w:lineRule="auto"/>
        <w:jc w:val="both"/>
      </w:pPr>
      <w:r>
        <w:rPr>
          <w:rFonts w:ascii="Times New Roman" w:hAnsi="Times New Roman" w:eastAsia="Times New Roman" w:cs="Times New Roman"/>
          <w:b w:val="0"/>
          <w:bCs w:val="0"/>
          <w:i w:val="0"/>
          <w:iCs w:val="0"/>
          <w:sz w:val="24"/>
          <w:szCs w:val="24"/>
        </w:rPr>
        <w:t>Since IPT is often started while patients are receiving TLD-based ART, it is important to determine whether using both therapies together affects HIV treatment outcomes. Although no clinically significant pharmacokinetic interaction has been established between isoniazid and dolutegravir, the additional pill burden and the possibility of overlapping adverse effects, particularly hepatotoxicity, may influence treatment adherence and ultimately affect viral suppression. While studies from different African countries have evaluated IPT among PLHIV, very few have specifically examined virological outcomes in patients receiving TLD-based therapy, especially in Nigeria (</w:t>
      </w:r>
      <w:r>
        <w:rPr>
          <w:rFonts w:hint="default" w:ascii="Times New Roman" w:hAnsi="Times New Roman" w:eastAsia="Times New Roman" w:cs="Times New Roman"/>
          <w:b w:val="0"/>
          <w:bCs w:val="0"/>
          <w:i w:val="0"/>
          <w:iCs w:val="0"/>
          <w:sz w:val="24"/>
          <w:szCs w:val="24"/>
          <w:lang w:val="en-US"/>
        </w:rPr>
        <w:t>Mangalore et al.</w:t>
      </w:r>
      <w:r>
        <w:rPr>
          <w:rFonts w:ascii="Times New Roman" w:hAnsi="Times New Roman" w:eastAsia="Times New Roman" w:cs="Times New Roman"/>
          <w:b w:val="0"/>
          <w:bCs w:val="0"/>
          <w:i w:val="0"/>
          <w:iCs w:val="0"/>
          <w:sz w:val="24"/>
          <w:szCs w:val="24"/>
        </w:rPr>
        <w:t>, 2020).</w:t>
      </w:r>
    </w:p>
    <w:p w14:paraId="755D78C5">
      <w:pPr>
        <w:spacing w:before="0" w:after="0" w:line="480" w:lineRule="auto"/>
        <w:jc w:val="both"/>
      </w:pPr>
      <w:r>
        <w:rPr>
          <w:rFonts w:ascii="Times New Roman" w:hAnsi="Times New Roman" w:eastAsia="Times New Roman" w:cs="Times New Roman"/>
          <w:b w:val="0"/>
          <w:bCs w:val="0"/>
          <w:i w:val="0"/>
          <w:iCs w:val="0"/>
          <w:sz w:val="24"/>
          <w:szCs w:val="24"/>
        </w:rPr>
        <w:t>Considering Nigeria's widespread use of both IPT and TLD, there is a need for locally generated evidence on the virological outcomes of patients receiving these therapies concurrently under routine clinical practice. Therefore, this study seeks to evaluate the virological outcomes of Isoniazid Preventive Therapy among People Living with HIV receiving TLD-based antiretroviral therapy at the APIN Clinic, Lagos University Teaching Hospital (LUTH).</w:t>
      </w:r>
    </w:p>
    <w:p w14:paraId="5E6B3575">
      <w:pPr>
        <w:pStyle w:val="3"/>
        <w:spacing w:before="240" w:after="240" w:line="480" w:lineRule="auto"/>
        <w:jc w:val="left"/>
        <w:rPr>
          <w:color w:val="auto"/>
        </w:rPr>
      </w:pPr>
      <w:r>
        <w:rPr>
          <w:rFonts w:ascii="Times New Roman" w:hAnsi="Times New Roman" w:eastAsia="Times New Roman" w:cs="Times New Roman"/>
          <w:b/>
          <w:bCs/>
          <w:color w:val="auto"/>
          <w:sz w:val="26"/>
          <w:szCs w:val="26"/>
        </w:rPr>
        <w:t>1.1 Background of the Study</w:t>
      </w:r>
    </w:p>
    <w:p w14:paraId="6A0248E9">
      <w:pPr>
        <w:spacing w:before="0" w:after="0" w:line="480" w:lineRule="auto"/>
        <w:jc w:val="both"/>
      </w:pPr>
      <w:r>
        <w:rPr>
          <w:rFonts w:ascii="Times New Roman" w:hAnsi="Times New Roman" w:eastAsia="Times New Roman" w:cs="Times New Roman"/>
          <w:b w:val="0"/>
          <w:bCs w:val="0"/>
          <w:i w:val="0"/>
          <w:iCs w:val="0"/>
          <w:sz w:val="24"/>
          <w:szCs w:val="24"/>
        </w:rPr>
        <w:t>Nigeria carries one of the highest burdens of HIV and tuberculosis in sub-Saharan Africa. Although remarkable progress has been made in HIV diagnosis, treatment, and viral suppression, tuberculosis remains one of the leading causes of illness and death among people living with HIV. Approximately one-fifth of all TB cases in Nigeria occur among HIV-positive individuals, making TB prevention an important component of HIV care (Busari et al., 2021).</w:t>
      </w:r>
    </w:p>
    <w:p w14:paraId="1563D3C1">
      <w:pPr>
        <w:spacing w:before="0" w:after="0" w:line="480" w:lineRule="auto"/>
        <w:jc w:val="both"/>
      </w:pPr>
      <w:r>
        <w:rPr>
          <w:rFonts w:ascii="Times New Roman" w:hAnsi="Times New Roman" w:eastAsia="Times New Roman" w:cs="Times New Roman"/>
          <w:b w:val="0"/>
          <w:bCs w:val="0"/>
          <w:i w:val="0"/>
          <w:iCs w:val="0"/>
          <w:sz w:val="24"/>
          <w:szCs w:val="24"/>
        </w:rPr>
        <w:t xml:space="preserve">Isoniazid Preventive Therapy has consistently been shown to reduce the occurrence of active tuberculosis among PLHIV and is recommended by the World Health Organization as part of comprehensive HIV management. Despite this recommendation, IPT uptake in Nigeria remains below national targets because of challenges such as inadequate drug supply, poor documentation, limited patient awareness, and concerns about adverse effects among </w:t>
      </w:r>
      <w:r>
        <w:rPr>
          <w:rFonts w:ascii="Times New Roman" w:hAnsi="Times New Roman" w:eastAsia="Times New Roman" w:cs="Times New Roman"/>
          <w:b w:val="0"/>
          <w:bCs w:val="0"/>
          <w:i w:val="0"/>
          <w:iCs w:val="0"/>
          <w:sz w:val="24"/>
          <w:szCs w:val="24"/>
          <w:lang w:val="en-US"/>
        </w:rPr>
        <w:t>health care</w:t>
      </w:r>
      <w:r>
        <w:rPr>
          <w:rFonts w:ascii="Times New Roman" w:hAnsi="Times New Roman" w:eastAsia="Times New Roman" w:cs="Times New Roman"/>
          <w:b w:val="0"/>
          <w:bCs w:val="0"/>
          <w:i w:val="0"/>
          <w:iCs w:val="0"/>
          <w:sz w:val="24"/>
          <w:szCs w:val="24"/>
        </w:rPr>
        <w:t xml:space="preserve"> providers. Although quality improvement </w:t>
      </w:r>
      <w:r>
        <w:rPr>
          <w:rFonts w:ascii="Times New Roman" w:hAnsi="Times New Roman" w:eastAsia="Times New Roman" w:cs="Times New Roman"/>
          <w:b w:val="0"/>
          <w:bCs w:val="0"/>
          <w:i w:val="0"/>
          <w:iCs w:val="0"/>
          <w:sz w:val="24"/>
          <w:szCs w:val="24"/>
          <w:lang w:val="en-US"/>
        </w:rPr>
        <w:t>programme</w:t>
      </w:r>
      <w:r>
        <w:rPr>
          <w:rFonts w:ascii="Times New Roman" w:hAnsi="Times New Roman" w:eastAsia="Times New Roman" w:cs="Times New Roman"/>
          <w:b w:val="0"/>
          <w:bCs w:val="0"/>
          <w:i w:val="0"/>
          <w:iCs w:val="0"/>
          <w:sz w:val="24"/>
          <w:szCs w:val="24"/>
        </w:rPr>
        <w:t xml:space="preserve"> have increased IPT uptake in some </w:t>
      </w:r>
      <w:r>
        <w:rPr>
          <w:rFonts w:ascii="Times New Roman" w:hAnsi="Times New Roman" w:eastAsia="Times New Roman" w:cs="Times New Roman"/>
          <w:b w:val="0"/>
          <w:bCs w:val="0"/>
          <w:i w:val="0"/>
          <w:iCs w:val="0"/>
          <w:sz w:val="24"/>
          <w:szCs w:val="24"/>
          <w:lang w:val="en-US"/>
        </w:rPr>
        <w:t>centers</w:t>
      </w:r>
      <w:r>
        <w:rPr>
          <w:rFonts w:ascii="Times New Roman" w:hAnsi="Times New Roman" w:eastAsia="Times New Roman" w:cs="Times New Roman"/>
          <w:b w:val="0"/>
          <w:bCs w:val="0"/>
          <w:i w:val="0"/>
          <w:iCs w:val="0"/>
          <w:sz w:val="24"/>
          <w:szCs w:val="24"/>
        </w:rPr>
        <w:t xml:space="preserve">, coverage remains </w:t>
      </w:r>
      <w:r>
        <w:rPr>
          <w:rFonts w:ascii="Times New Roman" w:hAnsi="Times New Roman" w:eastAsia="Times New Roman" w:cs="Times New Roman"/>
          <w:b w:val="0"/>
          <w:bCs w:val="0"/>
          <w:i w:val="0"/>
          <w:iCs w:val="0"/>
          <w:sz w:val="24"/>
          <w:szCs w:val="24"/>
          <w:lang w:val="en-US"/>
        </w:rPr>
        <w:t>sub optimal</w:t>
      </w:r>
      <w:r>
        <w:rPr>
          <w:rFonts w:ascii="Times New Roman" w:hAnsi="Times New Roman" w:eastAsia="Times New Roman" w:cs="Times New Roman"/>
          <w:b w:val="0"/>
          <w:bCs w:val="0"/>
          <w:i w:val="0"/>
          <w:iCs w:val="0"/>
          <w:sz w:val="24"/>
          <w:szCs w:val="24"/>
        </w:rPr>
        <w:t xml:space="preserve"> </w:t>
      </w:r>
      <w:r>
        <w:rPr>
          <w:rFonts w:hint="default" w:ascii="Times New Roman" w:hAnsi="Times New Roman" w:eastAsia="Times New Roman" w:cs="Times New Roman"/>
          <w:b w:val="0"/>
          <w:bCs w:val="0"/>
          <w:i w:val="0"/>
          <w:iCs w:val="0"/>
          <w:sz w:val="24"/>
          <w:szCs w:val="24"/>
          <w:lang w:val="en-US"/>
        </w:rPr>
        <w:t>(</w:t>
      </w:r>
      <w:r>
        <w:rPr>
          <w:rFonts w:ascii="Times New Roman" w:hAnsi="Times New Roman" w:eastAsia="Times New Roman" w:cs="Times New Roman"/>
          <w:b w:val="0"/>
          <w:bCs w:val="0"/>
          <w:i w:val="0"/>
          <w:iCs w:val="0"/>
          <w:sz w:val="24"/>
          <w:szCs w:val="24"/>
        </w:rPr>
        <w:t xml:space="preserve"> Ogunsola et al., 2019; In</w:t>
      </w:r>
      <w:r>
        <w:rPr>
          <w:rFonts w:hint="default" w:ascii="Times New Roman" w:hAnsi="Times New Roman" w:eastAsia="Times New Roman" w:cs="Times New Roman"/>
          <w:b w:val="0"/>
          <w:bCs w:val="0"/>
          <w:i w:val="0"/>
          <w:iCs w:val="0"/>
          <w:sz w:val="24"/>
          <w:szCs w:val="24"/>
          <w:lang w:val="en-US"/>
        </w:rPr>
        <w:t>ternational Aids Society.</w:t>
      </w:r>
      <w:r>
        <w:rPr>
          <w:rFonts w:ascii="Times New Roman" w:hAnsi="Times New Roman" w:eastAsia="Times New Roman" w:cs="Times New Roman"/>
          <w:b w:val="0"/>
          <w:bCs w:val="0"/>
          <w:i w:val="0"/>
          <w:iCs w:val="0"/>
          <w:sz w:val="24"/>
          <w:szCs w:val="24"/>
        </w:rPr>
        <w:t>, 2021).</w:t>
      </w:r>
    </w:p>
    <w:p w14:paraId="05E029BE">
      <w:pPr>
        <w:spacing w:before="0" w:after="0" w:line="480" w:lineRule="auto"/>
        <w:jc w:val="both"/>
      </w:pPr>
      <w:r>
        <w:rPr>
          <w:rFonts w:ascii="Times New Roman" w:hAnsi="Times New Roman" w:eastAsia="Times New Roman" w:cs="Times New Roman"/>
          <w:b w:val="0"/>
          <w:bCs w:val="0"/>
          <w:i w:val="0"/>
          <w:iCs w:val="0"/>
          <w:sz w:val="24"/>
          <w:szCs w:val="24"/>
        </w:rPr>
        <w:t>The adoption of dolutegravir-based therapy in Nigeria has transformed HIV treatment because of its superior viral suppression, improved tolerability, and lower risk of drug resistance compared with older regimens. However, most available studies evaluating IPT were conducted before dolutegravir became the standard first-line treatment. Consequently, there is limited evidence on virological outcomes among patients receiving both IPT and TLD in routine clinical practice.</w:t>
      </w:r>
    </w:p>
    <w:p w14:paraId="0EAC8720">
      <w:pPr>
        <w:spacing w:before="0" w:after="0" w:line="480" w:lineRule="auto"/>
        <w:jc w:val="both"/>
      </w:pPr>
      <w:r>
        <w:rPr>
          <w:rFonts w:ascii="Times New Roman" w:hAnsi="Times New Roman" w:eastAsia="Times New Roman" w:cs="Times New Roman"/>
          <w:b w:val="0"/>
          <w:bCs w:val="0"/>
          <w:i w:val="0"/>
          <w:iCs w:val="0"/>
          <w:sz w:val="24"/>
          <w:szCs w:val="24"/>
        </w:rPr>
        <w:t>The APIN Clinic at Lagos University Teaching Hospital manages a large number of people living with HIV and maintains comprehensive electronic medical records. This provides an excellent opportunity to evaluate the real-world virological outcomes of patients receiving concurrent IPT and TLD-based ART and to generate evidence that can guide future clinical practice and policy.</w:t>
      </w:r>
    </w:p>
    <w:p w14:paraId="28D4A1E2">
      <w:pPr>
        <w:pStyle w:val="3"/>
        <w:spacing w:before="240" w:after="240" w:line="480" w:lineRule="auto"/>
        <w:jc w:val="left"/>
        <w:rPr>
          <w:color w:val="auto"/>
        </w:rPr>
      </w:pPr>
      <w:r>
        <w:rPr>
          <w:rFonts w:ascii="Times New Roman" w:hAnsi="Times New Roman" w:eastAsia="Times New Roman" w:cs="Times New Roman"/>
          <w:b/>
          <w:bCs/>
          <w:color w:val="auto"/>
          <w:sz w:val="26"/>
          <w:szCs w:val="26"/>
        </w:rPr>
        <w:t>1.2 Statement of the Problem</w:t>
      </w:r>
    </w:p>
    <w:p w14:paraId="36093855">
      <w:pPr>
        <w:spacing w:before="0" w:after="0" w:line="480" w:lineRule="auto"/>
        <w:jc w:val="both"/>
      </w:pPr>
      <w:r>
        <w:rPr>
          <w:rFonts w:ascii="Times New Roman" w:hAnsi="Times New Roman" w:eastAsia="Times New Roman" w:cs="Times New Roman"/>
          <w:b w:val="0"/>
          <w:bCs w:val="0"/>
          <w:i w:val="0"/>
          <w:iCs w:val="0"/>
          <w:sz w:val="24"/>
          <w:szCs w:val="24"/>
        </w:rPr>
        <w:t>The introduction of dolutegravir-based antiretroviral therapy (ART) has greatly improved HIV treatment outcomes, with high rates of viral suppression, fewer drug interactions, and a high genetic barrier to resistance. As a result, dolutegravir-based regimens are currently recommended as the preferred first-line treatment for people living with HIV (Gandhi et al., 2025).</w:t>
      </w:r>
    </w:p>
    <w:p w14:paraId="17C0BCA6">
      <w:pPr>
        <w:spacing w:before="0" w:after="0" w:line="480" w:lineRule="auto"/>
        <w:jc w:val="both"/>
      </w:pPr>
      <w:r>
        <w:rPr>
          <w:rFonts w:ascii="Times New Roman" w:hAnsi="Times New Roman" w:eastAsia="Times New Roman" w:cs="Times New Roman"/>
          <w:b w:val="0"/>
          <w:bCs w:val="0"/>
          <w:i w:val="0"/>
          <w:iCs w:val="0"/>
          <w:sz w:val="24"/>
          <w:szCs w:val="24"/>
        </w:rPr>
        <w:t>Isoniazid Preventive Therapy (IPT) is also a key component of HIV care because it effectively prevents the progression of latent tuberculosis infection to active disease among eligible people living with HIV. However, maintaining optimal virological outcomes remains a challenge for some patients due to factors such as poor adherence, treatment interruption, and the emergence of HIV drug resistance (World Health Organization, 2025).</w:t>
      </w:r>
    </w:p>
    <w:p w14:paraId="4E2487FA">
      <w:pPr>
        <w:spacing w:before="0" w:after="0" w:line="480" w:lineRule="auto"/>
        <w:jc w:val="both"/>
      </w:pPr>
      <w:r>
        <w:rPr>
          <w:rFonts w:ascii="Times New Roman" w:hAnsi="Times New Roman" w:eastAsia="Times New Roman" w:cs="Times New Roman"/>
          <w:b w:val="0"/>
          <w:bCs w:val="0"/>
          <w:i w:val="0"/>
          <w:iCs w:val="0"/>
          <w:sz w:val="24"/>
          <w:szCs w:val="24"/>
        </w:rPr>
        <w:t>Despite the proven benefits of both IPT and Tenofovir/Lamivudine/Dolutegravir (TLD), there is limited evidence on the virological outcomes of patients receiving both therapies concurrently in routine clinical practice. Most published studies have focused either on tuberculosis prevention with IPT or on the effectiveness of dolutegravir-based ART, with few specifically evaluating viral suppression among patients receiving both interventions together (World Health Organization, 2024).</w:t>
      </w:r>
    </w:p>
    <w:p w14:paraId="068ABCF0">
      <w:pPr>
        <w:spacing w:before="0" w:after="0" w:line="480" w:lineRule="auto"/>
        <w:jc w:val="both"/>
      </w:pPr>
      <w:r>
        <w:rPr>
          <w:rFonts w:ascii="Times New Roman" w:hAnsi="Times New Roman" w:eastAsia="Times New Roman" w:cs="Times New Roman"/>
          <w:b w:val="0"/>
          <w:bCs w:val="0"/>
          <w:i w:val="0"/>
          <w:iCs w:val="0"/>
          <w:sz w:val="24"/>
          <w:szCs w:val="24"/>
        </w:rPr>
        <w:t>In Nigeria, where both IPT and TLD have been widely implemented, there is still a paucity of locally generated evidence on the virological outcomes of people living with HIV receiving these therapies concurrently. This evidence gap limits clinicians' ability to make informed decisions regarding patient monitoring, adherence support, and programme implementation. It also limits the availability of context-specific evidence needed to strengthen HIV and tuberculosis control programmes in the country.</w:t>
      </w:r>
    </w:p>
    <w:p w14:paraId="0A98CE95">
      <w:pPr>
        <w:spacing w:before="0" w:after="0" w:line="480" w:lineRule="auto"/>
        <w:jc w:val="both"/>
      </w:pPr>
      <w:r>
        <w:rPr>
          <w:rFonts w:ascii="Times New Roman" w:hAnsi="Times New Roman" w:eastAsia="Times New Roman" w:cs="Times New Roman"/>
          <w:b w:val="0"/>
          <w:bCs w:val="0"/>
          <w:i w:val="0"/>
          <w:iCs w:val="0"/>
          <w:sz w:val="24"/>
          <w:szCs w:val="24"/>
        </w:rPr>
        <w:t>Therefore, this study seeks to evaluate the virological outcomes of Isoniazid Preventive Therapy among people living with HIV receiving TLD-based antiretroviral therapy at the APIN Clinic, Lagos University Teaching Hospital (LUTH), and to identify factors associated with successful viral suppression.</w:t>
      </w:r>
    </w:p>
    <w:p w14:paraId="4F18A6D4">
      <w:pPr>
        <w:pStyle w:val="3"/>
        <w:spacing w:before="240" w:after="240" w:line="480" w:lineRule="auto"/>
        <w:jc w:val="left"/>
        <w:rPr>
          <w:color w:val="auto"/>
        </w:rPr>
      </w:pPr>
      <w:r>
        <w:rPr>
          <w:rFonts w:ascii="Times New Roman" w:hAnsi="Times New Roman" w:eastAsia="Times New Roman" w:cs="Times New Roman"/>
          <w:b/>
          <w:bCs/>
          <w:color w:val="auto"/>
          <w:sz w:val="26"/>
          <w:szCs w:val="26"/>
        </w:rPr>
        <w:t>1.3 Aim of the Study</w:t>
      </w:r>
    </w:p>
    <w:p w14:paraId="49A7FC62">
      <w:pPr>
        <w:spacing w:before="0" w:after="0" w:line="480" w:lineRule="auto"/>
        <w:jc w:val="both"/>
      </w:pPr>
      <w:r>
        <w:rPr>
          <w:rFonts w:ascii="Times New Roman" w:hAnsi="Times New Roman" w:eastAsia="Times New Roman" w:cs="Times New Roman"/>
          <w:b w:val="0"/>
          <w:bCs w:val="0"/>
          <w:i w:val="0"/>
          <w:iCs w:val="0"/>
          <w:sz w:val="24"/>
          <w:szCs w:val="24"/>
        </w:rPr>
        <w:t>The aim of this study is to evaluate the virological outcomes of Isoniazid Preventive Therapy (IPT) among people living with HIV receiving Tenofovir/Lamivudine/Dolutegravir (TLD)-based antiretroviral therapy.</w:t>
      </w:r>
    </w:p>
    <w:p w14:paraId="0FF88B56">
      <w:pPr>
        <w:pStyle w:val="3"/>
        <w:spacing w:before="240" w:after="240" w:line="480" w:lineRule="auto"/>
        <w:jc w:val="left"/>
        <w:rPr>
          <w:color w:val="auto"/>
        </w:rPr>
      </w:pPr>
      <w:r>
        <w:rPr>
          <w:rFonts w:ascii="Times New Roman" w:hAnsi="Times New Roman" w:eastAsia="Times New Roman" w:cs="Times New Roman"/>
          <w:b/>
          <w:bCs/>
          <w:color w:val="auto"/>
          <w:sz w:val="26"/>
          <w:szCs w:val="26"/>
        </w:rPr>
        <w:t>1.4 Specific Objectives</w:t>
      </w:r>
    </w:p>
    <w:p w14:paraId="49F09089">
      <w:pPr>
        <w:spacing w:before="0" w:after="120" w:line="480" w:lineRule="auto"/>
        <w:jc w:val="both"/>
      </w:pPr>
      <w:r>
        <w:rPr>
          <w:rFonts w:ascii="Times New Roman" w:hAnsi="Times New Roman" w:eastAsia="Times New Roman" w:cs="Times New Roman"/>
          <w:b w:val="0"/>
          <w:bCs w:val="0"/>
          <w:i w:val="0"/>
          <w:iCs w:val="0"/>
          <w:sz w:val="24"/>
          <w:szCs w:val="24"/>
        </w:rPr>
        <w:t>The specific objectives of this study are to:</w:t>
      </w:r>
    </w:p>
    <w:p w14:paraId="0EA8CF95">
      <w:pPr>
        <w:spacing w:before="0" w:after="120" w:line="480" w:lineRule="auto"/>
        <w:jc w:val="both"/>
      </w:pPr>
      <w:r>
        <w:rPr>
          <w:rFonts w:ascii="Times New Roman" w:hAnsi="Times New Roman" w:eastAsia="Times New Roman" w:cs="Times New Roman"/>
          <w:b w:val="0"/>
          <w:bCs w:val="0"/>
          <w:i w:val="0"/>
          <w:iCs w:val="0"/>
          <w:sz w:val="24"/>
          <w:szCs w:val="24"/>
        </w:rPr>
        <w:t>1. Compare baseline and current HIV viral load among people living with HIV receiving IPT while on TLD-based antiretroviral therapy.</w:t>
      </w:r>
    </w:p>
    <w:p w14:paraId="230FD12F">
      <w:pPr>
        <w:spacing w:before="0" w:after="120" w:line="480" w:lineRule="auto"/>
        <w:jc w:val="both"/>
      </w:pPr>
      <w:r>
        <w:rPr>
          <w:rFonts w:ascii="Times New Roman" w:hAnsi="Times New Roman" w:eastAsia="Times New Roman" w:cs="Times New Roman"/>
          <w:b w:val="0"/>
          <w:bCs w:val="0"/>
          <w:i w:val="0"/>
          <w:iCs w:val="0"/>
          <w:sz w:val="24"/>
          <w:szCs w:val="24"/>
        </w:rPr>
        <w:t>2. Determine the proportion of patients who achieve viral suppression following Isoniazid Preventive Therapy.</w:t>
      </w:r>
    </w:p>
    <w:p w14:paraId="2A8DA754">
      <w:pPr>
        <w:spacing w:before="0" w:after="120" w:line="480" w:lineRule="auto"/>
        <w:jc w:val="both"/>
      </w:pPr>
      <w:r>
        <w:rPr>
          <w:rFonts w:ascii="Times New Roman" w:hAnsi="Times New Roman" w:eastAsia="Times New Roman" w:cs="Times New Roman"/>
          <w:b w:val="0"/>
          <w:bCs w:val="0"/>
          <w:i w:val="0"/>
          <w:iCs w:val="0"/>
          <w:sz w:val="24"/>
          <w:szCs w:val="24"/>
        </w:rPr>
        <w:t>3. Identify demographic, clinical, and treatment-related factors associated with virological improvement among people living with HIV receiving concurrent IPT and TLD-based antiretroviral therapy.</w:t>
      </w:r>
    </w:p>
    <w:p w14:paraId="078BAE73">
      <w:pPr>
        <w:spacing w:before="0" w:after="120" w:line="480" w:lineRule="auto"/>
        <w:jc w:val="both"/>
      </w:pPr>
      <w:r>
        <w:rPr>
          <w:rFonts w:ascii="Times New Roman" w:hAnsi="Times New Roman" w:eastAsia="Times New Roman" w:cs="Times New Roman"/>
          <w:b w:val="0"/>
          <w:bCs w:val="0"/>
          <w:i w:val="0"/>
          <w:iCs w:val="0"/>
          <w:sz w:val="24"/>
          <w:szCs w:val="24"/>
        </w:rPr>
        <w:t>4. Examine the relationship between the duration of Isoniazid Preventive Therapy and the degree of virological improvement.</w:t>
      </w:r>
    </w:p>
    <w:p w14:paraId="547463BB">
      <w:pPr>
        <w:spacing w:before="0" w:after="0" w:line="48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5. Assess the influence of baseline CD4+ cell count on the attainment of viral suppression following Isoniazid Preventive Therapy.</w:t>
      </w:r>
    </w:p>
    <w:p w14:paraId="0215EC1B">
      <w:pPr>
        <w:spacing w:before="0" w:after="0" w:line="480" w:lineRule="auto"/>
        <w:jc w:val="both"/>
        <w:rPr>
          <w:rFonts w:ascii="Times New Roman" w:hAnsi="Times New Roman" w:eastAsia="Times New Roman" w:cs="Times New Roman"/>
          <w:b w:val="0"/>
          <w:bCs w:val="0"/>
          <w:i w:val="0"/>
          <w:iCs w:val="0"/>
          <w:sz w:val="24"/>
          <w:szCs w:val="24"/>
        </w:rPr>
      </w:pPr>
    </w:p>
    <w:p w14:paraId="1FDFA1E4">
      <w:pPr>
        <w:pStyle w:val="3"/>
        <w:spacing w:before="240" w:after="240" w:line="480" w:lineRule="auto"/>
        <w:jc w:val="left"/>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Pr>
        <w:t>1.5 Significance of the Study</w:t>
      </w:r>
    </w:p>
    <w:p w14:paraId="0CA85BB7">
      <w:pPr>
        <w:pStyle w:val="3"/>
        <w:spacing w:before="240" w:after="240" w:line="480" w:lineRule="auto"/>
        <w:jc w:val="left"/>
        <w:rPr>
          <w:rFonts w:hint="default" w:ascii="Times New Roman" w:hAnsi="Times New Roman" w:cs="Times New Roman"/>
          <w:color w:val="auto"/>
          <w:sz w:val="24"/>
          <w:szCs w:val="24"/>
        </w:rPr>
      </w:pPr>
      <w:r>
        <w:rPr>
          <w:rFonts w:hint="default" w:ascii="Times New Roman" w:hAnsi="Times New Roman" w:eastAsia="Helvetica" w:cs="Times New Roman"/>
          <w:i w:val="0"/>
          <w:iCs w:val="0"/>
          <w:caps w:val="0"/>
          <w:color w:val="222222"/>
          <w:spacing w:val="0"/>
          <w:sz w:val="24"/>
          <w:szCs w:val="24"/>
          <w:shd w:val="clear" w:fill="FFFFFF"/>
        </w:rPr>
        <w:t xml:space="preserve">This study is significant because, although Isoniazid Preventive Therapy (IPT) is widely recommended for tuberculosis prevention among people living with HIV, there is limited local evidence on its virological outcomes when used alongside Tenofovir/Lamivudine/Dolutegravir (TLD)-based antiretroviral therapy in Nigeria. As the use of dolutegravir-based regimens continues to increase, evaluating whether concurrent IPT affects viral suppression is essential for strengthening clinical practice and improving patient care. This study is therefore expected to provide useful evidence from a Nigerian tertiary </w:t>
      </w:r>
      <w:r>
        <w:rPr>
          <w:rFonts w:hint="default" w:ascii="Times New Roman" w:hAnsi="Times New Roman" w:eastAsia="Helvetica" w:cs="Times New Roman"/>
          <w:i w:val="0"/>
          <w:iCs w:val="0"/>
          <w:caps w:val="0"/>
          <w:color w:val="222222"/>
          <w:spacing w:val="0"/>
          <w:sz w:val="24"/>
          <w:szCs w:val="24"/>
          <w:shd w:val="clear" w:fill="FFFFFF"/>
          <w:lang w:val="en-US"/>
        </w:rPr>
        <w:t>health care</w:t>
      </w:r>
      <w:r>
        <w:rPr>
          <w:rFonts w:hint="default" w:ascii="Times New Roman" w:hAnsi="Times New Roman" w:eastAsia="Helvetica" w:cs="Times New Roman"/>
          <w:i w:val="0"/>
          <w:iCs w:val="0"/>
          <w:caps w:val="0"/>
          <w:color w:val="222222"/>
          <w:spacing w:val="0"/>
          <w:sz w:val="24"/>
          <w:szCs w:val="24"/>
          <w:shd w:val="clear" w:fill="FFFFFF"/>
        </w:rPr>
        <w:t xml:space="preserve"> setting</w:t>
      </w:r>
      <w:r>
        <w:rPr>
          <w:rFonts w:hint="default" w:ascii="Times New Roman" w:hAnsi="Times New Roman" w:eastAsia="Helvetica" w:cs="Times New Roman"/>
          <w:i w:val="0"/>
          <w:iCs w:val="0"/>
          <w:caps w:val="0"/>
          <w:color w:val="222222"/>
          <w:spacing w:val="0"/>
          <w:sz w:val="24"/>
          <w:szCs w:val="24"/>
          <w:shd w:val="clear" w:fill="FFFFFF"/>
          <w:lang w:val="en-US"/>
        </w:rPr>
        <w:t>, APIN clinic, LUTH</w:t>
      </w:r>
      <w:r>
        <w:rPr>
          <w:rFonts w:hint="default" w:ascii="Times New Roman" w:hAnsi="Times New Roman" w:eastAsia="Helvetica" w:cs="Times New Roman"/>
          <w:i w:val="0"/>
          <w:iCs w:val="0"/>
          <w:caps w:val="0"/>
          <w:color w:val="222222"/>
          <w:spacing w:val="0"/>
          <w:sz w:val="24"/>
          <w:szCs w:val="24"/>
          <w:shd w:val="clear" w:fill="FFFFFF"/>
        </w:rPr>
        <w:t xml:space="preserve"> and contribute to informed decision-making in HIV and tuberculosis management. Specifically, the</w:t>
      </w:r>
      <w:r>
        <w:rPr>
          <w:rFonts w:hint="default" w:ascii="Times New Roman" w:hAnsi="Times New Roman" w:eastAsia="Helvetica" w:cs="Times New Roman"/>
          <w:i w:val="0"/>
          <w:iCs w:val="0"/>
          <w:caps w:val="0"/>
          <w:color w:val="222222"/>
          <w:spacing w:val="0"/>
          <w:sz w:val="24"/>
          <w:szCs w:val="24"/>
          <w:shd w:val="clear" w:fill="FFFFFF"/>
          <w:lang w:val="en-US"/>
        </w:rPr>
        <w:t xml:space="preserve"> findings from this study are expected to</w:t>
      </w:r>
      <w:r>
        <w:rPr>
          <w:rFonts w:hint="default" w:ascii="Times New Roman" w:hAnsi="Times New Roman" w:eastAsia="Helvetica" w:cs="Times New Roman"/>
          <w:i w:val="0"/>
          <w:iCs w:val="0"/>
          <w:caps w:val="0"/>
          <w:color w:val="222222"/>
          <w:spacing w:val="0"/>
          <w:sz w:val="24"/>
          <w:szCs w:val="24"/>
          <w:shd w:val="clear" w:fill="FFFFFF"/>
        </w:rPr>
        <w:t xml:space="preserve"> contribute to:</w:t>
      </w:r>
    </w:p>
    <w:p w14:paraId="024FA2F1">
      <w:pPr>
        <w:pStyle w:val="15"/>
        <w:keepNext w:val="0"/>
        <w:keepLines w:val="0"/>
        <w:widowControl/>
        <w:numPr>
          <w:ilvl w:val="0"/>
          <w:numId w:val="1"/>
        </w:numPr>
        <w:suppressLineNumbers w:val="0"/>
        <w:spacing w:before="120" w:beforeAutospacing="0" w:after="240" w:afterAutospacing="0" w:line="480" w:lineRule="auto"/>
        <w:ind w:left="420" w:leftChars="0" w:right="0" w:hanging="420" w:firstLineChars="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lang w:val="en-US"/>
        </w:rPr>
        <w:t xml:space="preserve"> </w:t>
      </w:r>
      <w:r>
        <w:rPr>
          <w:rFonts w:hint="default" w:ascii="Times New Roman" w:hAnsi="Times New Roman" w:eastAsia="Helvetica" w:cs="Times New Roman"/>
          <w:i w:val="0"/>
          <w:iCs w:val="0"/>
          <w:caps w:val="0"/>
          <w:color w:val="222222"/>
          <w:spacing w:val="0"/>
          <w:sz w:val="24"/>
          <w:szCs w:val="24"/>
          <w:shd w:val="clear" w:fill="FFFFFF"/>
        </w:rPr>
        <w:t xml:space="preserve">Improved Clinical Practice: The results </w:t>
      </w:r>
      <w:r>
        <w:rPr>
          <w:rFonts w:hint="default" w:ascii="Times New Roman" w:hAnsi="Times New Roman" w:eastAsia="Helvetica" w:cs="Times New Roman"/>
          <w:i w:val="0"/>
          <w:iCs w:val="0"/>
          <w:caps w:val="0"/>
          <w:color w:val="222222"/>
          <w:spacing w:val="0"/>
          <w:sz w:val="24"/>
          <w:szCs w:val="24"/>
          <w:shd w:val="clear" w:fill="FFFFFF"/>
          <w:lang w:val="en-US"/>
        </w:rPr>
        <w:t>may</w:t>
      </w:r>
      <w:r>
        <w:rPr>
          <w:rFonts w:hint="default" w:ascii="Times New Roman" w:hAnsi="Times New Roman" w:eastAsia="Helvetica" w:cs="Times New Roman"/>
          <w:i w:val="0"/>
          <w:iCs w:val="0"/>
          <w:caps w:val="0"/>
          <w:color w:val="222222"/>
          <w:spacing w:val="0"/>
          <w:sz w:val="24"/>
          <w:szCs w:val="24"/>
          <w:shd w:val="clear" w:fill="FFFFFF"/>
        </w:rPr>
        <w:t xml:space="preserve"> help clinicians understand whether patients receiving IPT alongside TLD are able to maintain viral suppression. This information can guide routine patient monitoring and help identify individuals who may require closer follow-up or additional adherence support.</w:t>
      </w:r>
    </w:p>
    <w:p w14:paraId="4484B444">
      <w:pPr>
        <w:pStyle w:val="15"/>
        <w:keepNext w:val="0"/>
        <w:keepLines w:val="0"/>
        <w:widowControl/>
        <w:numPr>
          <w:ilvl w:val="0"/>
          <w:numId w:val="1"/>
        </w:numPr>
        <w:suppressLineNumbers w:val="0"/>
        <w:spacing w:before="120" w:beforeAutospacing="0" w:after="240" w:afterAutospacing="0" w:line="480" w:lineRule="auto"/>
        <w:ind w:left="420" w:leftChars="0" w:right="0" w:hanging="420" w:firstLineChars="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lang w:val="en-US"/>
        </w:rPr>
        <w:t xml:space="preserve"> </w:t>
      </w:r>
      <w:r>
        <w:rPr>
          <w:rFonts w:hint="default" w:ascii="Times New Roman" w:hAnsi="Times New Roman" w:eastAsia="Helvetica" w:cs="Times New Roman"/>
          <w:i w:val="0"/>
          <w:iCs w:val="0"/>
          <w:caps w:val="0"/>
          <w:color w:val="222222"/>
          <w:spacing w:val="0"/>
          <w:sz w:val="24"/>
          <w:szCs w:val="24"/>
          <w:shd w:val="clear" w:fill="FFFFFF"/>
        </w:rPr>
        <w:t>Better Patient Care: The study</w:t>
      </w:r>
      <w:r>
        <w:rPr>
          <w:rFonts w:hint="default" w:ascii="Times New Roman" w:hAnsi="Times New Roman" w:eastAsia="Helvetica" w:cs="Times New Roman"/>
          <w:i w:val="0"/>
          <w:iCs w:val="0"/>
          <w:caps w:val="0"/>
          <w:color w:val="222222"/>
          <w:spacing w:val="0"/>
          <w:sz w:val="24"/>
          <w:szCs w:val="24"/>
          <w:shd w:val="clear" w:fill="FFFFFF"/>
          <w:lang w:val="en-US"/>
        </w:rPr>
        <w:t xml:space="preserve"> seeks to</w:t>
      </w:r>
      <w:r>
        <w:rPr>
          <w:rFonts w:hint="default" w:ascii="Times New Roman" w:hAnsi="Times New Roman" w:eastAsia="Helvetica" w:cs="Times New Roman"/>
          <w:i w:val="0"/>
          <w:iCs w:val="0"/>
          <w:caps w:val="0"/>
          <w:color w:val="222222"/>
          <w:spacing w:val="0"/>
          <w:sz w:val="24"/>
          <w:szCs w:val="24"/>
          <w:shd w:val="clear" w:fill="FFFFFF"/>
        </w:rPr>
        <w:t xml:space="preserve"> provide </w:t>
      </w:r>
      <w:r>
        <w:rPr>
          <w:rFonts w:hint="default" w:ascii="Times New Roman" w:hAnsi="Times New Roman" w:eastAsia="Helvetica" w:cs="Times New Roman"/>
          <w:i w:val="0"/>
          <w:iCs w:val="0"/>
          <w:caps w:val="0"/>
          <w:color w:val="222222"/>
          <w:spacing w:val="0"/>
          <w:sz w:val="24"/>
          <w:szCs w:val="24"/>
          <w:shd w:val="clear" w:fill="FFFFFF"/>
          <w:lang w:val="en-US"/>
        </w:rPr>
        <w:t>health care</w:t>
      </w:r>
      <w:r>
        <w:rPr>
          <w:rFonts w:hint="default" w:ascii="Times New Roman" w:hAnsi="Times New Roman" w:eastAsia="Helvetica" w:cs="Times New Roman"/>
          <w:i w:val="0"/>
          <w:iCs w:val="0"/>
          <w:caps w:val="0"/>
          <w:color w:val="222222"/>
          <w:spacing w:val="0"/>
          <w:sz w:val="24"/>
          <w:szCs w:val="24"/>
          <w:shd w:val="clear" w:fill="FFFFFF"/>
        </w:rPr>
        <w:t xml:space="preserve"> professionals with evidence that can be used during patient counselling. This may reassure patients about the effectiveness of receiving IPT together with TLD, encourage adherence to treatment, and improve confidence in both therapies.</w:t>
      </w:r>
    </w:p>
    <w:p w14:paraId="32F97200">
      <w:pPr>
        <w:pStyle w:val="15"/>
        <w:keepNext w:val="0"/>
        <w:keepLines w:val="0"/>
        <w:widowControl/>
        <w:numPr>
          <w:ilvl w:val="0"/>
          <w:numId w:val="1"/>
        </w:numPr>
        <w:suppressLineNumbers w:val="0"/>
        <w:spacing w:before="120" w:beforeAutospacing="0" w:after="240" w:afterAutospacing="0" w:line="480" w:lineRule="auto"/>
        <w:ind w:left="420" w:leftChars="0" w:right="0" w:hanging="420" w:firstLineChars="0"/>
        <w:rPr>
          <w:rFonts w:hint="default" w:ascii="Times New Roman" w:hAnsi="Times New Roman" w:eastAsia="Helvetica" w:cs="Times New Roman"/>
          <w:i w:val="0"/>
          <w:iCs w:val="0"/>
          <w:caps w:val="0"/>
          <w:color w:val="222222"/>
          <w:spacing w:val="0"/>
          <w:sz w:val="24"/>
          <w:szCs w:val="24"/>
          <w:shd w:val="clear" w:fill="FFFFFF"/>
        </w:rPr>
      </w:pPr>
      <w:r>
        <w:rPr>
          <w:rFonts w:hint="default" w:ascii="Times New Roman" w:hAnsi="Times New Roman" w:eastAsia="Helvetica" w:cs="Times New Roman"/>
          <w:i w:val="0"/>
          <w:iCs w:val="0"/>
          <w:caps w:val="0"/>
          <w:color w:val="222222"/>
          <w:spacing w:val="0"/>
          <w:sz w:val="24"/>
          <w:szCs w:val="24"/>
          <w:shd w:val="clear" w:fill="FFFFFF"/>
          <w:lang w:val="en-US"/>
        </w:rPr>
        <w:t xml:space="preserve"> </w:t>
      </w:r>
      <w:r>
        <w:rPr>
          <w:rFonts w:hint="default" w:ascii="Times New Roman" w:hAnsi="Times New Roman" w:eastAsia="Helvetica" w:cs="Times New Roman"/>
          <w:i w:val="0"/>
          <w:iCs w:val="0"/>
          <w:caps w:val="0"/>
          <w:color w:val="222222"/>
          <w:spacing w:val="0"/>
          <w:sz w:val="24"/>
          <w:szCs w:val="24"/>
          <w:shd w:val="clear" w:fill="FFFFFF"/>
        </w:rPr>
        <w:t xml:space="preserve">Support for Public Health </w:t>
      </w:r>
      <w:r>
        <w:rPr>
          <w:rFonts w:hint="default" w:ascii="Times New Roman" w:hAnsi="Times New Roman" w:eastAsia="Helvetica" w:cs="Times New Roman"/>
          <w:i w:val="0"/>
          <w:iCs w:val="0"/>
          <w:caps w:val="0"/>
          <w:color w:val="222222"/>
          <w:spacing w:val="0"/>
          <w:sz w:val="24"/>
          <w:szCs w:val="24"/>
          <w:shd w:val="clear" w:fill="FFFFFF"/>
          <w:lang w:val="en-US"/>
        </w:rPr>
        <w:t>Programme</w:t>
      </w:r>
      <w:r>
        <w:rPr>
          <w:rFonts w:hint="default" w:ascii="Times New Roman" w:hAnsi="Times New Roman" w:eastAsia="Helvetica" w:cs="Times New Roman"/>
          <w:i w:val="0"/>
          <w:iCs w:val="0"/>
          <w:caps w:val="0"/>
          <w:color w:val="222222"/>
          <w:spacing w:val="0"/>
          <w:sz w:val="24"/>
          <w:szCs w:val="24"/>
          <w:shd w:val="clear" w:fill="FFFFFF"/>
        </w:rPr>
        <w:t>: The findings</w:t>
      </w:r>
      <w:r>
        <w:rPr>
          <w:rFonts w:hint="default" w:ascii="Times New Roman" w:hAnsi="Times New Roman" w:eastAsia="Helvetica" w:cs="Times New Roman"/>
          <w:i w:val="0"/>
          <w:iCs w:val="0"/>
          <w:caps w:val="0"/>
          <w:color w:val="222222"/>
          <w:spacing w:val="0"/>
          <w:sz w:val="24"/>
          <w:szCs w:val="24"/>
          <w:shd w:val="clear" w:fill="FFFFFF"/>
          <w:lang w:val="en-US"/>
        </w:rPr>
        <w:t xml:space="preserve"> may </w:t>
      </w:r>
      <w:r>
        <w:rPr>
          <w:rFonts w:hint="default" w:ascii="Times New Roman" w:hAnsi="Times New Roman" w:eastAsia="Helvetica" w:cs="Times New Roman"/>
          <w:i w:val="0"/>
          <w:iCs w:val="0"/>
          <w:caps w:val="0"/>
          <w:color w:val="222222"/>
          <w:spacing w:val="0"/>
          <w:sz w:val="24"/>
          <w:szCs w:val="24"/>
          <w:shd w:val="clear" w:fill="FFFFFF"/>
        </w:rPr>
        <w:t>provide useful information for programme managers and policymakers involved in HIV and tuberculosis control. If viral suppression remains high among patients receiving both therapies, the evidence will support the continued implementation and expansion of IPT. Where challenges are identified, appropriate measures such as improved adherence counselling and enhanced patient monitoring can be introduced.</w:t>
      </w:r>
    </w:p>
    <w:p w14:paraId="26B2AFAF">
      <w:pPr>
        <w:pStyle w:val="15"/>
        <w:keepNext w:val="0"/>
        <w:keepLines w:val="0"/>
        <w:widowControl/>
        <w:suppressLineNumbers w:val="0"/>
        <w:spacing w:before="120" w:beforeAutospacing="0" w:after="240" w:afterAutospacing="0" w:line="480" w:lineRule="auto"/>
        <w:ind w:right="0"/>
        <w:rPr>
          <w:rFonts w:hint="default" w:ascii="Times New Roman" w:hAnsi="Times New Roman" w:eastAsia="Helvetica" w:cs="Times New Roman"/>
          <w:i w:val="0"/>
          <w:iCs w:val="0"/>
          <w:caps w:val="0"/>
          <w:color w:val="222222"/>
          <w:spacing w:val="0"/>
          <w:sz w:val="24"/>
          <w:szCs w:val="24"/>
          <w:shd w:val="clear" w:fill="FFFFFF"/>
        </w:rPr>
      </w:pPr>
    </w:p>
    <w:p w14:paraId="0FF5227A">
      <w:pPr>
        <w:pStyle w:val="15"/>
        <w:keepNext w:val="0"/>
        <w:keepLines w:val="0"/>
        <w:widowControl/>
        <w:numPr>
          <w:ilvl w:val="0"/>
          <w:numId w:val="1"/>
        </w:numPr>
        <w:suppressLineNumbers w:val="0"/>
        <w:spacing w:before="120" w:beforeAutospacing="0" w:after="240" w:afterAutospacing="0" w:line="480" w:lineRule="auto"/>
        <w:ind w:left="420" w:leftChars="0" w:right="0" w:hanging="420" w:firstLineChars="0"/>
        <w:rPr>
          <w:rFonts w:hint="default" w:ascii="Times New Roman" w:hAnsi="Times New Roman" w:eastAsia="Helvetica" w:cs="Times New Roman"/>
          <w:i w:val="0"/>
          <w:iCs w:val="0"/>
          <w:caps w:val="0"/>
          <w:color w:val="222222"/>
          <w:spacing w:val="0"/>
          <w:sz w:val="24"/>
          <w:szCs w:val="24"/>
          <w:shd w:val="clear" w:fill="FFFFFF"/>
        </w:rPr>
      </w:pPr>
      <w:r>
        <w:rPr>
          <w:rFonts w:hint="default" w:ascii="Times New Roman" w:hAnsi="Times New Roman" w:eastAsia="Helvetica" w:cs="Times New Roman"/>
          <w:i w:val="0"/>
          <w:iCs w:val="0"/>
          <w:caps w:val="0"/>
          <w:color w:val="222222"/>
          <w:spacing w:val="0"/>
          <w:sz w:val="24"/>
          <w:szCs w:val="24"/>
          <w:shd w:val="clear" w:fill="FFFFFF"/>
          <w:lang w:val="en-US"/>
        </w:rPr>
        <w:t xml:space="preserve"> </w:t>
      </w:r>
      <w:r>
        <w:rPr>
          <w:rFonts w:hint="default" w:ascii="Times New Roman" w:hAnsi="Times New Roman" w:eastAsia="Helvetica" w:cs="Times New Roman"/>
          <w:i w:val="0"/>
          <w:iCs w:val="0"/>
          <w:caps w:val="0"/>
          <w:color w:val="222222"/>
          <w:spacing w:val="0"/>
          <w:sz w:val="24"/>
          <w:szCs w:val="24"/>
          <w:shd w:val="clear" w:fill="FFFFFF"/>
        </w:rPr>
        <w:t xml:space="preserve">Contribution to Scientific Knowledge: This study </w:t>
      </w:r>
      <w:r>
        <w:rPr>
          <w:rFonts w:hint="default" w:ascii="Times New Roman" w:hAnsi="Times New Roman" w:eastAsia="Helvetica" w:cs="Times New Roman"/>
          <w:i w:val="0"/>
          <w:iCs w:val="0"/>
          <w:caps w:val="0"/>
          <w:color w:val="222222"/>
          <w:spacing w:val="0"/>
          <w:sz w:val="24"/>
          <w:szCs w:val="24"/>
          <w:shd w:val="clear" w:fill="FFFFFF"/>
          <w:lang w:val="en-US"/>
        </w:rPr>
        <w:t>may likely</w:t>
      </w:r>
      <w:r>
        <w:rPr>
          <w:rFonts w:hint="default" w:ascii="Times New Roman" w:hAnsi="Times New Roman" w:eastAsia="Helvetica" w:cs="Times New Roman"/>
          <w:i w:val="0"/>
          <w:iCs w:val="0"/>
          <w:caps w:val="0"/>
          <w:color w:val="222222"/>
          <w:spacing w:val="0"/>
          <w:sz w:val="24"/>
          <w:szCs w:val="24"/>
          <w:shd w:val="clear" w:fill="FFFFFF"/>
        </w:rPr>
        <w:t xml:space="preserve"> add to the growing body of research on the co-management of HIV and tuberculosis in the dolutegravir era. Since only a few studies in Nigeria have evaluated the virological outcomes of concurrent IPT and TLD use, the findings will serve as a useful reference for future research and may contribute to the development of evidence-based guidelines and policies.</w:t>
      </w:r>
    </w:p>
    <w:p w14:paraId="5179653D">
      <w:pPr>
        <w:pStyle w:val="15"/>
        <w:keepNext w:val="0"/>
        <w:keepLines w:val="0"/>
        <w:widowControl/>
        <w:suppressLineNumbers w:val="0"/>
        <w:spacing w:before="120" w:beforeAutospacing="0" w:after="240" w:afterAutospacing="0" w:line="480" w:lineRule="auto"/>
        <w:ind w:right="0"/>
        <w:rPr>
          <w:rFonts w:hint="default" w:ascii="Times New Roman" w:hAnsi="Times New Roman" w:eastAsia="Helvetica" w:cs="Times New Roman"/>
          <w:i w:val="0"/>
          <w:iCs w:val="0"/>
          <w:caps w:val="0"/>
          <w:color w:val="222222"/>
          <w:spacing w:val="0"/>
          <w:sz w:val="24"/>
          <w:szCs w:val="24"/>
          <w:shd w:val="clear" w:fill="FFFFFF"/>
        </w:rPr>
      </w:pPr>
    </w:p>
    <w:p w14:paraId="097DAF51">
      <w:pPr>
        <w:pStyle w:val="15"/>
        <w:keepNext w:val="0"/>
        <w:keepLines w:val="0"/>
        <w:widowControl/>
        <w:numPr>
          <w:ilvl w:val="0"/>
          <w:numId w:val="1"/>
        </w:numPr>
        <w:suppressLineNumbers w:val="0"/>
        <w:spacing w:before="120" w:beforeAutospacing="0" w:after="240" w:afterAutospacing="0" w:line="480" w:lineRule="auto"/>
        <w:ind w:left="420" w:leftChars="0" w:right="0" w:hanging="420" w:firstLineChars="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Public Health Relevance: Nigeria remains one of the countries with a high burden of both HIV and tuberculosis, making effective TB preventive strategies a public health priority. By providing evidence on the virological outcomes of concurrent IPT and TLD therapy, this study may support efforts to improve HIV treatment outcomes, strengthen</w:t>
      </w:r>
      <w:r>
        <w:rPr>
          <w:rFonts w:hint="default" w:ascii="Times New Roman" w:hAnsi="Times New Roman" w:eastAsia="Helvetica" w:cs="Times New Roman"/>
          <w:i w:val="0"/>
          <w:iCs w:val="0"/>
          <w:caps w:val="0"/>
          <w:color w:val="222222"/>
          <w:spacing w:val="0"/>
          <w:sz w:val="24"/>
          <w:szCs w:val="24"/>
          <w:shd w:val="clear" w:fill="FFFFFF"/>
          <w:lang w:val="en-US"/>
        </w:rPr>
        <w:t xml:space="preserve"> </w:t>
      </w:r>
      <w:r>
        <w:rPr>
          <w:rFonts w:hint="default" w:ascii="Times New Roman" w:hAnsi="Times New Roman" w:eastAsia="Helvetica" w:cs="Times New Roman"/>
          <w:i w:val="0"/>
          <w:iCs w:val="0"/>
          <w:caps w:val="0"/>
          <w:color w:val="222222"/>
          <w:spacing w:val="0"/>
          <w:sz w:val="24"/>
          <w:szCs w:val="24"/>
          <w:shd w:val="clear" w:fill="FFFFFF"/>
        </w:rPr>
        <w:t>tuberculosis prevention programmes, and ultimately enhance the quality of life of people living with HIV.</w:t>
      </w:r>
    </w:p>
    <w:p w14:paraId="47D9E6A2">
      <w:pPr>
        <w:keepNext w:val="0"/>
        <w:keepLines w:val="0"/>
        <w:widowControl/>
        <w:numPr>
          <w:ilvl w:val="0"/>
          <w:numId w:val="0"/>
        </w:numPr>
        <w:suppressLineNumbers w:val="0"/>
        <w:spacing w:before="242" w:beforeAutospacing="0" w:after="482" w:afterAutospacing="0" w:line="480" w:lineRule="auto"/>
        <w:ind w:left="1306" w:leftChars="0" w:right="0" w:rightChars="0"/>
        <w:rPr>
          <w:rFonts w:hint="default" w:ascii="Times New Roman" w:hAnsi="Times New Roman" w:cs="Times New Roman"/>
        </w:rPr>
      </w:pPr>
    </w:p>
    <w:p w14:paraId="4D6BFE8B">
      <w:pPr>
        <w:numPr>
          <w:ilvl w:val="0"/>
          <w:numId w:val="1"/>
        </w:numPr>
        <w:spacing w:line="480" w:lineRule="auto"/>
        <w:ind w:left="420" w:leftChars="0" w:hanging="420" w:firstLineChars="0"/>
        <w:rPr>
          <w:rFonts w:hint="default" w:ascii="Times New Roman" w:hAnsi="Times New Roman" w:cs="Times New Roman"/>
        </w:rPr>
      </w:pPr>
      <w:r>
        <w:rPr>
          <w:rFonts w:hint="default" w:ascii="Times New Roman" w:hAnsi="Times New Roman" w:cs="Times New Roman"/>
        </w:rPr>
        <w:br w:type="page"/>
      </w:r>
    </w:p>
    <w:p w14:paraId="75605C4B">
      <w:pPr>
        <w:pStyle w:val="2"/>
        <w:spacing w:before="240" w:after="240" w:line="480" w:lineRule="auto"/>
        <w:jc w:val="center"/>
        <w:rPr>
          <w:color w:val="auto"/>
        </w:rPr>
      </w:pPr>
      <w:r>
        <w:rPr>
          <w:rFonts w:ascii="Times New Roman" w:hAnsi="Times New Roman" w:eastAsia="Times New Roman" w:cs="Times New Roman"/>
          <w:b/>
          <w:bCs/>
          <w:color w:val="auto"/>
          <w:sz w:val="28"/>
          <w:szCs w:val="28"/>
        </w:rPr>
        <w:t>List of Abbreviations</w:t>
      </w:r>
    </w:p>
    <w:p w14:paraId="0245022C">
      <w:pPr>
        <w:tabs>
          <w:tab w:val="left" w:pos="1440"/>
        </w:tabs>
        <w:spacing w:after="0" w:line="480" w:lineRule="auto"/>
        <w:ind w:left="1440" w:hanging="1440"/>
      </w:pPr>
      <w:r>
        <w:rPr>
          <w:rFonts w:ascii="Times New Roman" w:hAnsi="Times New Roman" w:eastAsia="Times New Roman" w:cs="Times New Roman"/>
          <w:b/>
          <w:bCs/>
          <w:sz w:val="24"/>
          <w:szCs w:val="24"/>
        </w:rPr>
        <w:t>AIDS</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Acquired Immunodeficiency Syndrome</w:t>
      </w:r>
    </w:p>
    <w:p w14:paraId="50B4AE20">
      <w:pPr>
        <w:tabs>
          <w:tab w:val="left" w:pos="1440"/>
        </w:tabs>
        <w:spacing w:after="0" w:line="480" w:lineRule="auto"/>
        <w:ind w:left="1440" w:hanging="1440"/>
      </w:pPr>
      <w:r>
        <w:rPr>
          <w:rFonts w:ascii="Times New Roman" w:hAnsi="Times New Roman" w:eastAsia="Times New Roman" w:cs="Times New Roman"/>
          <w:b/>
          <w:bCs/>
          <w:sz w:val="24"/>
          <w:szCs w:val="24"/>
        </w:rPr>
        <w:t>APIN</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AIDS Prevention Initiative in Nigeria</w:t>
      </w:r>
    </w:p>
    <w:p w14:paraId="3BE97BA7">
      <w:pPr>
        <w:tabs>
          <w:tab w:val="left" w:pos="1440"/>
        </w:tabs>
        <w:spacing w:after="0" w:line="480" w:lineRule="auto"/>
        <w:ind w:left="1440" w:hanging="1440"/>
      </w:pPr>
      <w:r>
        <w:rPr>
          <w:rFonts w:ascii="Times New Roman" w:hAnsi="Times New Roman" w:eastAsia="Times New Roman" w:cs="Times New Roman"/>
          <w:b/>
          <w:bCs/>
          <w:sz w:val="24"/>
          <w:szCs w:val="24"/>
        </w:rPr>
        <w:t>ART</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Antiretroviral Therapy</w:t>
      </w:r>
    </w:p>
    <w:p w14:paraId="63360F1D">
      <w:pPr>
        <w:tabs>
          <w:tab w:val="left" w:pos="1440"/>
        </w:tabs>
        <w:spacing w:after="0" w:line="480" w:lineRule="auto"/>
        <w:ind w:left="1440" w:hanging="1440"/>
      </w:pPr>
      <w:r>
        <w:rPr>
          <w:rFonts w:ascii="Times New Roman" w:hAnsi="Times New Roman" w:eastAsia="Times New Roman" w:cs="Times New Roman"/>
          <w:b/>
          <w:bCs/>
          <w:sz w:val="24"/>
          <w:szCs w:val="24"/>
        </w:rPr>
        <w:t>CD4</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Cluster of Differentiation 4</w:t>
      </w:r>
    </w:p>
    <w:p w14:paraId="798E5407">
      <w:pPr>
        <w:tabs>
          <w:tab w:val="left" w:pos="1440"/>
        </w:tabs>
        <w:spacing w:after="0" w:line="480" w:lineRule="auto"/>
        <w:ind w:left="1440" w:hanging="1440"/>
      </w:pPr>
      <w:r>
        <w:rPr>
          <w:rFonts w:ascii="Times New Roman" w:hAnsi="Times New Roman" w:eastAsia="Times New Roman" w:cs="Times New Roman"/>
          <w:b/>
          <w:bCs/>
          <w:sz w:val="24"/>
          <w:szCs w:val="24"/>
        </w:rPr>
        <w:t>HIV</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Human Immunodeficiency Virus</w:t>
      </w:r>
    </w:p>
    <w:p w14:paraId="032637FE">
      <w:pPr>
        <w:tabs>
          <w:tab w:val="left" w:pos="1440"/>
        </w:tabs>
        <w:spacing w:after="0" w:line="480" w:lineRule="auto"/>
        <w:ind w:left="1440" w:hanging="14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INSTI</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Integrase Strand Transfer Inhibitor</w:t>
      </w:r>
    </w:p>
    <w:p w14:paraId="6831B8F3">
      <w:pPr>
        <w:tabs>
          <w:tab w:val="left" w:pos="1440"/>
        </w:tabs>
        <w:spacing w:after="0" w:line="480" w:lineRule="auto"/>
        <w:ind w:left="1440" w:hanging="1440"/>
        <w:rPr>
          <w:rFonts w:hint="default" w:ascii="Times New Roman" w:hAnsi="Times New Roman" w:eastAsia="Times New Roman" w:cs="Times New Roman"/>
          <w:b w:val="0"/>
          <w:bCs w:val="0"/>
          <w:sz w:val="24"/>
          <w:szCs w:val="24"/>
          <w:lang w:val="en-US"/>
        </w:rPr>
      </w:pPr>
      <w:r>
        <w:rPr>
          <w:rFonts w:hint="default" w:eastAsia="Times New Roman" w:cs="Times New Roman"/>
          <w:b/>
          <w:bCs/>
          <w:sz w:val="24"/>
          <w:szCs w:val="24"/>
          <w:lang w:val="en-US"/>
        </w:rPr>
        <w:t>NRTI -</w:t>
      </w:r>
      <w:r>
        <w:rPr>
          <w:rFonts w:hint="default" w:eastAsia="Times New Roman" w:cs="Times New Roman"/>
          <w:b w:val="0"/>
          <w:bCs w:val="0"/>
          <w:sz w:val="24"/>
          <w:szCs w:val="24"/>
          <w:lang w:val="en-US"/>
        </w:rPr>
        <w:t xml:space="preserve"> Nucleoside Reverse Transcriptase Inhibitor</w:t>
      </w:r>
    </w:p>
    <w:p w14:paraId="6FA6B7EF">
      <w:pPr>
        <w:tabs>
          <w:tab w:val="left" w:pos="1440"/>
        </w:tabs>
        <w:spacing w:after="0" w:line="480" w:lineRule="auto"/>
        <w:ind w:left="1440" w:hanging="1440"/>
      </w:pPr>
      <w:r>
        <w:rPr>
          <w:rFonts w:ascii="Times New Roman" w:hAnsi="Times New Roman" w:eastAsia="Times New Roman" w:cs="Times New Roman"/>
          <w:b/>
          <w:bCs/>
          <w:sz w:val="24"/>
          <w:szCs w:val="24"/>
        </w:rPr>
        <w:t>IPT</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Isoniazid Preventive Therapy</w:t>
      </w:r>
    </w:p>
    <w:p w14:paraId="692CD16B">
      <w:pPr>
        <w:tabs>
          <w:tab w:val="left" w:pos="1440"/>
        </w:tabs>
        <w:spacing w:after="0" w:line="480" w:lineRule="auto"/>
        <w:ind w:left="1440" w:hanging="1440"/>
      </w:pPr>
      <w:r>
        <w:rPr>
          <w:rFonts w:ascii="Times New Roman" w:hAnsi="Times New Roman" w:eastAsia="Times New Roman" w:cs="Times New Roman"/>
          <w:b/>
          <w:bCs/>
          <w:sz w:val="24"/>
          <w:szCs w:val="24"/>
        </w:rPr>
        <w:t>LUTH</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Lagos University Teaching Hospital</w:t>
      </w:r>
    </w:p>
    <w:p w14:paraId="7E15835B">
      <w:pPr>
        <w:tabs>
          <w:tab w:val="left" w:pos="1440"/>
        </w:tabs>
        <w:spacing w:after="0" w:line="480" w:lineRule="auto"/>
        <w:ind w:left="1440" w:hanging="1440"/>
      </w:pPr>
      <w:r>
        <w:rPr>
          <w:rFonts w:ascii="Times New Roman" w:hAnsi="Times New Roman" w:eastAsia="Times New Roman" w:cs="Times New Roman"/>
          <w:b/>
          <w:bCs/>
          <w:sz w:val="24"/>
          <w:szCs w:val="24"/>
        </w:rPr>
        <w:t>NAT2</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N-Acetyltransferase 2</w:t>
      </w:r>
    </w:p>
    <w:p w14:paraId="02572B0E">
      <w:pPr>
        <w:tabs>
          <w:tab w:val="left" w:pos="1440"/>
        </w:tabs>
        <w:spacing w:after="0" w:line="480" w:lineRule="auto"/>
        <w:ind w:left="1440" w:hanging="1440"/>
      </w:pPr>
      <w:r>
        <w:rPr>
          <w:rFonts w:ascii="Times New Roman" w:hAnsi="Times New Roman" w:eastAsia="Times New Roman" w:cs="Times New Roman"/>
          <w:b/>
          <w:bCs/>
          <w:sz w:val="24"/>
          <w:szCs w:val="24"/>
        </w:rPr>
        <w:t>PLHIV</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sz w:val="24"/>
          <w:szCs w:val="24"/>
        </w:rPr>
        <w:t>People Living with HIV</w:t>
      </w:r>
    </w:p>
    <w:p w14:paraId="3029A521">
      <w:pPr>
        <w:tabs>
          <w:tab w:val="left" w:pos="1440"/>
        </w:tabs>
        <w:spacing w:after="0" w:line="480" w:lineRule="auto"/>
        <w:ind w:left="1440" w:hanging="1440"/>
      </w:pPr>
      <w:r>
        <w:rPr>
          <w:rFonts w:ascii="Times New Roman" w:hAnsi="Times New Roman" w:eastAsia="Times New Roman" w:cs="Times New Roman"/>
          <w:b/>
          <w:bCs/>
          <w:sz w:val="24"/>
          <w:szCs w:val="24"/>
        </w:rPr>
        <w:t>TB</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Tuberculosis</w:t>
      </w:r>
    </w:p>
    <w:p w14:paraId="7E493CFC">
      <w:pPr>
        <w:tabs>
          <w:tab w:val="left" w:pos="1440"/>
        </w:tabs>
        <w:spacing w:after="0" w:line="480" w:lineRule="auto"/>
        <w:ind w:left="1440" w:hanging="1440"/>
      </w:pPr>
      <w:r>
        <w:rPr>
          <w:rFonts w:ascii="Times New Roman" w:hAnsi="Times New Roman" w:eastAsia="Times New Roman" w:cs="Times New Roman"/>
          <w:b/>
          <w:bCs/>
          <w:sz w:val="24"/>
          <w:szCs w:val="24"/>
        </w:rPr>
        <w:t>TLD</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Tenofovir Disoproxil Fumarate / Lamivudine / Dolutegravir</w:t>
      </w:r>
    </w:p>
    <w:p w14:paraId="219586DF">
      <w:pPr>
        <w:tabs>
          <w:tab w:val="left" w:pos="1440"/>
        </w:tabs>
        <w:spacing w:after="0" w:line="480" w:lineRule="auto"/>
        <w:ind w:left="1440" w:hanging="1440"/>
      </w:pPr>
      <w:r>
        <w:rPr>
          <w:rFonts w:ascii="Times New Roman" w:hAnsi="Times New Roman" w:eastAsia="Times New Roman" w:cs="Times New Roman"/>
          <w:b/>
          <w:bCs/>
          <w:sz w:val="24"/>
          <w:szCs w:val="24"/>
        </w:rPr>
        <w:t>UNAIDS</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Joint United Nations Programme on HIV/AIDS</w:t>
      </w:r>
    </w:p>
    <w:p w14:paraId="100FAB42">
      <w:pPr>
        <w:tabs>
          <w:tab w:val="left" w:pos="1440"/>
        </w:tabs>
        <w:spacing w:after="0" w:line="480" w:lineRule="auto"/>
        <w:ind w:left="1440" w:hanging="1440"/>
      </w:pPr>
      <w:r>
        <w:rPr>
          <w:rFonts w:ascii="Times New Roman" w:hAnsi="Times New Roman" w:eastAsia="Times New Roman" w:cs="Times New Roman"/>
          <w:b/>
          <w:bCs/>
          <w:sz w:val="24"/>
          <w:szCs w:val="24"/>
        </w:rPr>
        <w:t>WHO</w:t>
      </w:r>
      <w:r>
        <w:rPr>
          <w:rFonts w:hint="default" w:ascii="Times New Roman" w:hAnsi="Times New Roman" w:eastAsia="Times New Roman" w:cs="Times New Roman"/>
          <w:b/>
          <w:bCs/>
          <w:sz w:val="24"/>
          <w:szCs w:val="24"/>
          <w:lang w:val="en-US"/>
        </w:rPr>
        <w:t xml:space="preserve"> - </w:t>
      </w:r>
      <w:r>
        <w:rPr>
          <w:rFonts w:ascii="Times New Roman" w:hAnsi="Times New Roman" w:eastAsia="Times New Roman" w:cs="Times New Roman"/>
          <w:sz w:val="24"/>
          <w:szCs w:val="24"/>
        </w:rPr>
        <w:t>World Health Organization</w:t>
      </w:r>
    </w:p>
    <w:p w14:paraId="1C535BED">
      <w:r>
        <w:br w:type="page"/>
      </w:r>
    </w:p>
    <w:p w14:paraId="4777D3F9">
      <w:pPr>
        <w:pStyle w:val="2"/>
        <w:spacing w:before="240" w:after="240" w:line="480" w:lineRule="auto"/>
        <w:jc w:val="center"/>
        <w:rPr>
          <w:color w:val="auto"/>
        </w:rPr>
      </w:pPr>
      <w:r>
        <w:rPr>
          <w:rFonts w:ascii="Times New Roman" w:hAnsi="Times New Roman" w:eastAsia="Times New Roman" w:cs="Times New Roman"/>
          <w:b/>
          <w:bCs/>
          <w:color w:val="auto"/>
          <w:sz w:val="28"/>
          <w:szCs w:val="28"/>
        </w:rPr>
        <w:t>References</w:t>
      </w:r>
    </w:p>
    <w:p w14:paraId="21C40E02">
      <w:pPr>
        <w:spacing w:after="0" w:line="480" w:lineRule="auto"/>
        <w:ind w:left="720" w:hanging="720"/>
        <w:jc w:val="both"/>
      </w:pPr>
      <w:r>
        <w:rPr>
          <w:rFonts w:ascii="Times New Roman" w:hAnsi="Times New Roman" w:eastAsia="Times New Roman" w:cs="Times New Roman"/>
          <w:sz w:val="24"/>
          <w:szCs w:val="24"/>
        </w:rPr>
        <w:t>Abudiore, O., Amamilo, I., Campbell, J., Eigege, W., Harwell, J., Conroy, J., Jiboye, J., Lufadeju, F., Amole, C., Wiwa, O., Anweh, D., Agbaji, O.O. and Akanmu, A.S. (2023) 'High acceptability and viral suppression rate for first-line patients on a dolutegravir-based regimen: an early adopter study in Nigeria', PLOS ONE, 18(5), e0284767.</w:t>
      </w:r>
    </w:p>
    <w:p w14:paraId="4BC1740A">
      <w:pPr>
        <w:spacing w:after="0" w:line="480" w:lineRule="auto"/>
        <w:ind w:left="720" w:hanging="720"/>
        <w:jc w:val="both"/>
      </w:pPr>
      <w:r>
        <w:rPr>
          <w:rFonts w:ascii="Times New Roman" w:hAnsi="Times New Roman" w:eastAsia="Times New Roman" w:cs="Times New Roman"/>
          <w:sz w:val="24"/>
          <w:szCs w:val="24"/>
        </w:rPr>
        <w:t>Ahmed, I., Demissie, M., Worku, A., Gugsa, S. and Berhane, Y. (2021) 'Virologic outcomes of people living with human immunodeficiency virus who started antiretroviral treatment on the same-day of diagnosis in Ethiopia: A multicenter observational study', PLOS ONE, 16(9), e0257351.</w:t>
      </w:r>
    </w:p>
    <w:p w14:paraId="54EF442B">
      <w:pPr>
        <w:spacing w:after="0" w:line="480" w:lineRule="auto"/>
        <w:ind w:left="720" w:hanging="720"/>
        <w:jc w:val="both"/>
      </w:pPr>
      <w:r>
        <w:rPr>
          <w:rFonts w:ascii="Times New Roman" w:hAnsi="Times New Roman" w:eastAsia="Times New Roman" w:cs="Times New Roman"/>
          <w:sz w:val="24"/>
          <w:szCs w:val="24"/>
        </w:rPr>
        <w:t>Akamike, I.C., Uneke, C.J., Ezeoke, U.E. and Uro-Chukwu, H.C. (2020) 'Isoniazid preventive therapy in the prevention of tuberculosis among people living with HIV: a review of implementation issues', Nigerian Journal of Clinical Practice, 23(1), pp. 1-8.</w:t>
      </w:r>
    </w:p>
    <w:p w14:paraId="330055F8">
      <w:pPr>
        <w:spacing w:after="0" w:line="480" w:lineRule="auto"/>
        <w:ind w:left="720" w:hanging="720"/>
        <w:jc w:val="both"/>
      </w:pPr>
      <w:r>
        <w:rPr>
          <w:rFonts w:ascii="Times New Roman" w:hAnsi="Times New Roman" w:eastAsia="Times New Roman" w:cs="Times New Roman"/>
          <w:sz w:val="24"/>
          <w:szCs w:val="24"/>
        </w:rPr>
        <w:t>Alcorn, K. (2017) 'Isoniazid preventive treatment reduces the risk of death by 37% in people living with HIV', AIDS Map, 16 February.</w:t>
      </w:r>
    </w:p>
    <w:p w14:paraId="5AE929ED">
      <w:pPr>
        <w:spacing w:after="0" w:line="480" w:lineRule="auto"/>
        <w:ind w:left="720" w:hanging="720"/>
        <w:jc w:val="both"/>
      </w:pPr>
      <w:r>
        <w:rPr>
          <w:rFonts w:ascii="Times New Roman" w:hAnsi="Times New Roman" w:eastAsia="Times New Roman" w:cs="Times New Roman"/>
          <w:sz w:val="24"/>
          <w:szCs w:val="24"/>
        </w:rPr>
        <w:t>Anil, A.C., Gedam, S., Sethi, G., Parashar, N., Barmaiya, N., Aryasree, L. and Sethi, S. (2024) 'A retrospective cohort study on the potential link between dolutegravir-based antiretroviral therapy and weight gain compared to efavirenz-based antiretroviral therapy', National Journal of Physiology, Pharmacy and Pharmacology, 14(7), pp. 1454-1458.</w:t>
      </w:r>
    </w:p>
    <w:p w14:paraId="526E94B2">
      <w:pPr>
        <w:spacing w:after="0" w:line="480" w:lineRule="auto"/>
        <w:ind w:left="720" w:hanging="720"/>
        <w:jc w:val="both"/>
      </w:pPr>
      <w:r>
        <w:rPr>
          <w:rFonts w:ascii="Times New Roman" w:hAnsi="Times New Roman" w:eastAsia="Times New Roman" w:cs="Times New Roman"/>
          <w:sz w:val="24"/>
          <w:szCs w:val="24"/>
        </w:rPr>
        <w:t>Banadakoppa Manjappa, R., Bhattacharjee, P., Shaw, S.Y.N., Gitonga, J., Kioko, J., Songok, F., Emmanuel, F., Arimi, P., Musyoki, H., Laibon Masha, R. and Blanchard, J. (2024) 'Sub-national HIV epidemic appraisal in Kenya: a new approach for identifying priority geographies, populations and programmes for optimizing coverage for HIV prevention', Journal of the International AIDS Society, 27, e26245.</w:t>
      </w:r>
    </w:p>
    <w:p w14:paraId="1951D332">
      <w:pPr>
        <w:spacing w:after="0" w:line="480" w:lineRule="auto"/>
        <w:ind w:left="720" w:hanging="720"/>
        <w:jc w:val="both"/>
      </w:pPr>
      <w:r>
        <w:rPr>
          <w:rFonts w:ascii="Times New Roman" w:hAnsi="Times New Roman" w:eastAsia="Times New Roman" w:cs="Times New Roman"/>
          <w:sz w:val="24"/>
          <w:szCs w:val="24"/>
        </w:rPr>
        <w:t>Busari, A.A., Oshikoya, K.A., Adejumo, I.A., Olanrewaju, O.A., Usman, S.O., Badru, W.A., Oreagba, I.A. and Olayemi, S.O. (2021) 'Low prevalence of isoniazid preventive therapy uptake among HIV-infected patients attending tertiary health facility in Lagos, Southwest Nigeria', Pan African Medical Journal, 39, p. 123.</w:t>
      </w:r>
    </w:p>
    <w:p w14:paraId="419A3616">
      <w:pPr>
        <w:spacing w:after="0" w:line="480" w:lineRule="auto"/>
        <w:ind w:left="720" w:hanging="720"/>
        <w:jc w:val="both"/>
      </w:pPr>
      <w:r>
        <w:rPr>
          <w:rFonts w:ascii="Times New Roman" w:hAnsi="Times New Roman" w:eastAsia="Times New Roman" w:cs="Times New Roman"/>
          <w:sz w:val="24"/>
          <w:szCs w:val="24"/>
        </w:rPr>
        <w:t>Esber, A.L., Chang, D., Iroezindu, M., Bahemana, E., Kibuuka, H., Owuoth, J., Singoei, V., Maswai, J., Dear, N.F., Crowell, T.A., Polyak, C.S., Ake, J.A. and AFRICOS Study Group (2023) 'Weight gain during the dolutegravir transition in the African Cohort Study', Journal of the International AIDS Society, 26(Suppl 2), e26102.</w:t>
      </w:r>
    </w:p>
    <w:p w14:paraId="140658AE">
      <w:pPr>
        <w:spacing w:after="0" w:line="480" w:lineRule="auto"/>
        <w:ind w:left="720" w:hanging="720"/>
        <w:jc w:val="both"/>
      </w:pPr>
      <w:r>
        <w:rPr>
          <w:rFonts w:ascii="Times New Roman" w:hAnsi="Times New Roman" w:eastAsia="Times New Roman" w:cs="Times New Roman"/>
          <w:sz w:val="24"/>
          <w:szCs w:val="24"/>
        </w:rPr>
        <w:t>Ford, N., Geng, E., Ellman, T., Orrell, C., Ehrenkranz, P., Sikazwe, I., Jahn, A., Rabkin, M., Ayisi Addo, S., Grimsrud, A., Rosen, S., Zulu, I., Reidy, W., Lejone, T., Apollo, T., Holmes, C., Kolling, A.F., Lesihla, R.P., Nguyen, H.H., Bakashaba, B., Chitembo, L., Tiriste, G., Doherty, M. and Bygrave, H. (2020) 'Emerging priorities for HIV service delivery', PLOS Medicine, 17(2), e1003028.</w:t>
      </w:r>
    </w:p>
    <w:p w14:paraId="508732C0">
      <w:pPr>
        <w:spacing w:after="0" w:line="480" w:lineRule="auto"/>
        <w:ind w:left="720" w:hanging="720"/>
        <w:jc w:val="both"/>
      </w:pPr>
      <w:r>
        <w:rPr>
          <w:rFonts w:ascii="Times New Roman" w:hAnsi="Times New Roman" w:eastAsia="Times New Roman" w:cs="Times New Roman"/>
          <w:sz w:val="24"/>
          <w:szCs w:val="24"/>
        </w:rPr>
        <w:t>Gandhi, R.T., Landovitz, R.J., Sax, P.E., Smith, D.M., Springer, S.A., Günthard, H.F., Thompson, M.A., Bedimo, R.J., Benson, C.A., Buchbinder, S.P., Crabtree-Ramirez, B.E., Del Rio, C., Eaton, E.F., Eron, J.J., Hoy, J.F., Lehmann, C., Molina, J-M., Jacobsen, D.M. and Saag, M.S. (2025) 'Antiretroviral drugs for treatment and prevention of HIV in adults: 2024 recommendations of the International Antiviral Society-USA Panel', JAMA, 333(7), pp. 609-628.</w:t>
      </w:r>
    </w:p>
    <w:p w14:paraId="61A985BD">
      <w:pPr>
        <w:spacing w:after="0" w:line="480" w:lineRule="auto"/>
        <w:ind w:left="720" w:hanging="720"/>
        <w:jc w:val="both"/>
      </w:pPr>
      <w:r>
        <w:rPr>
          <w:rFonts w:ascii="Times New Roman" w:hAnsi="Times New Roman" w:eastAsia="Times New Roman" w:cs="Times New Roman"/>
          <w:sz w:val="24"/>
          <w:szCs w:val="24"/>
        </w:rPr>
        <w:t>Hirigo, A.T., Yilma, D., Astatkie, A. and Debebe, Z. (2023) 'Effect of dolutegravir-based first-line antiretroviral therapy on weight and body mass index among adult people living with HIV on follow up at health facilities in Hawassa, Ethiopia', Annals of Medicine, 55(2), 2242250.</w:t>
      </w:r>
    </w:p>
    <w:p w14:paraId="1EE6739F">
      <w:pPr>
        <w:spacing w:after="0" w:line="480" w:lineRule="auto"/>
        <w:ind w:left="720" w:hanging="720"/>
        <w:jc w:val="both"/>
      </w:pPr>
      <w:r>
        <w:rPr>
          <w:rFonts w:ascii="Times New Roman" w:hAnsi="Times New Roman" w:eastAsia="Times New Roman" w:cs="Times New Roman"/>
          <w:sz w:val="24"/>
          <w:szCs w:val="24"/>
        </w:rPr>
        <w:t>Ikegaya, K., Muramatsu, T., Sekiya, R., Sekine, Y., Harada, Y., Miyashita, R., Yamaguchi, T., Ichiki, A., Chikasawa, Y., Bingo, M., Yotsumoto, M., Hagiwara, T., Amano, K., Takeuchi, H. and Kinai, E. (2024) 'Effects of switching to dolutegravir/lamivudine from tenofovir alafenamide fumarate/emtricitabine/dolutegravir or abacavir/lamivudine/dolutegravir on body weight and lipid profiles', Journal of Antimicrobial Chemotherapy, 79(6), pp. 1345-1352.</w:t>
      </w:r>
    </w:p>
    <w:p w14:paraId="76AC16EC">
      <w:pPr>
        <w:spacing w:after="0" w:line="480" w:lineRule="auto"/>
        <w:ind w:left="720" w:hanging="720"/>
        <w:jc w:val="both"/>
      </w:pPr>
      <w:r>
        <w:rPr>
          <w:rFonts w:ascii="Times New Roman" w:hAnsi="Times New Roman" w:eastAsia="Times New Roman" w:cs="Times New Roman"/>
          <w:sz w:val="24"/>
          <w:szCs w:val="24"/>
        </w:rPr>
        <w:t>Increasing isoniazid preventive therapy in people living with HIV in north central Nigeria: outcomes from a quality improvement strategy (2021) Journal of the International AIDS Society, 24(Suppl 3), e25732.</w:t>
      </w:r>
    </w:p>
    <w:p w14:paraId="74B4561F">
      <w:pPr>
        <w:spacing w:after="0" w:line="480" w:lineRule="auto"/>
        <w:ind w:left="720" w:hanging="720"/>
        <w:jc w:val="both"/>
      </w:pPr>
      <w:r>
        <w:rPr>
          <w:rFonts w:ascii="Times New Roman" w:hAnsi="Times New Roman" w:eastAsia="Times New Roman" w:cs="Times New Roman"/>
          <w:sz w:val="24"/>
          <w:szCs w:val="24"/>
        </w:rPr>
        <w:t>Kapiriri, L., Lee, N-M., Wallace, L.J. and Kwesiga, B. (2019) 'Beyond cost-effectiveness, morbidity and mortality: a comprehensive evaluation of priority setting for HIV programming in Uganda', BMC Public Health, 19(1), p. 359.</w:t>
      </w:r>
    </w:p>
    <w:p w14:paraId="2B4DAD2F">
      <w:pPr>
        <w:spacing w:after="0" w:line="480" w:lineRule="auto"/>
        <w:ind w:left="720" w:hanging="720"/>
        <w:jc w:val="both"/>
      </w:pPr>
      <w:r>
        <w:rPr>
          <w:rFonts w:ascii="Times New Roman" w:hAnsi="Times New Roman" w:eastAsia="Times New Roman" w:cs="Times New Roman"/>
          <w:sz w:val="24"/>
          <w:szCs w:val="24"/>
        </w:rPr>
        <w:t>Karanja, M., Kingwara, L., Owiti, P., Kirui, E., Ngari, F., Kiplimo, R., Maina, M., Masini, E., Onyango, E., Ngugi, C. and Torpey, K. (2020) 'Outcomes of isoniazid preventive therapy among people living with HIV in Kenya: A retrospective study of routine health care data', PLOS ONE, 15(12), e0234588.</w:t>
      </w:r>
    </w:p>
    <w:p w14:paraId="486EAA45">
      <w:pPr>
        <w:spacing w:after="0" w:line="480" w:lineRule="auto"/>
        <w:ind w:left="720" w:hanging="720"/>
        <w:jc w:val="both"/>
      </w:pPr>
      <w:r>
        <w:rPr>
          <w:rFonts w:ascii="Times New Roman" w:hAnsi="Times New Roman" w:eastAsia="Times New Roman" w:cs="Times New Roman"/>
          <w:sz w:val="24"/>
          <w:szCs w:val="24"/>
        </w:rPr>
        <w:t>Luvuno, Z.P.B., Wiafe, E., Mpofana, N., Urusla, M.M. and Nxumalo, C.T. (2024) 'Fast-track interventions for HIV and AIDS epidemic control among key populations: A rapid review', African Journal of Primary Health Care &amp; Family Medicine, 16(1), p. 4088.</w:t>
      </w:r>
    </w:p>
    <w:p w14:paraId="281DA804">
      <w:pPr>
        <w:spacing w:after="0" w:line="480" w:lineRule="auto"/>
        <w:ind w:left="720" w:hanging="720"/>
        <w:jc w:val="both"/>
      </w:pPr>
      <w:r>
        <w:rPr>
          <w:rFonts w:ascii="Times New Roman" w:hAnsi="Times New Roman" w:eastAsia="Times New Roman" w:cs="Times New Roman"/>
          <w:sz w:val="24"/>
          <w:szCs w:val="24"/>
        </w:rPr>
        <w:t>Mukuku, O., Govender, K., Kulohoma, B.W. and Wembonyama, S.O. (2025) 'Challenges in reaching the UNAIDS 95-95-95 targets in sub-Saharan Africa: status, innovations and pathways forward', Frontiers in Public Health, 13, 1701425.</w:t>
      </w:r>
    </w:p>
    <w:p w14:paraId="665518D7">
      <w:pPr>
        <w:spacing w:after="0" w:line="480" w:lineRule="auto"/>
        <w:ind w:left="720" w:hanging="720"/>
        <w:jc w:val="both"/>
      </w:pPr>
      <w:r>
        <w:rPr>
          <w:rFonts w:ascii="Times New Roman" w:hAnsi="Times New Roman" w:eastAsia="Times New Roman" w:cs="Times New Roman"/>
          <w:sz w:val="24"/>
          <w:szCs w:val="24"/>
        </w:rPr>
        <w:t>Mulatu, G., Gembe, M., Chalchisa, J., Teklu, T., Yismaw, W. and Dereje, D. (2023) 'Isoniazid Preventive Therapy Uptake and Its Effect on Tuberculosis Incidence Among People Living with HIV in Illubabor and Buno Bedelle Zones, South-West Ethiopia, 2022: A Retrospective Cohort Study', HIV/AIDS - Research and Palliative Care, 15, pp. 649-662.</w:t>
      </w:r>
    </w:p>
    <w:p w14:paraId="48FA48CD">
      <w:pPr>
        <w:spacing w:after="0" w:line="480" w:lineRule="auto"/>
        <w:ind w:left="720" w:hanging="720"/>
        <w:jc w:val="both"/>
      </w:pPr>
      <w:r>
        <w:rPr>
          <w:rFonts w:ascii="Times New Roman" w:hAnsi="Times New Roman" w:eastAsia="Times New Roman" w:cs="Times New Roman"/>
          <w:sz w:val="24"/>
          <w:szCs w:val="24"/>
        </w:rPr>
        <w:t>Musyoki, H., Bhattacharjee, P., Sabin, K., Ngoksin, E., Wheeler, T. and Dallabetta, G. (2021) 'A decade and beyond: learnings from HIV programming with underserved and marginalized key populations in Kenya', Journal of the International AIDS Society, 24, e25729.</w:t>
      </w:r>
    </w:p>
    <w:p w14:paraId="1550CB3D">
      <w:pPr>
        <w:spacing w:after="0" w:line="480" w:lineRule="auto"/>
        <w:ind w:left="720" w:hanging="720"/>
        <w:jc w:val="both"/>
      </w:pPr>
      <w:r>
        <w:rPr>
          <w:rFonts w:ascii="Times New Roman" w:hAnsi="Times New Roman" w:eastAsia="Times New Roman" w:cs="Times New Roman"/>
          <w:sz w:val="24"/>
          <w:szCs w:val="24"/>
        </w:rPr>
        <w:t>Ogunsola, O.O., Ajayi, O., Ojo, O., Adeyeye, O., Akinro, Y., Oke, O., Adurogbola, A.A. and Olajide, O. (2019) 'Improving coverage and completion rate of isoniazid preventive therapy among eligible HIV patients using quality improvement approaches: a case study of State Hospital, Ijebu Ode, Ogun State, Nigeria', Pan African Medical Journal, 34, p. 193.</w:t>
      </w:r>
    </w:p>
    <w:p w14:paraId="6B428F13">
      <w:pPr>
        <w:spacing w:after="0" w:line="480" w:lineRule="auto"/>
        <w:ind w:left="720" w:hanging="720"/>
        <w:jc w:val="both"/>
      </w:pPr>
      <w:r>
        <w:rPr>
          <w:rFonts w:ascii="Times New Roman" w:hAnsi="Times New Roman" w:eastAsia="Times New Roman" w:cs="Times New Roman"/>
          <w:sz w:val="24"/>
          <w:szCs w:val="24"/>
        </w:rPr>
        <w:t>Outcomes associated with isoniazid preventive therapy for tuberculosis prevention among human immunodeficiency virus positive patients attending antiretroviral therapy clinics in Mangalore (2020) F1000Research, 9, 1260.</w:t>
      </w:r>
    </w:p>
    <w:p w14:paraId="68D8768D">
      <w:pPr>
        <w:spacing w:after="0" w:line="480" w:lineRule="auto"/>
        <w:ind w:left="720" w:hanging="720"/>
        <w:jc w:val="both"/>
      </w:pPr>
      <w:r>
        <w:rPr>
          <w:rFonts w:ascii="Times New Roman" w:hAnsi="Times New Roman" w:eastAsia="Times New Roman" w:cs="Times New Roman"/>
          <w:sz w:val="24"/>
          <w:szCs w:val="24"/>
        </w:rPr>
        <w:t>Tumwebaze, M., Rubaihayo, J. and Mpairwe, H. (2023) 'Appraisal of existing HIV/AIDS prevention and control measures and presentation of innovative strategies to end HIV/AIDS epidemic by 2030', Open Journal of Epidemiology, 13, pp. 345-368.</w:t>
      </w:r>
    </w:p>
    <w:p w14:paraId="3F86B4A3">
      <w:pPr>
        <w:spacing w:after="0" w:line="480" w:lineRule="auto"/>
        <w:ind w:left="720" w:hanging="720"/>
        <w:jc w:val="both"/>
      </w:pPr>
      <w:r>
        <w:rPr>
          <w:rFonts w:ascii="Times New Roman" w:hAnsi="Times New Roman" w:eastAsia="Times New Roman" w:cs="Times New Roman"/>
          <w:sz w:val="24"/>
          <w:szCs w:val="24"/>
        </w:rPr>
        <w:t>World Health Organization (2023) Global Tuberculosis Report 2023. Geneva: World Health Organization.</w:t>
      </w:r>
    </w:p>
    <w:p w14:paraId="59927C08">
      <w:pPr>
        <w:spacing w:after="0" w:line="480" w:lineRule="auto"/>
        <w:ind w:left="720" w:hanging="720"/>
        <w:jc w:val="both"/>
      </w:pPr>
      <w:r>
        <w:rPr>
          <w:rFonts w:ascii="Times New Roman" w:hAnsi="Times New Roman" w:eastAsia="Times New Roman" w:cs="Times New Roman"/>
          <w:sz w:val="24"/>
          <w:szCs w:val="24"/>
        </w:rPr>
        <w:t>World Health Organization (2024) Consolidated Guidelines on HIV Prevention, Testing, Treatment, Service Delivery and Monitoring: Recommendations for a Public Health Approach. Geneva: World Health Organization.</w:t>
      </w:r>
    </w:p>
    <w:p w14:paraId="36E4D68B">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World Health Organization (2025) WHO Updated Recommendations on HIV Clinical Management: Recommendations for a Public Health Approach. Geneva: World Health Organization.</w:t>
      </w:r>
    </w:p>
    <w:p w14:paraId="5E56F872">
      <w:pPr>
        <w:spacing w:after="0" w:line="480" w:lineRule="auto"/>
        <w:ind w:left="720" w:hanging="720"/>
        <w:jc w:val="both"/>
        <w:rPr>
          <w:rFonts w:ascii="Times New Roman" w:hAnsi="Times New Roman" w:eastAsia="Times New Roman" w:cs="Times New Roman"/>
          <w:sz w:val="24"/>
          <w:szCs w:val="24"/>
        </w:rPr>
      </w:pPr>
    </w:p>
    <w:p w14:paraId="58054E02">
      <w:pPr>
        <w:spacing w:after="0" w:line="480" w:lineRule="auto"/>
        <w:ind w:left="720" w:hanging="720"/>
        <w:jc w:val="both"/>
        <w:rPr>
          <w:rFonts w:ascii="Times New Roman" w:hAnsi="Times New Roman" w:eastAsia="Times New Roman" w:cs="Times New Roman"/>
          <w:sz w:val="24"/>
          <w:szCs w:val="24"/>
        </w:rPr>
      </w:pPr>
    </w:p>
    <w:p w14:paraId="21F08312">
      <w:pPr>
        <w:spacing w:after="0" w:line="480" w:lineRule="auto"/>
        <w:ind w:left="720" w:hanging="720"/>
        <w:jc w:val="both"/>
        <w:rPr>
          <w:rFonts w:ascii="Times New Roman" w:hAnsi="Times New Roman" w:eastAsia="Times New Roman" w:cs="Times New Roman"/>
          <w:sz w:val="24"/>
          <w:szCs w:val="24"/>
        </w:rPr>
      </w:pPr>
    </w:p>
    <w:p w14:paraId="1FA5A216">
      <w:pPr>
        <w:spacing w:after="0" w:line="480" w:lineRule="auto"/>
        <w:ind w:left="720" w:hanging="720"/>
        <w:jc w:val="both"/>
        <w:rPr>
          <w:rFonts w:ascii="Times New Roman" w:hAnsi="Times New Roman" w:eastAsia="Times New Roman" w:cs="Times New Roman"/>
          <w:sz w:val="24"/>
          <w:szCs w:val="24"/>
        </w:rPr>
      </w:pPr>
    </w:p>
    <w:p w14:paraId="47209CA8">
      <w:pPr>
        <w:spacing w:after="0" w:line="480" w:lineRule="auto"/>
        <w:ind w:left="720" w:hanging="720"/>
        <w:jc w:val="both"/>
        <w:rPr>
          <w:rFonts w:ascii="Times New Roman" w:hAnsi="Times New Roman" w:eastAsia="Times New Roman" w:cs="Times New Roman"/>
          <w:sz w:val="24"/>
          <w:szCs w:val="24"/>
        </w:rPr>
      </w:pPr>
    </w:p>
    <w:p w14:paraId="69946A22">
      <w:pPr>
        <w:spacing w:after="0" w:line="480" w:lineRule="auto"/>
        <w:ind w:left="720" w:hanging="720"/>
        <w:jc w:val="both"/>
        <w:rPr>
          <w:rFonts w:ascii="Times New Roman" w:hAnsi="Times New Roman" w:eastAsia="Times New Roman" w:cs="Times New Roman"/>
          <w:sz w:val="24"/>
          <w:szCs w:val="24"/>
        </w:rPr>
      </w:pPr>
    </w:p>
    <w:p w14:paraId="6EA45EE6">
      <w:pPr>
        <w:spacing w:after="0" w:line="480" w:lineRule="auto"/>
        <w:ind w:left="720" w:hanging="720"/>
        <w:jc w:val="both"/>
        <w:rPr>
          <w:rFonts w:ascii="Times New Roman" w:hAnsi="Times New Roman" w:eastAsia="Times New Roman" w:cs="Times New Roman"/>
          <w:sz w:val="24"/>
          <w:szCs w:val="24"/>
        </w:rPr>
      </w:pPr>
    </w:p>
    <w:p w14:paraId="778FE680">
      <w:pPr>
        <w:spacing w:after="0" w:line="480" w:lineRule="auto"/>
        <w:ind w:left="720" w:hanging="720"/>
        <w:jc w:val="both"/>
        <w:rPr>
          <w:rFonts w:ascii="Times New Roman" w:hAnsi="Times New Roman" w:eastAsia="Times New Roman" w:cs="Times New Roman"/>
          <w:sz w:val="24"/>
          <w:szCs w:val="24"/>
        </w:rPr>
      </w:pPr>
    </w:p>
    <w:p w14:paraId="6532FC17">
      <w:pPr>
        <w:spacing w:after="0" w:line="480" w:lineRule="auto"/>
        <w:ind w:left="720" w:hanging="720"/>
        <w:jc w:val="both"/>
        <w:rPr>
          <w:rFonts w:ascii="Times New Roman" w:hAnsi="Times New Roman" w:eastAsia="Times New Roman" w:cs="Times New Roman"/>
          <w:sz w:val="24"/>
          <w:szCs w:val="24"/>
        </w:rPr>
      </w:pPr>
    </w:p>
    <w:p w14:paraId="50449157">
      <w:pPr>
        <w:spacing w:after="0" w:line="480" w:lineRule="auto"/>
        <w:jc w:val="both"/>
        <w:rPr>
          <w:rFonts w:hint="default" w:ascii="Times New Roman" w:hAnsi="Times New Roman" w:eastAsia="Times New Roman" w:cs="Times New Roman"/>
          <w:sz w:val="24"/>
          <w:szCs w:val="24"/>
          <w:lang w:val="en-US"/>
        </w:rPr>
      </w:pPr>
    </w:p>
    <w:p w14:paraId="28B859EF">
      <w:pPr>
        <w:spacing w:after="0" w:line="480" w:lineRule="auto"/>
        <w:jc w:val="both"/>
        <w:rPr>
          <w:rFonts w:hint="default" w:ascii="Times New Roman" w:hAnsi="Times New Roman" w:eastAsia="Times New Roman" w:cs="Times New Roman"/>
          <w:sz w:val="24"/>
          <w:szCs w:val="24"/>
          <w:lang w:val="en-US"/>
        </w:rPr>
      </w:pPr>
    </w:p>
    <w:p w14:paraId="6E471F0B">
      <w:pPr>
        <w:spacing w:after="0" w:line="480" w:lineRule="auto"/>
        <w:jc w:val="both"/>
        <w:rPr>
          <w:rFonts w:hint="default" w:ascii="Times New Roman" w:hAnsi="Times New Roman" w:eastAsia="Times New Roman" w:cs="Times New Roman"/>
          <w:sz w:val="24"/>
          <w:szCs w:val="24"/>
          <w:lang w:val="en-US"/>
        </w:rPr>
      </w:pPr>
    </w:p>
    <w:p w14:paraId="0A2FAA43">
      <w:pPr>
        <w:spacing w:after="0" w:line="480" w:lineRule="auto"/>
        <w:jc w:val="both"/>
        <w:rPr>
          <w:rFonts w:hint="default" w:ascii="Times New Roman" w:hAnsi="Times New Roman" w:eastAsia="Times New Roman" w:cs="Times New Roman"/>
          <w:sz w:val="24"/>
          <w:szCs w:val="24"/>
          <w:lang w:val="en-US"/>
        </w:rPr>
      </w:pPr>
    </w:p>
    <w:p w14:paraId="5EF4D09A">
      <w:pPr>
        <w:spacing w:after="0" w:line="480" w:lineRule="auto"/>
        <w:jc w:val="both"/>
        <w:rPr>
          <w:rFonts w:hint="default" w:ascii="Times New Roman" w:hAnsi="Times New Roman" w:eastAsia="Times New Roman" w:cs="Times New Roman"/>
          <w:sz w:val="24"/>
          <w:szCs w:val="24"/>
          <w:lang w:val="en-US"/>
        </w:rPr>
      </w:pPr>
    </w:p>
    <w:p w14:paraId="759A5BC2">
      <w:pPr>
        <w:spacing w:after="0" w:line="480" w:lineRule="auto"/>
        <w:jc w:val="both"/>
        <w:rPr>
          <w:rFonts w:hint="default" w:ascii="Times New Roman" w:hAnsi="Times New Roman" w:eastAsia="Times New Roman" w:cs="Times New Roman"/>
          <w:sz w:val="24"/>
          <w:szCs w:val="24"/>
          <w:lang w:val="en-US"/>
        </w:rPr>
      </w:pPr>
    </w:p>
    <w:p w14:paraId="5D51E0AD">
      <w:pPr>
        <w:spacing w:after="0" w:line="480" w:lineRule="auto"/>
        <w:jc w:val="both"/>
        <w:rPr>
          <w:rFonts w:hint="default" w:ascii="Times New Roman" w:hAnsi="Times New Roman" w:eastAsia="Times New Roman" w:cs="Times New Roman"/>
          <w:sz w:val="24"/>
          <w:szCs w:val="24"/>
          <w:lang w:val="en-US"/>
        </w:rPr>
      </w:pPr>
    </w:p>
    <w:p w14:paraId="44599D31">
      <w:pPr>
        <w:spacing w:after="0" w:line="480" w:lineRule="auto"/>
        <w:jc w:val="both"/>
        <w:rPr>
          <w:rFonts w:hint="default" w:ascii="Times New Roman" w:hAnsi="Times New Roman" w:eastAsia="Times New Roman" w:cs="Times New Roman"/>
          <w:sz w:val="24"/>
          <w:szCs w:val="24"/>
          <w:lang w:val="en-US"/>
        </w:rPr>
      </w:pPr>
    </w:p>
    <w:p w14:paraId="14AF60F8">
      <w:pPr>
        <w:spacing w:after="0" w:line="48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CHAPTER 2</w:t>
      </w:r>
    </w:p>
    <w:p w14:paraId="0BF900E3">
      <w:pPr>
        <w:spacing w:after="0" w:line="48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LITERATURE REVIEW</w:t>
      </w:r>
    </w:p>
    <w:p w14:paraId="17EB1439">
      <w:pPr>
        <w:spacing w:after="0" w:line="480" w:lineRule="auto"/>
        <w:jc w:val="left"/>
        <w:rPr>
          <w:rFonts w:hint="default" w:ascii="Times New Roman" w:hAnsi="Times New Roman" w:eastAsia="Times New Roman" w:cs="Times New Roman"/>
          <w:b/>
          <w:bCs/>
          <w:sz w:val="24"/>
          <w:szCs w:val="24"/>
          <w:lang w:val="en-US"/>
        </w:rPr>
      </w:pPr>
      <w:r>
        <w:rPr>
          <w:rFonts w:hint="default" w:eastAsia="Times New Roman" w:cs="Times New Roman"/>
          <w:b/>
          <w:bCs/>
          <w:sz w:val="24"/>
          <w:szCs w:val="24"/>
          <w:lang w:val="en-US"/>
        </w:rPr>
        <w:t>2.0 Literature review</w:t>
      </w:r>
    </w:p>
    <w:p w14:paraId="0D717DC9">
      <w:pPr>
        <w:keepNext w:val="0"/>
        <w:keepLines w:val="0"/>
        <w:widowControl/>
        <w:suppressLineNumbers w:val="0"/>
        <w:spacing w:line="480" w:lineRule="auto"/>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2.1 Introduction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chapter reviews the existing literature relevant to the virological outcomes of Isoniazid Preventive Therapy (IPT) among people living with HIV (PLHIV) receiving Tenofovir/Lamivudine/Dolutegravir (TLD)-based antiretroviral therapy. It examines the burden of tuberculosis (TB) and HIV co-infection, the rationale for the use of IPT in preventing active tuberculosis, and the pharmacological properties, efficacy, and safety profile of isoniazid. The chapter also discusses the pharmacology of dolutegravir-based antiretroviral therapy, potential pharmacokinetic interactions between isoniazid and dolutegravir, and the role of viral load monitoring in evaluating treatment response.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Furthermore, the chapter critically reviews available evidence on IPT uptake, treatment completion, and virological outcomes among PLHIV receiving concurrent IPT and antiretroviral therapy. Finally, it identifies important gaps in the current literature, particularly the limited evidence from Nigeria regarding the influence of IPT on virological outcomes among patients receiving TLD-based antiretroviral therapy. These gaps provide the scientific basis and justification for the present study.</w:t>
      </w:r>
    </w:p>
    <w:p w14:paraId="4B5CCB2A">
      <w:pPr>
        <w:keepNext w:val="0"/>
        <w:keepLines w:val="0"/>
        <w:widowControl/>
        <w:suppressLineNumbers w:val="0"/>
        <w:spacing w:line="480" w:lineRule="auto"/>
        <w:jc w:val="left"/>
        <w:rPr>
          <w:rFonts w:hint="default" w:ascii="Times New Roman" w:hAnsi="Times New Roman" w:cs="Times New Roman"/>
        </w:rPr>
      </w:pPr>
    </w:p>
    <w:p w14:paraId="44640FC8">
      <w:pPr>
        <w:spacing w:after="0" w:line="480" w:lineRule="auto"/>
        <w:jc w:val="center"/>
        <w:rPr>
          <w:rFonts w:hint="default" w:ascii="Times New Roman" w:hAnsi="Times New Roman" w:eastAsia="Times New Roman" w:cs="Times New Roman"/>
          <w:b/>
          <w:bCs/>
          <w:sz w:val="24"/>
          <w:szCs w:val="24"/>
          <w:lang w:val="en-US"/>
        </w:rPr>
      </w:pPr>
    </w:p>
    <w:p w14:paraId="0E704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2.2 Tuberculosis and HIV Co-infection: A Syndemic Overview</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Tuberculosis (TB) remains one of the leading causes of illness and death among people living with Human Immunodeficiency Virus (HIV), despite remarkable advances in antiretroviral therapy (ART). The interaction between the two diseases is often described as a syndemic because each disease worsens the progression and clinical outcome of the other. HIV weakens the immune system by progressively depleting CD4⁺ T lymphocytes, thereby increasing susceptibility to both primary tuberculosis infection and reactivation of latent infection. Conversely, active tuberculosis stimulates chronic immune activation and inflammation, which may accelerate HIV disease progression if left untreated (Bell and Noursadeghi, 2018).</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Sub-Saharan Africa continues to bear the greatest burden of TB/HIV co-infection due to the high prevalence of HIV infection and persistent transmission of Mycobacterium tuberculosis. In this region, tuberculosis remains the most common opportunistic infection among people living with HIV and a major contributor to HIV-related mortality. Delayed diagnosis, poverty, overcrowding, malnutrition, and limited access to healthcare services further sustain the burden of both diseases . The risk of developing active tuberculosis is substantially higher among people living with HIV than in the general population. Progressive immunosuppression, particularly declining CD4 cell counts, reduces the body’s ability to contain latent M. tuberculosis, increasing the likelihood of progression to active disease. Additional factors associated with tuberculosis among people living with HIV include undernutrition, anaemia, advanced HIV disease, poor adherence to antiretroviral therapy, and failure to receive tuberculosis preventive treatment. These factors contribute significantly to increased morbidity and mortality among affected individuals (Duko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the widespread use of ART has significantly reduced the incidence of tuberculosis among people living with HIV, ART alone does not completely eliminate the risk of developing active disease. Consequently, integrated TB/HIV services that combine early HIV diagnosis, prompt initiation of ART, routine tuberculosis screening, and tuberculosis preventive treatment are recommended to reduce the burden of co-infection and improve long-term clinical outcomes (Hamada et al., 2021).</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persistent burden of TB/HIV co-infection has important implications for HIV treatment programmes, particularly in high-burden countries such as Nigeria. Since tuberculosis remains a major cause of hospitalization and death among people receiving HIV care, preventive interventions such as Isoniazid Preventive Therapy (IPT) have become an essential component of comprehensive HIV management. Understanding the interaction between these two diseases therefore provides the clinical basis for evaluating whether tuberculosis preventive therapy influences virological outcomes among patients receiving modern dolutegravir-based antiretroviral therapy.</w:t>
      </w:r>
    </w:p>
    <w:p w14:paraId="53D727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7BA33C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79ACB8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2.3 Latent Tuberculosis Infection and the Rationale for Preventive Therapy</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Latent tuberculosis infection (LTBI) is a state in which an individual is infected with Mycobacterium tuberculosis but does not exhibit clinical signs or symptoms of active tuberculosis and cannot transmit the disease to others. During this phase, the bacilli remain dormant within the body and are kept under control by an intact cell-mediated immune response. However, when immune function becomes impaired, particularly in people living with HIV (PLHIV), latent infection may progress to active tuberculosis, resulting in increased morbidity and mortality (Cohen et al., 2019).</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People living with HIV are at a considerably higher risk of developing active tuberculosis because HIV progressively destroys CD4⁺ T lymphocytes, which play a crucial role in controlling M. tuberculosis. As immune function declines, the body’s ability to contain latent infection is weakened, making progression to active TB more likely. This risk increases further among individuals with advanced HIV disease, poor nutritional status, delayed initiation of antiretroviral therapy (ART), or previous exposure to tuberculosis (Martinez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high risk of tuberculosis among PLHIV has made tuberculosis preventive treatment an important component of comprehensive HIV care. Preventive therapy aims to eliminate dormant tubercle bacilli before they become active, thereby reducing the incidence of active TB, preventing TB-related complications, and improving long-term health outcomes. Several studies have demonstrated that TB preventive treatment significantly lowers the occurrence of active tuberculosis among PLHIV, particularly when combined with effective ART and good treatment adherence (Swindells et al., 2019).</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Among the available preventive regimens, isoniazid preventive therapy (IPT) remains one of the most widely implemented, especially in low- and middle-income countries with a high burden of HIV and tuberculosis. The standard regimen consists of daily isoniazid administered for six to nine months, usually alongside pyridoxine to reduce the risk of peripheral neuropathy. The effectiveness, affordability, and ease of implementation of IPT have made it an integral component of HIV treatment programmes in many resource-limited settings (Yeboah-Korang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IPT has been shown to reduce the incidence of active tuberculosis, concerns remain regarding treatment completion, adverse drug reactions, pill burden, and its possible influence on adherence to concomitant antiretroviral therapy. These concerns are particularly relevant in patients receiving modern dolutegravir-based regimens, where maintaining optimal adherence is essential for sustained viral suppression. Consequently, evaluating virological outcomes among PLHIV receiving concurrent IPT and TLD-based ART is important for determining whether the benefits of tuberculosis prevention are achieved without compromising HIV treatment outcomes.</w:t>
      </w:r>
    </w:p>
    <w:p w14:paraId="24A09E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6EA4C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65783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2.4 Pharmacology of Isoniazid and Its Preventive Efficacy</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Isoniazid (INH) is a first-line antitubercular agent that has remained the cornerstone of tuberculosis preventive therapy for several decades because of its proven efficacy against Mycobacterium tuberculosis. It is a synthetic nicotinic acid derivative with potent bactericidal activity against actively dividing mycobacteria and bacteriostatic activity against dormant organisms. Due to its effectiveness, affordability, and favourable safety profile, isoniazid remains the most widely used drug for the prevention of tuberculosis among people living with HIV (Nahid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Isoniazid is a prodrug that requires activation by the mycobacterial catalase-peroxidase enzyme, KatG. Following activation, it forms reactive metabolites that inhibit the enzyme enoyl-acyl carrier protein reductase (InhA), thereby blocking the synthesis of mycolic acids, which are essential components of the mycobacterial cell wall. Disruption of mycolic acid synthesis compromises cell wall integrity, leading to bacterial death and preventing the progression of latent infection to active tuberculosis (Vilchèze and Jacobs, 2019).</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Following oral administration, isoniazid is rapidly and almost completely absorbed from the gastrointestinal tract, with peak plasma concentrations usually attained within one to two hours. The drug distributes widely into body fluids and tissues, including the lungs, cerebrospinal fluid, and caseous lesions, making it effective against both pulmonary and extrapulmonary tuberculosis. Hepatic metabolism occurs primarily through N-acetyltransferase-2 (NAT2), and genetic polymorphisms in this enzyme produce slow and rapid acetylator phenotypes. Slow acetylators generally achieve higher plasma drug concentrations and are therefore more susceptible to dose-related toxicities, particularly hepatotoxicity and peripheral neuropathy (Alsultan and Peloquin, 2019).</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preventive efficacy of isoniazid has been demonstrated in several clinical studies involving people living with HIV. Tuberculosis preventive therapy substantially reduces the risk of progression from latent tuberculosis infection to active disease, particularly when administered alongside effective antiretroviral therapy. The protective effect is greatest in patients who complete the recommended course of therapy and maintain good adherence throughout treatment. Consequently, isoniazid preventive therapy has become an integral component of HIV care programmes in countries with a high burden of tuberculosis (Pease et al., 2017).</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isoniazid is generally well tolerated, preventive therapy should always be accompanied by regular clinical monitoring to ensure treatment completion and early detection of adverse drug reactions. Pyridoxine (vitamin B₆) supplementation is routinely co-administered during therapy to reduce the risk of peripheral neuropathy, particularly in patients with diabetes mellitus, malnutrition, pregnancy, alcoholism, renal impairment, or HIV infection, who are at greater risk of developing this complication (Nahid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Overall, the well-established pharmacological properties and demonstrated preventive efficacy of isoniazid have made it an indispensable component of tuberculosis prevention strategies among people living with HIV. Nevertheless, because IPT is administered concurrently with lifelong antiretroviral therapy, continuous evaluation of its safety and its influence on HIV treatment outcomes remains essential.</w:t>
      </w:r>
    </w:p>
    <w:p w14:paraId="5963F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6F0CC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08E882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08CD18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2.5 Isoniazid-Associated Hepatotoxicity and Adverse Drug Reactions</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isoniazid preventive therapy (IPT) is generally safe and well tolerated, adverse drug reactions remain an important factor affecting treatment adherence and completion, particularly among people living with HIV (PLHIV). Since IPT is administered to individuals without active tuberculosis, maintaining a favourable safety profile is essential to maximize its preventive benefits while minimizing treatment-related harm.</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most clinically significant adverse effect of isoniazid is drug-induced hepatotoxicity. Hepatotoxicity may present as asymptomatic elevation of liver enzymes or progress to symptomatic hepatitis characterized by anorexia, nausea, vomiting, malaise, right upper quadrant abdominal pain, jaundice, and, in severe cases, acute liver failure. The risk of hepatotoxicity is influenced by several factors, including increasing age, chronic liver disease, alcohol consumption, malnutrition, pregnancy, HIV infection, and genetic variations affecting drug metabolism. Because isoniazid is primarily metabolized by the hepatic enzyme N-acetyltransferase-2 (NAT2), individuals who are slow acetylators are more likely to accumulate toxic metabolites and develop liver injury (Tostmann et al., 2018).</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Peripheral neuropathy is another well-recognized adverse effect of isoniazid. It occurs because isoniazid interferes with pyridoxine (vitamin B₆) metabolism, resulting in functional vitamin B₆ deficiency and impaired neurotransmitter synthesis. Patients may present with numbness, tingling sensations, burning pain, or paraesthesia affecting the hands and feet. The risk is considerably higher among people living with HIV, individuals with diabetes mellitus, chronic kidney disease, malnutrition, pregnancy, and alcohol dependence. For this reason, pyridoxine supplementation is routinely recommended throughout IPT to reduce the occurrence of peripheral neuropathy (Conradie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Other adverse reactions associated with isoniazid include gastrointestinal disturbances such as nausea, vomiting, abdominal discomfort, and anorexia, which are usually mild and self-limiting. Less frequently reported reactions include skin rashes, fever, hypersensitivity reactions, lupus-like syndrome, optic neuritis, seizures, and psychiatric disturbances. Although these events occur less commonly, they may necessitate treatment interruption in susceptible individuals (Schito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occurrence of adverse drug reactions has important implications for treatment completion. Poor adherence resulting from medication-related toxicity reduces the effectiveness of tuberculosis preventive therapy and increases the likelihood of developing active tuberculosis. Among PLHIV receiving concurrent antiretroviral therapy, clinicians must also consider the cumulative burden of multiple medications and overlapping toxicities, particularly when other potentially hepatotoxic drugs are prescribed. Consequently, baseline clinical assessment, patient education, routine monitoring of liver function when indicated, and prompt recognition of adverse reactions are essential components of safe IPT administration (Hamada et al., 2021).</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Overall, the benefits of isoniazid preventive therapy substantially outweigh its risks when patients are appropriately selected, monitored, and supported throughout treatment. Early identification and management of adverse drug reactions improve treatment completion rates and help preserve the effectiveness of tuberculosis preventive therapy in people living with HIV.</w:t>
      </w:r>
    </w:p>
    <w:p w14:paraId="64D344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7834E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45FEA0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1A900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02AFE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2.6 Dolutegravir and TLD-Based Antiretroviral Therapy</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Dolutegravir (DTG) is a second-generation integrase strand transfer inhibitor (INSTI) that has become the preferred third agent in first-line antiretroviral therapy (ART) because of its potent antiviral activity, high genetic barrier to resistance, favourable safety profile, and limited drug-drug interactions. It is commonly co-formulated with tenofovir disoproxil fumarate (TDF) and lamivudine (3TC) as the fixed-dose combination known as TLD, which is administered once daily. The simplicity of this regimen has improved treatment adherence and contributed significantly to better virological outcomes among people living with HIV (PLHIV) (Orrell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Dolutegravir acts by selectively inhibiting the HIV integrase enzyme, preventing the strand transfer step required for the integration of viral DNA into the host cell genome. Without successful integration, viral replication cannot proceed, resulting in a rapid decline in plasma viral load. Tenofovir disoproxil fumarate and lamivudine are nucleoside reverse transcriptase inhibitors (NRTIs) that inhibit HIV reverse transcriptase by competing with endogenous nucleotides during viral DNA synthesis, leading to premature chain termination. The combination of these three agents targets different stages of the viral life cycle, thereby producing potent and durable viral suppression (Cahn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introduction of dolutegravir-based therapy has transformed HIV treatment programmes worldwide. Compared with earlier efavirenz-based regimens, TLD achieves faster viral suppression, lower rates of virological failure, improved tolerability, and reduced emergence of drug resistance. These advantages have resulted in widespread adoption of TLD as the preferred first-line regimen in many low- and middle-income countries, including Nigeria, where it forms the backbone of the national HIV treatment programme (Venter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Dolutegravir is generally well tolerated; however, several adverse effects have been reported during long-term use. Weight gain is the most frequently observed metabolic effect and appears to be more pronounced among women, treatment-naïve individuals, and patients switching from efavirenz-based regimens. Other reported adverse effects include insomnia, headache, dizziness, gastrointestinal disturbances, and, less commonly, neuropsychiatric symptoms such as anxiety or depression. Although these adverse effects are usually mild, they may influence medication adherence in some patients and therefore require routine clinical monitoring (McCann et al., 2021).</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From a pharmacokinetic perspective, dolutegravir has a relatively low potential for clinically significant drug-drug interactions. It is primarily metabolized by uridine diphosphate glucuronosyltransferase 1A1 (UGT1A1), with a minor contribution from cytochrome P450 3A4 (CYP3A4). Unlike several earlier antiretroviral agents, dolutegravir neither strongly induces nor inhibits hepatic drug-metabolizing enzymes, making it suitable for co-administration with many commonly prescribed medications. Nevertheless, careful evaluation remains necessary when dolutegravir is used alongside drugs employed for tuberculosis prevention and treatment because potential interactions or overlapping toxicities may influence treatment adherence and long-term virological outcomes (Moorhouse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excellent efficacy, favourable resistance profile, and convenient once-daily dosing of TLD have made it the current standard of care for HIV treatment. Consequently, understanding how concomitant therapies such as isoniazid preventive therapy may influence the effectiveness of TLD is important for optimizing patient outcomes in settings where HIV and tuberculosis frequently coexist.</w:t>
      </w:r>
    </w:p>
    <w:p w14:paraId="7D6797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4A0570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29EA17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4FC1F1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532A5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2.7 Pharmacokinetic Interaction Between Isoniazid and Dolutegravir</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People living with HIV (PLHIV) in tuberculosis-endemic regions frequently receive isoniazid preventive therapy (IPT) while taking dolutegravir-based antiretroviral therapy (TLD). Since both medications are administered over prolonged periods, understanding their pharmacokinetic compatibility is important for ensuring sustained viral suppression, preventing toxicity, and promoting treatment adherence.</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Dolutegravir is primarily metabolized through uridine diphosphate glucuronosyltransferase 1A1 (UGT1A1), with a minor contribution from cytochrome P450 3A4 (CYP3A4). In contrast, isoniazid undergoes hepatic metabolism mainly through N-acetyltransferase-2 (NAT2) and has inhibitory effects on several cytochrome P450 enzymes, particularly CYP2C19 and CYP3A. Because the principal metabolic pathways of the two drugs differ, clinically significant pharmacokinetic interactions are considered unlikely during routine co-administration (Liverpool Drug Interactions Group, 2024).</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Clinical pharmacokinetic studies have further supported the compatibility of dolutegravir with tuberculosis preventive therapy. In individuals receiving once-weekly rifapentine plus isoniazid (3HP), dolutegravir plasma concentrations remained above the therapeutic target despite a modest reduction in drug exposure. Importantly, viral suppression was maintained throughout treatment, indicating that standard dolutegravir dosing remains effective when administered alongside tuberculosis preventive therapy (Podany et al., 2019).</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direct pharmacokinetic interactions appear minimal, concurrent administration of IPT and TLD may still present important clinical considerations. Both regimens may contribute to adverse effects such as hepatotoxicity, gastrointestinal discomfort, and medication fatigue. These overlapping effects may reduce treatment adherence, particularly in patients receiving multiple long-term medications. Since adherence is a major determinant of virological suppression, indirect effects resulting from adverse drug reactions may have greater clinical significance than pharmacokinetic interactions themselves (Griesel et al., 2020).</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Another important consideration is genetic variability in drug metabolism. Individuals with the slow NAT2 acetylator phenotype exhibit prolonged exposure to isoniazid and are at increased risk of hepatotoxicity. Although this genetic variation has not been shown to alter dolutegravir pharmacokinetics directly, drug-related toxicity may contribute to poor adherence or treatment interruption, thereby compromising HIV treatment outcomes (Verma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Current evidence therefore suggests that isoniazid preventive therapy can be safely administered alongside dolutegravir-based antiretroviral therapy without routine dose adjustment. Nevertheless, regular clinical monitoring remains important to identify adverse drug reactions, reinforce adherence, and ensure that both tuberculosis prevention and HIV treatment goals are successfully achieved.</w:t>
      </w:r>
    </w:p>
    <w:p w14:paraId="516FDC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5DB972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7D479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2DFE0A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0B821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2.8 Virological Failure and Viral Suppression: Definitions and Monitoring</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primary goal of antiretroviral therapy (ART) is to achieve sustained viral suppression, restore immune function, reduce HIV-related morbidity and mortality, and prevent HIV transmission. Plasma HIV-1 RNA concentration, commonly referred to as viral load, is the most reliable laboratory marker for assessing the effectiveness of ART and monitoring treatment response. Successful viral suppression reflects adequate adherence to therapy and effective inhibition of viral replication (Eshun-Wilson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Viral suppression is generally defined as a plasma HIV RNA level below the limit of detection of standard laboratory assays, which is typically &lt;50 copies/mL. However, for programmatic monitoring, the World Health Organization and many national HIV programmes define virological failure as a persistent viral load of ≥1,000 copies/mL after at least six months of ART despite adherence support. This threshold minimizes unnecessary treatment switches while identifying patients at risk of treatment failure and drug resistance (Wijting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Between complete viral suppression and virological failure lies low-level viraemia (LLV), usually defined as a viral load between 50 and 999 copies/mL. Although patients with LLV may remain clinically stable, persistent low-level viraemia has been associated with an increased risk of subsequent virological failure, emergence of HIV drug resistance mutations, and poorer long-term treatment outcomes. Early identification of LLV therefore allows timely adherence counselling and closer clinical follow-up before treatment failure develops (Venter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Routine viral load monitoring has become the preferred strategy for evaluating treatment success because it detects virological failure earlier than immunological or clinical monitoring. Declining CD4 cell counts and the appearance of opportunistic infections often occur only after prolonged virological failure, making them relatively insensitive indicators of poor treatment response. Consequently, regular viral load testing enables clinicians to identify treatment failure promptly, reinforce adherence, investigate potential causes such as drug interactions or resistance, and initiate appropriate interventions when necessary (Nichols et al., 2021).</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Dolutegravir-based antiretroviral therapy has consistently demonstrated high rates of viral suppression across diverse patient populations. Its rapid antiviral activity, high genetic barrier to resistance, and favourable tolerability contribute to improved long-term treatment outcomes compared with older antiretroviral regimens. Nevertheless, sustained viral suppression depends not only on the intrinsic efficacy of ART but also on patient adherence, concurrent medications, comorbid conditions, and timely clinical monitoring. These factors become particularly relevant when additional therapies such as isoniazid preventive therapy are administered concurrently (Hill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Because viral load remains the most sensitive indicator of treatment response, it serves as the primary outcome measure in studies evaluating the effectiveness of concurrent IPT and TLD-based antiretroviral therapy. Assessing changes in viral load before and after IPT provides valuable evidence on whether tuberculosis preventive therapy influences HIV treatment outcomes or compromises sustained virological suppression.</w:t>
      </w:r>
    </w:p>
    <w:p w14:paraId="2962EA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pPr>
    </w:p>
    <w:p w14:paraId="6533AB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pPr>
    </w:p>
    <w:p w14:paraId="09CA91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t>2.9 IPT Uptake, Completion, and Virological Outcomes in People Living with HIV: The Evidence Gap</w:t>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b/>
          <w:bCs/>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Although isoniazid preventive therapy (IPT) is recommended as a key strategy for preventing tuberculosis among people living with HIV (PLHIV), its implementation remains inconsistent in many high-burden countries. Studies conducted across sub-Saharan Africa have shown that while initiation of IPT has improved over recent years, treatment completion remains below expected targets in many settings. Poor completion rates reduce the protective effect of IPT and increase the risk of progression from latent tuberculosis infection to active disease (Yirdaw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Several patient-, healthcare worker-, and health system-related factors have been reported to influence IPT uptake and completion. Common patient-related barriers include inadequate knowledge of the benefits of IPT, fear of adverse drug reactions, high pill burden, poor adherence to long-term medications, transportation costs, and HIV-related stigma. At the health system level, inconsistent drug supply, inadequate documentation, shortage of trained healthcare workers, and weak follow-up systems continue to affect successful implementation of IPT programmes (Alene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Despite these implementation challenges, available evidence indicates that IPT is generally safe and does not adversely affect HIV treatment outcomes when administered alongside effective antiretroviral therapy. Most published studies have primarily focused on the effectiveness of IPT in preventing active tuberculosis, treatment completion, or adverse drug reactions. Comparatively few studies have specifically examined virological outcomes among patients receiving concurrent IPT and dolutegravir-based antiretroviral therapy (TLD), even though viral suppression remains the principal indicator of successful HIV treatment (Taramasso et al., 2022).</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The introduction of dolutegravir-based ART has substantially improved rates of viral suppression worldwide because of its high antiviral potency, favourable tolerability, and high genetic barrier to resistance. However, in countries where tuberculosis and HIV frequently coexist, patients commonly receive additional medications such as isoniazid for tuberculosis prevention. Although current evidence suggests that clinically significant pharmacokinetic interactions between isoniazid and dolutegravir are unlikely, concerns remain regarding overlapping toxicities, increased pill burden, and the potential impact of these factors on medication adherence and sustained viral suppression (Boffito et al., 2023).</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In Nigeria, most published studies on IPT have concentrated on programme implementation, treatment uptake, adherence, and completion rates, while relatively little attention has been given to virological outcomes among PLHIV receiving concurrent IPT and TLD-based ART. Consequently, there is limited local evidence regarding whether tuberculosis preventive therapy influences viral suppression or virological failure in routine clinical practice.</w:t>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t>This knowledge gap highlights the need for further pharmacoepidemiological studies evaluating the virological outcomes of IPT among people living with HIV receiving TLD-based antiretroviral therapy. Findings from such studies will provide evidence to support clinical decision-making, strengthen tuberculosis preventive therapy programmes, and guide national HIV treatment policies aimed at improving patient outcomes.</w:t>
      </w:r>
    </w:p>
    <w:p w14:paraId="07099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kern w:val="0"/>
          <w:sz w:val="24"/>
          <w:szCs w:val="24"/>
          <w:bdr w:val="none" w:color="auto" w:sz="0" w:space="0"/>
          <w:shd w:val="clear" w:fill="FFFFFF"/>
          <w:lang w:val="en-US" w:eastAsia="zh-CN" w:bidi="ar"/>
        </w:rPr>
      </w:pPr>
    </w:p>
    <w:p w14:paraId="2F0C1D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5654139D">
      <w:pPr>
        <w:pStyle w:val="3"/>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cs="Times New Roman"/>
          <w:b/>
          <w:bCs/>
          <w:i w:val="0"/>
          <w:iCs w:val="0"/>
          <w:caps w:val="0"/>
          <w:color w:val="222222"/>
          <w:spacing w:val="0"/>
          <w:shd w:val="clear" w:fill="FFFFFF"/>
        </w:rPr>
        <w:t>LIST OF ABBREVIATIONS</w:t>
      </w:r>
    </w:p>
    <w:p w14:paraId="00AA73E0">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3HP – Three-month regimen of weekly Isoniazid and Rifapentine</w:t>
      </w:r>
    </w:p>
    <w:p w14:paraId="0C5C1D1F">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AIDS – Acquired Immunodeficiency Syndrome</w:t>
      </w:r>
    </w:p>
    <w:p w14:paraId="6B162FF8">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ALT – Alanine Aminotransferase</w:t>
      </w:r>
    </w:p>
    <w:p w14:paraId="67BFA51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ART – Antiretroviral Therapy</w:t>
      </w:r>
    </w:p>
    <w:p w14:paraId="773B03EB">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AST – Aspartate Aminotransferase</w:t>
      </w:r>
    </w:p>
    <w:p w14:paraId="1B64F9C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CD4 – Cluster of Differentiation 4</w:t>
      </w:r>
    </w:p>
    <w:p w14:paraId="7C3D510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CI – Confidence Interval</w:t>
      </w:r>
    </w:p>
    <w:p w14:paraId="521404E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CYP – Cytochrome P450</w:t>
      </w:r>
    </w:p>
    <w:p w14:paraId="2D2544A2">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DNA – Deoxyribonucleic Acid</w:t>
      </w:r>
    </w:p>
    <w:p w14:paraId="4654CFD0">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DTG – Dolutegravir</w:t>
      </w:r>
    </w:p>
    <w:p w14:paraId="1FD201C1">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HIV – Human Immunodeficiency Virus</w:t>
      </w:r>
    </w:p>
    <w:p w14:paraId="7FFC7112">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INH – Isoniazid</w:t>
      </w:r>
    </w:p>
    <w:p w14:paraId="766E62C0">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INSTI – Integrase Strand Transfer Inhibitor</w:t>
      </w:r>
    </w:p>
    <w:p w14:paraId="34BBBF15">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IPT – Isoniazid Preventive Therapy</w:t>
      </w:r>
    </w:p>
    <w:p w14:paraId="2D8B502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LLV – Low-Level Viraemia</w:t>
      </w:r>
    </w:p>
    <w:p w14:paraId="61803BB4">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LTBI – Latent Tuberculosis Infection</w:t>
      </w:r>
    </w:p>
    <w:p w14:paraId="0CA86FF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M. tuberculosis – </w:t>
      </w:r>
      <w:r>
        <w:rPr>
          <w:rFonts w:hint="default" w:ascii="Times New Roman" w:hAnsi="Times New Roman" w:eastAsia="Helvetica" w:cs="Times New Roman"/>
          <w:i/>
          <w:iCs/>
          <w:caps w:val="0"/>
          <w:color w:val="222222"/>
          <w:spacing w:val="0"/>
          <w:sz w:val="24"/>
          <w:szCs w:val="24"/>
          <w:shd w:val="clear" w:fill="FFFFFF"/>
        </w:rPr>
        <w:t>Mycobacterium tuberculosis</w:t>
      </w:r>
    </w:p>
    <w:p w14:paraId="27A6B540">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NAT2 – N-Acetyltransferase 2</w:t>
      </w:r>
    </w:p>
    <w:p w14:paraId="1A2ABEC8">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NRTI – Nucleoside Reverse Transcriptase Inhibitor</w:t>
      </w:r>
    </w:p>
    <w:p w14:paraId="45400EF3">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PLHIV – People Living with HIV</w:t>
      </w:r>
    </w:p>
    <w:p w14:paraId="39310471">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RNA – Ribonucleic Acid</w:t>
      </w:r>
    </w:p>
    <w:p w14:paraId="64796A4D">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TB – Tuberculosis</w:t>
      </w:r>
    </w:p>
    <w:p w14:paraId="27BC0AB4">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TDF – Tenofovir Disoproxil Fumarate</w:t>
      </w:r>
    </w:p>
    <w:p w14:paraId="6C747CD4">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TLD – Tenofovir Disoproxil Fumarate/Lamivudine/Dolutegravir</w:t>
      </w:r>
    </w:p>
    <w:p w14:paraId="7C82233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UGT1A1 – Uridine Diphosphate Glucuronosyltransferase 1A1</w:t>
      </w:r>
    </w:p>
    <w:p w14:paraId="6907857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VL – Viral Load</w:t>
      </w:r>
    </w:p>
    <w:p w14:paraId="06561041">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eastAsia="Helvetica" w:cs="Times New Roman"/>
          <w:i w:val="0"/>
          <w:iCs w:val="0"/>
          <w:caps w:val="0"/>
          <w:color w:val="222222"/>
          <w:spacing w:val="0"/>
          <w:sz w:val="24"/>
          <w:szCs w:val="24"/>
          <w:shd w:val="clear" w:fill="FFFFFF"/>
        </w:rPr>
        <w:t>WHO – World Health Organization</w:t>
      </w:r>
    </w:p>
    <w:p w14:paraId="26CCF70F">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p>
    <w:p w14:paraId="6AEE76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34B4F9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240" w:afterAutospacing="0" w:line="480" w:lineRule="auto"/>
        <w:ind w:left="0" w:right="0" w:firstLine="0"/>
        <w:jc w:val="left"/>
        <w:textAlignment w:val="bottom"/>
        <w:rPr>
          <w:rFonts w:hint="default" w:ascii="Times New Roman" w:hAnsi="Times New Roman" w:eastAsia="Helvetica" w:cs="Times New Roman"/>
          <w:i w:val="0"/>
          <w:iCs w:val="0"/>
          <w:caps w:val="0"/>
          <w:color w:val="222222"/>
          <w:spacing w:val="0"/>
          <w:sz w:val="24"/>
          <w:szCs w:val="24"/>
        </w:rPr>
      </w:pPr>
    </w:p>
    <w:p w14:paraId="57F0949C">
      <w:pPr>
        <w:pStyle w:val="2"/>
        <w:keepNext w:val="0"/>
        <w:keepLines w:val="0"/>
        <w:widowControl/>
        <w:suppressLineNumbers w:val="0"/>
        <w:spacing w:before="120" w:beforeAutospacing="0" w:after="240" w:afterAutospacing="0" w:line="480" w:lineRule="auto"/>
        <w:ind w:left="0" w:right="0"/>
        <w:rPr>
          <w:rFonts w:hint="default" w:ascii="Times New Roman" w:hAnsi="Times New Roman" w:cs="Times New Roman"/>
        </w:rPr>
      </w:pPr>
      <w:r>
        <w:rPr>
          <w:rFonts w:hint="default" w:ascii="Times New Roman" w:hAnsi="Times New Roman" w:cs="Times New Roman"/>
          <w:b/>
          <w:bCs/>
          <w:i w:val="0"/>
          <w:iCs w:val="0"/>
          <w:caps w:val="0"/>
          <w:color w:val="222222"/>
          <w:spacing w:val="0"/>
          <w:bdr w:val="none" w:color="auto" w:sz="0" w:space="0"/>
          <w:shd w:val="clear" w:fill="FFFFFF"/>
        </w:rPr>
        <w:t>REFERENCES </w:t>
      </w:r>
    </w:p>
    <w:p w14:paraId="7E76BF0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Alene, K.A., Wangdi, K., Clements, A.C.A. and Trauer, J.M. (2023) </w:t>
      </w:r>
      <w:r>
        <w:rPr>
          <w:rFonts w:hint="default" w:ascii="Times New Roman" w:hAnsi="Times New Roman" w:eastAsia="Helvetica" w:cs="Times New Roman"/>
          <w:b w:val="0"/>
          <w:bCs w:val="0"/>
          <w:i/>
          <w:iCs/>
          <w:caps w:val="0"/>
          <w:color w:val="222222"/>
          <w:spacing w:val="0"/>
          <w:sz w:val="24"/>
          <w:szCs w:val="24"/>
          <w:bdr w:val="none" w:color="auto" w:sz="0" w:space="0"/>
          <w:shd w:val="clear" w:fill="FFFFFF"/>
        </w:rPr>
        <w:t>Barriers and facilitators to tuberculosis preventive treatment among people living with HIV in high-burden settings: a systematic review</w:t>
      </w: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 International Journal of Infectious Diseases, 129, pp. 85–94.</w:t>
      </w:r>
    </w:p>
    <w:p w14:paraId="0502706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Alsultan, A. and Peloquin, C.A. (2019) ‘Therapeutic drug monitoring in the treatment of tuberculosis: an update’, Drugs, 79(13), pp. 1453–1469.</w:t>
      </w:r>
    </w:p>
    <w:p w14:paraId="6D3EA7FD">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Bell, L.C.K. and Noursadeghi, M. (2018) ‘Pathogenesis of HIV-1 and Mycobacterium tuberculosis co-infection’, Nature Reviews Microbiology, 16(2), pp. 80–90.</w:t>
      </w:r>
    </w:p>
    <w:p w14:paraId="3CB64D9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Boffito, M., Waters, L., Orkin, C. and Pozniak, A. (2023) ‘Drug–drug interactions between antiretroviral therapy and tuberculosis preventive treatment: current evidence and clinical implications’, Journal of the International AIDS Society, 26(4), e26091.</w:t>
      </w:r>
    </w:p>
    <w:p w14:paraId="59749581">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Cahn, P., Madero, J.S., Arribas, J.R., et al. (2022) ‘Durable efficacy of dolutegravir-based antiretroviral therapy in treatment-naïve adults’, The Lancet HIV, 9(8), pp. e547–e556.</w:t>
      </w:r>
    </w:p>
    <w:p w14:paraId="4A0D137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Cohen, A., Mathiasen, V.D., Schön, T. and Wejse, C. (2019) ‘The global prevalence of latent tuberculosis: a systematic review and meta-analysis’, European Respiratory Journal, 54(3), </w: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begin"/>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instrText xml:space="preserve"> HYPERLINK "https://mail.google.com/mail/u/0/" \l "inbox/tel:1900655" \t "https://mail.google.com/mail/u/0/" \l "inbox/_blank" </w:instrTex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separate"/>
      </w:r>
      <w:r>
        <w:rPr>
          <w:rStyle w:val="14"/>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t>1900655</w: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end"/>
      </w: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w:t>
      </w:r>
    </w:p>
    <w:p w14:paraId="7888E9E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Conradie, F., Diacon, A.H., Ngubane, N., et al. (2020) ‘Treatment of highly drug-resistant pulmonary tuberculosis’, New England Journal of Medicine, 382(10), pp. 893–902.</w:t>
      </w:r>
    </w:p>
    <w:p w14:paraId="24A2094A">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Duko, B., Bedaso, A., Ayano, G. and Yohannis, Z. (2020) ‘Risk factors for tuberculosis among people living with HIV/AIDS in sub-Saharan Africa: a systematic review and meta-analysis’, PLoS ONE, 15(5), e0233695.</w:t>
      </w:r>
    </w:p>
    <w:p w14:paraId="3A7001E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Eshun-Wilson, I., Balinda, S.N., Hsieh, E., et al. (2023) ‘Viral load monitoring and treatment outcomes among people receiving antiretroviral therapy: a systematic review’, The Lancet HIV, 10(5), pp. e310–e320.</w:t>
      </w:r>
    </w:p>
    <w:p w14:paraId="2C862AA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Griesel, R., Maartens, G., Chirehwa, M., et al. (2020) ‘Rifampicin and dolutegravir: pharmacokinetic interactions and clinical implications’, Clinical Infectious Diseases, 70(4), pp. 549–556.</w:t>
      </w:r>
    </w:p>
    <w:p w14:paraId="5784FA7E">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Hamada, Y., Getahun, H., Ford, N. and Kasaeva, T. (2021) ‘Tuberculosis prevention in people living with HIV: advances and remaining challenges’, The Lancet HIV, 8(6), pp. e379–e383.</w:t>
      </w:r>
    </w:p>
    <w:p w14:paraId="63647B9D">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Hill, A., Venter, F., Delaporte, E., et al. (2023) ‘Long-term effectiveness of dolutegravir-based antiretroviral therapy in low- and middle-income countries’, Current HIV/AIDS Reports, 20(2), pp. 75–84.</w:t>
      </w:r>
    </w:p>
    <w:p w14:paraId="6A53EAF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Liverpool Drug Interactions Group (2024) </w:t>
      </w:r>
      <w:r>
        <w:rPr>
          <w:rFonts w:hint="default" w:ascii="Times New Roman" w:hAnsi="Times New Roman" w:eastAsia="Helvetica" w:cs="Times New Roman"/>
          <w:b w:val="0"/>
          <w:bCs w:val="0"/>
          <w:i/>
          <w:iCs/>
          <w:caps w:val="0"/>
          <w:color w:val="222222"/>
          <w:spacing w:val="0"/>
          <w:sz w:val="24"/>
          <w:szCs w:val="24"/>
          <w:bdr w:val="none" w:color="auto" w:sz="0" w:space="0"/>
          <w:shd w:val="clear" w:fill="FFFFFF"/>
        </w:rPr>
        <w:t>HIV Drug Interactions</w:t>
      </w: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 University of Liverpool. Available at: </w: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begin"/>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instrText xml:space="preserve"> HYPERLINK "https://www.hiv-druginteractions.org/" \t "https://mail.google.com/mail/u/0/" \l "inbox/_blank" </w:instrTex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separate"/>
      </w:r>
      <w:r>
        <w:rPr>
          <w:rStyle w:val="14"/>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t>https://www.hiv-druginteractions.org</w:t>
      </w:r>
      <w:r>
        <w:rPr>
          <w:rFonts w:hint="default" w:ascii="Times New Roman" w:hAnsi="Times New Roman" w:eastAsia="Helvetica" w:cs="Times New Roman"/>
          <w:b w:val="0"/>
          <w:bCs w:val="0"/>
          <w:i w:val="0"/>
          <w:iCs w:val="0"/>
          <w:caps w:val="0"/>
          <w:color w:val="1155CC"/>
          <w:spacing w:val="0"/>
          <w:sz w:val="24"/>
          <w:szCs w:val="24"/>
          <w:bdr w:val="none" w:color="auto" w:sz="0" w:space="0"/>
          <w:shd w:val="clear" w:fill="FFFFFF"/>
        </w:rPr>
        <w:fldChar w:fldCharType="end"/>
      </w: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 </w:t>
      </w:r>
    </w:p>
    <w:p w14:paraId="5F2FF1C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Martinez, L., Shen, Y., Mupere, E., et al. (2020) ‘Transmission of Mycobacterium tuberculosis in households and the influence of HIV infection’, Clinical Infectious Diseases, 71(8), pp. 1925–1932.</w:t>
      </w:r>
    </w:p>
    <w:p w14:paraId="18B54F84">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McCann, K., Holmes, C.B., Raizes, E. and Cohn, J. (2021) ‘Safety and effectiveness of dolutegravir in low- and middle-income countries’, Current Opinion in HIV and AIDS, 16(4), pp. 209–216.</w:t>
      </w:r>
    </w:p>
    <w:p w14:paraId="4CB65A1C">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Moorhouse, M., Venter, F., Chersich, M., et al. (2022) ‘Dolutegravir in sub-Saharan Africa: implementation, effectiveness and safety’, Current Opinion in HIV and AIDS, 17(2), pp. 94–101.</w:t>
      </w:r>
    </w:p>
    <w:p w14:paraId="3EADEBB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Nahid, P., Mase, S.R., Migliori, G.B., et al. (2020) ‘Treatment of drug-susceptible tuberculosis: updated recommendations’, American Journal of Respiratory and Critical Care Medicine, 201(10), pp. e44–e68.</w:t>
      </w:r>
    </w:p>
    <w:p w14:paraId="3E6A0CF7">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Nichols, B.E., Girdwood, S.J., Crompton, T., et al. (2021) ‘Monitoring HIV treatment using viral load testing: a review of current evidence’, Current HIV/AIDS Reports, 18(2), pp. 87–96.</w:t>
      </w:r>
    </w:p>
    <w:p w14:paraId="40C2881B">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Orrell, C., Hagins, D.P., Belonosova, E., et al. (2023) ‘Dolutegravir-based first-line antiretroviral therapy: long-term efficacy and safety’, HIV Medicine, 24(3), pp. 221–231.</w:t>
      </w:r>
    </w:p>
    <w:p w14:paraId="4AD6DD43">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Pease, C., Hutton, B., Yazdi, F., et al. (2017) ‘Efficacy and completion rates of latent tuberculosis infection treatment: a systematic review’, BMC Infectious Diseases, 17, 321.</w:t>
      </w:r>
    </w:p>
    <w:p w14:paraId="1C3B4953">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Podany, A.T., Bao, Y., Swindells, S., et al. (2019) ‘Efavirenz and dolutegravir pharmacokinetics during coadministration with rifapentine and isoniazid for tuberculosis prevention’, Clinical Infectious Diseases, 69(8), pp. 1322–1327.</w:t>
      </w:r>
    </w:p>
    <w:p w14:paraId="5FD3202F">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Schito, M., Migliori, G.B., Fletcher, H.A., et al. (2020) ‘Perspectives on advances in tuberculosis diagnostics, drugs and vaccines’, Clinical Infectious Diseases, 71(Suppl. 2), pp. S102–S111.</w:t>
      </w:r>
    </w:p>
    <w:p w14:paraId="597AC972">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Swindells, S., Ramchandani, R., Gupta, A., et al. (2019) ‘One month of rifapentine plus isoniazid to prevent HIV-related tuberculosis’, New England Journal of Medicine, 380(11), pp. 1001–1011.</w:t>
      </w:r>
    </w:p>
    <w:p w14:paraId="48D409C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Taramasso, L., Riccardi, N., Di Biagio, A. and Rusconi, S. (2022) ‘Tuberculosis preventive therapy and antiretroviral treatment among people living with HIV: current evidence and future perspectives’, Infectious Disease Reports, 14(5), pp. 698–709.</w:t>
      </w:r>
    </w:p>
    <w:p w14:paraId="380F1801">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Tostmann, A., Boeree, M.J., Aarnoutse, R.E., et al. (2018) ‘Antituberculosis drug-induced hepatotoxicity: concise review’, Journal of Gastroenterology and Hepatology, 33(1), pp. 192–202.</w:t>
      </w:r>
    </w:p>
    <w:p w14:paraId="13B8D119">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Venter, W.D.F., Sokhela, S., Simmons, B., et al. (2022) ‘Clinical significance of low-level viraemia among adults receiving antiretroviral therapy’, The Lancet HIV, 9(11), pp. e767–e776.</w:t>
      </w:r>
    </w:p>
    <w:p w14:paraId="2EB8AA07">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Venter, W.D.F., Clayden, P., Serenata, C., et al. (2023) ‘The transition to dolutegravir-based antiretroviral therapy in low- and middle-income countries’, The Lancet HIV, 10(1), pp. e29–e38.</w:t>
      </w:r>
    </w:p>
    <w:p w14:paraId="73FCEA84">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Verma, R., Srivastava, S., Yadav, R., et al. (2022) ‘NAT2 polymorphisms and susceptibility to isoniazid-induced liver injury: a systematic review’, Pharmacogenomics, 23(5), pp. 305–318.</w:t>
      </w:r>
    </w:p>
    <w:p w14:paraId="7D6C5628">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Vilchèze, C. and Jacobs, W.R. (2019) ‘The mechanism of isoniazid killing: clarity through the scope of genetics’, Annual Review of Microbiology, 73, pp. 35–52.</w:t>
      </w:r>
    </w:p>
    <w:p w14:paraId="1ECC66F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Wijting, I., Rokx, C., Boucher, C. and Rijnders, B. (2022) ‘Virological failure and low-level viraemia in HIV infection: clinical implications’, Current Opinion in HIV and AIDS, 17(3), pp. 143–150.</w:t>
      </w:r>
    </w:p>
    <w:p w14:paraId="7C97EE86">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Yeboah-Korang, A., Owusu, M., Osei-Yeboah, J., et al. (2022) ‘Tuberculosis preventive treatment among people living with HIV in sub-Saharan Africa: implementation and outcomes’, BMC Public Health, 22, 1681.</w:t>
      </w:r>
    </w:p>
    <w:p w14:paraId="564116C0">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rPr>
      </w:pPr>
      <w:r>
        <w:rPr>
          <w:rFonts w:hint="default" w:ascii="Times New Roman" w:hAnsi="Times New Roman" w:eastAsia="Helvetica" w:cs="Times New Roman"/>
          <w:b w:val="0"/>
          <w:bCs w:val="0"/>
          <w:i w:val="0"/>
          <w:iCs w:val="0"/>
          <w:caps w:val="0"/>
          <w:color w:val="222222"/>
          <w:spacing w:val="0"/>
          <w:sz w:val="24"/>
          <w:szCs w:val="24"/>
          <w:bdr w:val="none" w:color="auto" w:sz="0" w:space="0"/>
          <w:shd w:val="clear" w:fill="FFFFFF"/>
        </w:rPr>
        <w:t>Yirdaw, K.D., Jerene, D., Gashu, Z., Habte, D. and Melaku, Y.A. (2022) ‘Completion of tuberculosis preventive treatment and associated factors among people living with HIV: a systematic review and meta-analysis’, BMC Infectious Diseases, 22, 874.</w:t>
      </w:r>
    </w:p>
    <w:p w14:paraId="2AA2E0CB">
      <w:pPr>
        <w:pStyle w:val="15"/>
        <w:keepNext w:val="0"/>
        <w:keepLines w:val="0"/>
        <w:widowControl/>
        <w:suppressLineNumbers w:val="0"/>
        <w:spacing w:before="120" w:beforeAutospacing="0" w:after="240" w:afterAutospacing="0" w:line="480" w:lineRule="auto"/>
        <w:ind w:left="0" w:right="0"/>
        <w:rPr>
          <w:rFonts w:hint="default" w:ascii="Times New Roman" w:hAnsi="Times New Roman" w:cs="Times New Roman"/>
          <w:b w:val="0"/>
          <w:bCs w:val="0"/>
          <w:lang w:val="en-US"/>
        </w:rPr>
      </w:pPr>
      <w:bookmarkStart w:id="0" w:name="_GoBack"/>
      <w:bookmarkEnd w:id="0"/>
    </w:p>
    <w:sectPr>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C80D28"/>
    <w:multiLevelType w:val="singleLevel"/>
    <w:tmpl w:val="6AC80D2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BF2FDA"/>
    <w:rsid w:val="37FF3F51"/>
    <w:rsid w:val="589455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TotalTime>35</TotalTime>
  <ScaleCrop>false</ScaleCrop>
  <LinksUpToDate>false</LinksUpToDate>
  <Application>WPS Office_12.2.0.23149_F1E327BC-269C-435d-A152-05C5408002CA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2026-07-14T07:38:00Z</dcterms:created>
  <dc:creator>Un-named</dc:creator>
  <cp:lastModifiedBy>Precious Olatimilehin</cp:lastModifiedBy>
  <dcterms:modified xsi:type="dcterms:W3CDTF">2026-07-19T19:35:51Z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8D54C123E0E9482DBECCD3AFD2B8CDD3_12</vt:lpwstr>
  </property>
</Properties>
</file>