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Seguimiento de practicas</w:t>
      </w:r>
    </w:p>
    <w:p>
      <w:r>
        <w:t>Formato para registrar actividades y evidencias de practicas preprofesionales.</w:t>
      </w:r>
    </w:p>
    <w:p>
      <w:pPr>
        <w:numPr>
          <w:ilvl w:val="0"/>
          <w:numId w:val="1"/>
        </w:numPr>
      </w:pPr>
      <w:r>
        <w:t>Documento académico institucional</w:t>
      </w:r>
    </w:p>
    <w:sectPr/>
  </w:body>
</w:document>
</file>