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tomografii CBCT)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tomografii stożkowej CBCT </w:t>
      </w:r>
      <w:r>
        <w:rPr>
          <w:rStyle w:val="Emphasis"/>
        </w:rPr>
        <w:t>(Cone Beam Computed Tomography — trójwymiarowe badanie obrazowe 3D, stosowane m.in. w stomatologii, chirurgii szczękowo-twarzowej, ortodoncji i implantologii)</w:t>
      </w:r>
      <w:r>
        <w:rPr/>
        <w:t xml:space="preserve">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najpierw wykonuje badanie fizykalne, a następnie własną tomografię CBCT; po wnikliwej analizie wcześniejszego badania CBCT stwierdza, że zmiana chorobowa (np. zapalenie okołowierzchołkowe, głęboka próchnica, resorpcja) była widoczna już w pierwotnym badaniu CBCT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CBCT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CBCT),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CBCT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 (fizykalnego i własnej tomografii CBCT),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badaniem CBCT,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w pierwotnym badaniu CBCT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nośnik z zapisem CBCT (DICOM),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