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Plan postępowania — sprawa nawrotu torbieli i kontroli CBCT</w:t>
      </w:r>
    </w:p>
    <w:p>
      <w:pPr>
        <w:pStyle w:val="BodyText"/>
        <w:bidi w:val="0"/>
        <w:rPr/>
      </w:pPr>
      <w:r>
        <w:rPr>
          <w:rStyle w:val="Strong"/>
        </w:rPr>
        <w:t>Stan planu:</w:t>
      </w:r>
      <w:r>
        <w:rPr/>
        <w:t xml:space="preserve"> 13.10.2026 </w:t>
      </w:r>
      <w:r>
        <w:rPr>
          <w:rStyle w:val="Strong"/>
        </w:rPr>
        <w:t>Status sprawy:</w:t>
      </w:r>
      <w:r>
        <w:rPr/>
        <w:t xml:space="preserve"> dokumentacja i porównanie badań do zebrania. Na tym etapie nie przesądzamy, czy nawrót był widoczny 04.08.2026 ani czy doszło do błędu.</w:t>
      </w:r>
    </w:p>
    <w:p>
      <w:pPr>
        <w:pStyle w:val="BodyText"/>
        <w:bidi w:val="0"/>
        <w:rPr/>
      </w:pPr>
      <w:r>
        <w:rPr/>
        <w:t>Ta lista jest roboczym planem dla pacjentki. Zaznaczaj zadania dopiero po ich wykonaniu i zapisuj datę wysłania lub otrzymania dokumentu. Nie odkładaj zaleconego leczenia w oczekiwaniu na dokumentację lub opinię.</w:t>
      </w:r>
    </w:p>
    <w:p>
      <w:pPr>
        <w:pStyle w:val="Heading2"/>
        <w:bidi w:val="0"/>
        <w:jc w:val="start"/>
        <w:rPr/>
      </w:pPr>
      <w:r>
        <w:rPr/>
        <w:t>A. Teraz — leczenie, dokumenty i zabezpieczenie dowodów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</w:t>
      </w:r>
      <w:r>
        <w:rPr>
          <w:rStyle w:val="Strong"/>
        </w:rPr>
        <w:t>Potwierdzić dalszy przebieg leczenia w Gabinecie nr 2.</w:t>
      </w:r>
      <w:r>
        <w:rPr/>
        <w:t xml:space="preserve"> Czy ponowna resekcja i wyłuszczenie torbieli już się odbyły? Jeśli tak, zapisać datę i uzyskać dokumentację zabiegu, zalecenia, recepty, rachunki oraz wynik badania histopatologicznego, jeśli materiał wysłano do badania.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Wysłać do </w:t>
      </w:r>
      <w:r>
        <w:rPr>
          <w:rStyle w:val="Strong"/>
        </w:rPr>
        <w:t>Gabinetu nr 1</w:t>
      </w:r>
      <w:r>
        <w:rPr/>
        <w:t xml:space="preserve"> wniosek o całą dokumentację dotyczącą leczenia okolicy zębów 11 i 12: dokumentację zabiegu z 14.01.2021, kontrole, wpis z 04.08.2026, zalecenia, opisy badań, nazwiska osób badających/opisujących oraz dostępne pliki CBCT/DICOM z 2020/2021, 2023 i 04.08.2026.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 tym samym piśmie poprosić Gabinet nr 1 o informacje o umowie OC obejmującej wizytę 04.08.2026: ubezpieczyciel, numer i okres polisy oraz suma gwarancyjna.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Wysłać do </w:t>
      </w:r>
      <w:r>
        <w:rPr>
          <w:rStyle w:val="Strong"/>
        </w:rPr>
        <w:t>Gabinetu nr 2</w:t>
      </w:r>
      <w:r>
        <w:rPr/>
        <w:t xml:space="preserve"> osobny wniosek o dokumentację wizyty 25.09.2026: badanie, rozpoznanie ropnia i nawrotu, zapis nacięcia ropnia, receptę, opis CBCT i dostępny DICOM, plan/kosztorys oraz późniejszą dokumentację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dowód złożenia każdego wniosku i odnotować datę doręczenia. Pierwsze udostępnienie dokumentacji w zakresie i formach wskazanych w art. 28 ust. 2a jest bezpłatne; dokumentację udostępnia się bez zbędnej zwłoki. Nie ma ogólnego ustawowego terminu 14 dni roboczych.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w niezmienionej postaci wszystkie oryginalne pliki obrazowe, płyty i dokumenty. Zrobić kopię zapasową, ale nie nadpisywać źródłowych plików DICOM.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Prowadzić krótką chronologię objawów i leczenia: daty, obrzęk, ból (jeśli występował), leki, wizyty i zalecenia. Zachować zdjęcia z datami, rachunki za badania, leczenie, leki i dojazdy. </w:t>
      </w:r>
    </w:p>
    <w:p>
      <w:pPr>
        <w:pStyle w:val="Heading2"/>
        <w:bidi w:val="0"/>
        <w:jc w:val="start"/>
        <w:rPr/>
      </w:pPr>
      <w:r>
        <w:rPr/>
        <w:t>B. Po otrzymaniu dokumentacji — ustalenie, co pokazują badania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Gabinet nr 1 ma wpis z 04.08.2026, pisemny opis CBCT i zalecenie kontroli za rok. Zanotować, kto wykonał badanie, kto je ocenił i co zapisano.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uzyskano kompletne badania CBCT w formacie umożliwiającym porównanie, zwłaszcza z 04.08.2026 i 25.09.2026. Uzupełnić wcześniejsze badanie z 2023 r., jeśli jest dostępne.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Poprosić lekarza z odpowiednimi kwalifikacjami lub niezależnego specjalistę o osobną pisemną ocenę porównawczą. Pytania do oceny: czy zmiana była widoczna 04.08.2026, czy wymagała wtedy dalszej diagnostyki/leczenia i czy opóźnienie mogło wpłynąć na ropień, dolegliwości, zakres leczenia albo koszty.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Poprosić Gabinet nr 2 o plan leczenia i kosztorys na piśmie oraz dokumentację faktycznie wykonanych procedur. Prośba o sporządzenie nowej opinii jest odrębna od prawa do otrzymania istniejącej dokumentacji.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W razie rozbieżności między opisem, wpisem a ustną informacją poprosić placówkę o wyjaśnienie na piśmie. Nie poprawiać ani nie uzupełniać samodzielnie dokumentacji medycznej. </w:t>
      </w:r>
    </w:p>
    <w:p>
      <w:pPr>
        <w:pStyle w:val="Heading2"/>
        <w:bidi w:val="0"/>
        <w:jc w:val="start"/>
        <w:rPr/>
      </w:pPr>
      <w:r>
        <w:rPr/>
        <w:t>C. Po wstępnej ocenie dowodów — przygotowanie roszczenia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Ustalić, kto udzielał świadczenia 04.08.2026 i kto powinien być adresatem roszczenia: ubezpieczyciel, podmiot leczniczy, lekarz lub właściwe podmioty. Sama praca w gabinecie nie przesądza automatycznie, kto odpowiada.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Sporządzić krótką tabelę kosztów: data, wydatek, kwota, dowód zapłaty i związek z leczeniem. Oddzielić poniesione koszty od planowanych.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Ustalić, które następstwa można powiązać z opóźnionym rozpoznaniem. Nie zakładać automatycznie, że cały koszt leczenia nawrotu powstał przez wizytę z 04.08.2026.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Uzupełnić projekt zgłoszenia szkody faktami potwierdzonymi dokumentami. Opisać ocenę z 04.08 jako ustny przekaz, jeżeli nie ma jej w karcie. Kwestie sporne przedstawić jako zarzuty/wnioski do zbadania, a nie jako ustalone fakty.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Dołączyć dokumentację, porównanie CBCT, rachunki, plan i kosztorys leczenia oraz dowody dolegliwości — wyłącznie w zakresie, który rzeczywiście dotyczy pacjentki.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Jeśli nie ma jeszcze wszystkich dokumentów, można rozważyć zgłoszenie szkody i późniejsze uzupełnienie materiału; zachować potwierdzenie doręczenia. Art. 819 § 4 KC dotyczy przerwania biegu przedawnienia roszczenia wobec ubezpieczyciela, nie należy traktować go jako automatycznego zabezpieczenia wszystkich roszczeń wobec innych podmiotów. </w:t>
      </w:r>
    </w:p>
    <w:p>
      <w:pPr>
        <w:pStyle w:val="Heading2"/>
        <w:bidi w:val="0"/>
        <w:jc w:val="start"/>
        <w:rPr/>
      </w:pPr>
      <w:r>
        <w:rPr/>
        <w:t>D. Po odpowiedzi ubezpieczyciela lub placówki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decyzję, uzasadnienie, korespondencję i datę jej otrzymania.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ubezpieczyciel odniósł się do każdego dowodu i wypłacił ewentualną część bezsporną. Termin 30 dni nie oznacza bezwarunkowej wypłaty całej żądanej kwoty; ustawa przewiduje też sytuacje, w których ustalenie odpowiedzialności lub kwoty trwa dłużej.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 razie odmowy lub sporu co do przyczynowości uzupełnić dowody i rozważyć konsultację z adwokatem/radcą prawnym. Rzecznik Finansowy może być właściwy po przejściu procedury reklamacyjnej u ubezpieczyciela.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Daty przedawnienia ustalać na podstawie konkretnych faktów i rodzaju roszczenia; nie przyjmować z góry, że termin zawsze zaczyna się w dniu wizyty weryfikacyjnej. </w:t>
      </w:r>
    </w:p>
    <w:p>
      <w:pPr>
        <w:pStyle w:val="Heading2"/>
        <w:bidi w:val="0"/>
        <w:jc w:val="start"/>
        <w:rPr/>
      </w:pPr>
      <w:r>
        <w:rPr/>
        <w:t>E. Rejestr korespondencji</w:t>
      </w:r>
    </w:p>
    <w:tbl>
      <w:tblPr>
        <w:tblW w:w="60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71"/>
        <w:gridCol w:w="1501"/>
        <w:gridCol w:w="1441"/>
        <w:gridCol w:w="976"/>
        <w:gridCol w:w="1561"/>
      </w:tblGrid>
      <w:tr>
        <w:trPr>
          <w:tblHeader w:val="true"/>
        </w:trPr>
        <w:tc>
          <w:tcPr>
            <w:tcW w:w="5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Data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Do kogo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Pismo / dokument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Sposób wysłania</w:t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Potwierdzenie / odpowiedź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Gabinet nr 1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Dokumentacja + dane OC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Gabinet nr 2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Dokumentacja wizyty i leczenia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Lekarz/specjalista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Prośba o porównanie CBCT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Ubezpieczyciel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Zgłoszenie szkody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start"/>
        <w:rPr/>
      </w:pPr>
      <w:r>
        <w:rPr/>
        <w:t>Dokumenty w repozytorium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2">
        <w:r>
          <w:rPr>
            <w:rStyle w:val="Hyperlink"/>
          </w:rPr>
          <w:t>Poradnik sprawy — strona HTML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3">
        <w:r>
          <w:rPr>
            <w:rStyle w:val="Hyperlink"/>
          </w:rPr>
          <w:t>Historia pacjentki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4">
        <w:r>
          <w:rPr>
            <w:rStyle w:val="Hyperlink"/>
          </w:rPr>
          <w:t>Wniosek o dokumentację i dane OC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5">
        <w:r>
          <w:rPr>
            <w:rStyle w:val="Hyperlink"/>
          </w:rPr>
          <w:t>Robocze zgłoszenie szkody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hyperlink r:id="rId6">
        <w:r>
          <w:rPr>
            <w:rStyle w:val="Hyperlink"/>
          </w:rPr>
          <w:t>Ogólny szablon zgłoszenia szkody</w:t>
        </w:r>
      </w:hyperlink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Podstawy prawne — teksty oficjalne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7">
        <w:r>
          <w:rPr>
            <w:rStyle w:val="Hyperlink"/>
          </w:rPr>
          <w:t>Ustawa o prawach pacjenta — Dz.U. 2024 poz. 581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8">
        <w:r>
          <w:rPr>
            <w:rStyle w:val="Hyperlink"/>
          </w:rPr>
          <w:t>Ustawa o działalności leczniczej — t.j. Dz.U. 2026 poz. 156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9">
        <w:r>
          <w:rPr>
            <w:rStyle w:val="Hyperlink"/>
          </w:rPr>
          <w:t>Ustawa o ubezpieczeniach obowiązkowych — t.j. Dz.U. 2026 poz. 783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10">
        <w:r>
          <w:rPr>
            <w:rStyle w:val="Hyperlink"/>
          </w:rPr>
          <w:t>Kodeks cywilny — t.j. Dz.U. 2026 poz. 795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hyperlink r:id="rId11">
        <w:r>
          <w:rPr>
            <w:rStyle w:val="Hyperlink"/>
          </w:rPr>
          <w:t>Ustawa o zawodach lekarza i lekarza dentysty — t.j. Dz.U. 2026 poz. 37</w:t>
        </w:r>
      </w:hyperlink>
      <w:r>
        <w:rPr/>
        <w:t xml:space="preserve"> </w:t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Plan jest pomocą organizacyjną, nie poradą prawną ani medyczną. Zmiany stanu sprawy dopisuj z datą i źródłem informacji.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tmp/dentysta_build/poradnik-sprawy.html" TargetMode="External"/><Relationship Id="rId3" Type="http://schemas.openxmlformats.org/officeDocument/2006/relationships/hyperlink" Target="../../../../../../tmp/dentysta_build/notatki-przypadek.md" TargetMode="External"/><Relationship Id="rId4" Type="http://schemas.openxmlformats.org/officeDocument/2006/relationships/hyperlink" Target="../../../../../../tmp/dentysta_build/wniosek-dokumentacja-papierowa.md" TargetMode="External"/><Relationship Id="rId5" Type="http://schemas.openxmlformats.org/officeDocument/2006/relationships/hyperlink" Target="../../../../../../tmp/dentysta_build/wniosek-odszkodowanie-OC-dentysty-ROBOCZY.md" TargetMode="External"/><Relationship Id="rId6" Type="http://schemas.openxmlformats.org/officeDocument/2006/relationships/hyperlink" Target="../../../../../../tmp/dentysta_build/wniosek-odszkodowanie-OC-dentysty.md" TargetMode="External"/><Relationship Id="rId7" Type="http://schemas.openxmlformats.org/officeDocument/2006/relationships/hyperlink" Target="https://eli.gov.pl/api/acts/DU/2024/581/text.html" TargetMode="External"/><Relationship Id="rId8" Type="http://schemas.openxmlformats.org/officeDocument/2006/relationships/hyperlink" Target="https://eli.gov.pl/api/acts/DU/2026/156/text.pdf" TargetMode="External"/><Relationship Id="rId9" Type="http://schemas.openxmlformats.org/officeDocument/2006/relationships/hyperlink" Target="https://eli.gov.pl/api/acts/DU/2026/783/text.pdf" TargetMode="External"/><Relationship Id="rId10" Type="http://schemas.openxmlformats.org/officeDocument/2006/relationships/hyperlink" Target="https://eli.gov.pl/api/acts/DU/2026/795/text.pdf" TargetMode="External"/><Relationship Id="rId11" Type="http://schemas.openxmlformats.org/officeDocument/2006/relationships/hyperlink" Target="https://eli.gov.pl/api/acts/DU/2026/37/text/O/D20260037.pdf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Plan postępowania — lista zadań i rejestr korespondencji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