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Poradnik prawno-praktyczny: błąd diagnostyczny dentysty (zaniechanie na RTG) — OC, procedura, dokumenty</w:t>
      </w:r>
    </w:p>
    <w:p>
      <w:pPr>
        <w:pStyle w:val="Heading1"/>
        <w:bidi w:val="0"/>
        <w:rPr/>
      </w:pPr>
      <w:r>
        <w:rPr/>
        <w:t>Stan prawny: 2026 r. Niniejszy materiał ma charakter informacyjny i edukacyjny, nie stanowi indywidualnej porady prawnej.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1. Wstęp i typowy schemat sprawy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Zdarzenie pierwotne:</w:t>
      </w:r>
      <w:r>
        <w:rPr/>
        <w:t xml:space="preserve"> Wykonanie badania RTG (pantomogram / punktowe) u pierwszego dentysty — lekarz stwierdza brak zmian chorobowych i brak konieczności leczenia.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Wizyta weryfikacyjna / kontrolna:</w:t>
      </w:r>
      <w:r>
        <w:rPr/>
        <w:t xml:space="preserve"> Kolejny lekarz dentysta w trakcie badania i ponownej oceny wcześniejszego zdjęcia RTG stwierdza, że zmiana chorobowa (np. zapalenie okołowierzchołkowe, głęboka próchnica, resorpcja) była widoczna już na pierwotnym zdjęciu RTG i powinna być leczona od razu.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Skutek zaniechania:</w:t>
      </w:r>
      <w:r>
        <w:rPr/>
        <w:t xml:space="preserve"> Rozwój stanu zapalnego, obrzęk twarzy, silne dolegliwości bólowe, konieczność inwazyjnego leczenia (endodoncja mikroskopowa, zabieg chirurgiczny, powikłania) i wysokie koszty leczenia naprawczego.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Zasada odpowiedzialności:</w:t>
      </w:r>
      <w:r>
        <w:rPr/>
        <w:t xml:space="preserve"> Prawidłowe odczytanie RTG i wdrożenie leczenia w terminie pierwotnym zapobiegłoby rozwojowi powikłań, bólowi i znacząco obniżyłoby koszty. Zaniechanie diagnostyczno-terapeutyczne stanowi błąd w sztuce medycznej.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2. Jak działa obowiązkowe ubezpieczenie OC lekarza i podmiotu leczniczego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25 ustawy z dnia 15 kwietnia 2011 r. o działalności leczniczej oraz Rozporządzenie Ministra Finansów z dnia 29 kwietnia 2019 r. w sprawie obowiązkowego ubezpieczenia odpowiedzialności cywilnej podmiotu wykonującego działalność leczniczą (t.j. Dz.U. 2025 poz. 272). Każdy podmiot wykonujący działalność leczniczą oraz lekarz z indywidualną praktyką musi posiadać ważną polisę OC.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Zakres ochrony:</w:t>
      </w:r>
      <w:r>
        <w:rPr/>
        <w:t xml:space="preserve"> Szkody na osobie wyrządzone działaniem </w:t>
      </w:r>
      <w:r>
        <w:rPr>
          <w:rStyle w:val="Strong"/>
        </w:rPr>
        <w:t>lub bezprawnym zaniechaniem</w:t>
      </w:r>
      <w:r>
        <w:rPr/>
        <w:t xml:space="preserve"> ubezpieczonego w okresie trwania ochrony. Obejmuje błędy diagnostyczne (nieprawidłowy odczyt RTG), błędy terapeutyczne i opóźnienie leczenia. Ubezpieczyciel nie może umownie wyłączyć ustawowego zakresu ochrony.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Minimalne sumy gwarancyjne (2026 r.):</w:t>
      </w:r>
      <w:r>
        <w:rPr/>
        <w:t xml:space="preserve"> Dla indywidualnej praktyki lekarskiej/dentystycznej wynoszą minimum </w:t>
      </w:r>
      <w:r>
        <w:rPr>
          <w:rStyle w:val="Strong"/>
        </w:rPr>
        <w:t>75 000 EUR na jedno zdarzenie</w:t>
      </w:r>
      <w:r>
        <w:rPr/>
        <w:t xml:space="preserve"> oraz </w:t>
      </w:r>
      <w:r>
        <w:rPr>
          <w:rStyle w:val="Strong"/>
        </w:rPr>
        <w:t>350 000 EUR na wszystkie zdarzenia</w:t>
      </w:r>
      <w:r>
        <w:rPr/>
        <w:t xml:space="preserve"> w okresie ubezpieczenia (tj. ok. 320 000 zł na pojedynczą szkodę). Zdecydowana większość roszczeń stomatologicznych mieści się w tej kwocie.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Bezpośrednie roszczenie do ubezpieczyciela (</w:t>
      </w:r>
      <w:r>
        <w:rPr>
          <w:rStyle w:val="Emphasis"/>
        </w:rPr>
        <w:t>actio directa</w:t>
      </w:r>
      <w:r>
        <w:rPr>
          <w:rStyle w:val="Strong"/>
        </w:rPr>
        <w:t>):</w:t>
      </w:r>
      <w:r>
        <w:rPr/>
        <w:t xml:space="preserve"> Zgodnie z art. 822 § 4 Kodeksu cywilnego (KC) poszkodowany może dochodzić roszczenia bezpośrednio od zakładu ubezpieczeń, w którym sprawca jest ubezpieczony. Nie ma konieczności wcześniejszego pozywania lekarza ani uzyskiwania wyroku sądowego.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Obowiązek wskazania ubezpieczyciela:</w:t>
      </w:r>
      <w:r>
        <w:rPr/>
        <w:t xml:space="preserve"> Zgodnie z art. 14 ust. 2 pkt 2 ustawy o działalności leczniczej pacjent ma prawo do informacji o danych ubezpieczyciela OC i numerze polisy podmiotu leczniczego.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Termin likwidacji szkody:</w:t>
      </w:r>
      <w:r>
        <w:rPr/>
        <w:t xml:space="preserve"> Zgodnie z art. 14 ust. 1 i 2 ustawy z dnia 22 maja 2003 r. o ubezpieczeniach obowiązkowych, UFG i PBUK oraz art. 817 KC, zakład ubezpieczeń ma </w:t>
      </w:r>
      <w:r>
        <w:rPr>
          <w:rStyle w:val="Strong"/>
        </w:rPr>
        <w:t>30 dni</w:t>
      </w:r>
      <w:r>
        <w:rPr/>
        <w:t xml:space="preserve"> na wypłatę odszkodowania od dnia złożenia zawiadomienia o szkodzie (w sprawach skomplikowanych termin może ulec wydłużeniu, lecz bezsporna część musi zostać wypłacona w terminie 30 dni).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Czego można żądać: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Odszkodowanie (art. 444 § 1 KC):</w:t>
      </w:r>
      <w:r>
        <w:rPr/>
        <w:t xml:space="preserve"> Pokrycie wszelkich kosztów wynikłych z uszkodzenia ciała lub rozstroju zdrowia (leczenie naprawcze, zabiegi, leki, dojazdy, badania diagnostyczne, konsultacje). Jeżeli leczenie jest planowane, pacjent ma prawo żądać </w:t>
      </w:r>
      <w:r>
        <w:rPr>
          <w:rStyle w:val="Strong"/>
        </w:rPr>
        <w:t>wyłożenia z góry sumy potrzebnej na koszty leczenia</w:t>
      </w:r>
      <w:r>
        <w:rPr/>
        <w:t xml:space="preserve"> (art. 444 § 1 zd. 2 KC) na podstawie kosztorysu/planu leczenia.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Zadośćuczynienie pieniężne za doznaną krzywdę (art. 445 § 1 w zw. z art. 444 KC):</w:t>
      </w:r>
      <w:r>
        <w:rPr/>
        <w:t xml:space="preserve"> Jednorazowa rekompensata za cierpienia fizyczne i psychiczne (ból, obrzęk i zniekształcenie twarzy, stres, nieprzespane noce, lęk przed zabiegami, absencja w pracy).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Przedawnienie:</w:t>
      </w:r>
      <w:r>
        <w:rPr/>
        <w:t xml:space="preserve"> Roszczenia o naprawienie szkody na osobie wyrządzonej czynem niedozwolonym przedawniają się z upływem </w:t>
      </w:r>
      <w:r>
        <w:rPr>
          <w:rStyle w:val="Strong"/>
        </w:rPr>
        <w:t>3 lat od dnia, w którym poszkodowany dowiedział się albo przy zachowaniu należytej staranności mógł się dowiedzieć o szkodzie i o osobie obowiązanej do jej naprawienia</w:t>
      </w:r>
      <w:r>
        <w:rPr/>
        <w:t xml:space="preserve"> (art. 442¹ § 1 i § 3 KC). Momentem powzięcia wiedzy jest zazwyczaj data konsultacji weryfikacyjnej, a nie pierwotne błędne badanie. Zgodnie z art. 819 § 4 KC zgłoszenie ubezpieczycielowi roszczenia przerywa bieg przedawnienia.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3. Dostęp do dokumentacji medycznej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Podstawa prawna:</w:t>
      </w:r>
      <w:r>
        <w:rPr/>
        <w:t xml:space="preserve"> Art. 26–28 ustawy z dnia 6 listopada 2008 r. o prawach pacjenta i Rzeczniku Praw Pacjenta.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Zasada:</w:t>
      </w:r>
      <w:r>
        <w:rPr/>
        <w:t xml:space="preserve"> Podmiot leczniczy ma prawny obowiązek udostępnić dokumentację medyczną pacjentowi </w:t>
      </w:r>
      <w:r>
        <w:rPr>
          <w:rStyle w:val="Strong"/>
        </w:rPr>
        <w:t>bez zbędnej zwłoki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Forma:</w:t>
      </w:r>
      <w:r>
        <w:rPr/>
        <w:t xml:space="preserve"> Kopia, odpis, wyciąg, wydruk, a w przypadku badań obrazowych — zapis na informatycznym nośniku danych (płyta CD/DVD/pendrive) lub udostępnienie w systemie teleinformatycznym.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Koszty:</w:t>
      </w:r>
      <w:r>
        <w:rPr/>
        <w:t xml:space="preserve"> Zgodnie z art. 28 ust. 2a ustawy o prawach pacjenta,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 dla pacjenta lub jego przedstawiciela ustawowego.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4. Procedura działania krok po kroku</w:t>
      </w:r>
    </w:p>
    <w:p>
      <w:pPr>
        <w:pStyle w:val="Heading3"/>
        <w:bidi w:val="0"/>
        <w:jc w:val="start"/>
        <w:rPr/>
      </w:pPr>
      <w:r>
        <w:rPr/>
        <w:t>Krok 1: Zabezpieczenie dowodów (natychmiast)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Wniosek o dokumentację medyczną:</w:t>
      </w:r>
      <w:r>
        <w:rPr/>
        <w:t xml:space="preserve"> Złożyć niezwłocznie wniosek o wydanie pełnej dokumentacji papierowej oraz cyfrowych plików RTG (format DICOM/oryginalny) do placówki, która wykonywała pierwotne badanie.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Dokumentacja fotograficzna:</w:t>
      </w:r>
      <w:r>
        <w:rPr/>
        <w:t xml:space="preserve"> Codzienne zdjęcia obrzęku twarzy, z widoczną datą, pod stałym kątem (przód i profil).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Dziennik bólu i objawów:</w:t>
      </w:r>
      <w:r>
        <w:rPr/>
        <w:t xml:space="preserve"> Notowanie dat, nasilenia bólu (skala 0–10), przyjmowanych leków przeciwbólowych/antybiotyków, objawów towarzyszących (gorączka, bezsenność, trudności w żuciu/mowie).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Zbieranie rachunków i faktur:</w:t>
      </w:r>
      <w:r>
        <w:rPr/>
        <w:t xml:space="preserve"> Zachowywanie faktur imiennych za każdą wizytę, leki, badania, dojazdy. </w:t>
      </w:r>
    </w:p>
    <w:p>
      <w:pPr>
        <w:pStyle w:val="Heading3"/>
        <w:bidi w:val="0"/>
        <w:jc w:val="start"/>
        <w:rPr/>
      </w:pPr>
      <w:r>
        <w:rPr/>
        <w:t>Krok 2: Ustalenie ubezpieczyciela OC i numeru polisy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Skierowanie pisma do podmiotu leczniczego o podanie nazwy ubezpieczyciela i numeru polisy OC na podstawie art. 14 ust. 2 pkt 2 ustawy o działalności leczniczej (można połączyć z wnioskiem o dokumentację). </w:t>
      </w:r>
    </w:p>
    <w:p>
      <w:pPr>
        <w:pStyle w:val="Heading3"/>
        <w:bidi w:val="0"/>
        <w:jc w:val="start"/>
        <w:rPr/>
      </w:pPr>
      <w:r>
        <w:rPr/>
        <w:t>Krok 3: Uzyskanie opinii i kosztorysu od lekarza weryfikującego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Kluczowym dowodem jest pisemne zaświadczenie/wpis w dokumentacji od drugiego lekarza weryfikującego, zawierające: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datę badania,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porównanie aktualnego stanu klinicznego z pierwotnym zdjęciem RTG,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jednoznaczne stwierdzenie, że zmiana była widoczna na pierwotnym RTG i wymagała wdrożenia leczenia,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plan leczenia naprawczego wraz z kosztorysem. </w:t>
      </w:r>
    </w:p>
    <w:p>
      <w:pPr>
        <w:pStyle w:val="Heading3"/>
        <w:bidi w:val="0"/>
        <w:jc w:val="start"/>
        <w:rPr/>
      </w:pPr>
      <w:r>
        <w:rPr/>
        <w:t>Krok 4: Zgłoszenie szkody do ubezpieczyciela OC (lub wezwanie gabinetu)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Złożenie formalnego zgłoszenia szkody wraz z roszczeniem o odszkodowanie (wyłożenie kosztów leczenia) oraz zadośćuczynienie.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Dołączenie kompletu dowodów: chronologia, dokumentacja medyczna, płyta z RTG, opinia weryfikująca, kosztorys, faktury, zdjęcia obrzęku. </w:t>
      </w:r>
    </w:p>
    <w:p>
      <w:pPr>
        <w:pStyle w:val="Heading3"/>
        <w:bidi w:val="0"/>
        <w:jc w:val="start"/>
        <w:rPr/>
      </w:pPr>
      <w:r>
        <w:rPr/>
        <w:t>Krok 5: Postępowanie likwidacyjne i ewentualne odwołanie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Ubezpieczyciel ma 30 dni na wydanie decyzji.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90" w:after="90"/>
        <w:ind w:hanging="283" w:start="709"/>
        <w:rPr/>
      </w:pPr>
      <w:r>
        <w:rPr/>
        <w:t xml:space="preserve">W przypadku odmowy lub rażącego zaniżenia sumy zadośćuczynienia przysługuje: 1. Reklamacja / odwołanie do zakładu ubezpieczeń. 2. Wniosek o interwencję do Rzecznika Finansowego. 3. Wniosek do Rzecznika Praw Pacjenta (jeżeli naruszono prawa pacjenta do dokumentacji lub świadczeń zgodnych z wiedzą medyczną). 4. Droga sądowa (pozew o zapłatę odszkodowania i zadośćuczynienia przed sądem powszechnym). 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Poradnik błąd diagnostyczny RTG i procedura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