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Dla indywidualnej praktyki lekarskiej/dentystycznej wynoszą minimum </w:t>
      </w:r>
      <w:r>
        <w:rPr>
          <w:rStyle w:val="Strong"/>
        </w:rPr>
        <w:t>75 000 EUR na jedno zdarzenie</w:t>
      </w:r>
      <w:r>
        <w:rPr/>
        <w:t xml:space="preserve"> oraz </w:t>
      </w:r>
      <w:r>
        <w:rPr>
          <w:rStyle w:val="Strong"/>
        </w:rPr>
        <w:t>350 000 EUR na wszystkie zdarzenia</w:t>
      </w:r>
      <w:r>
        <w:rPr/>
        <w:t xml:space="preserve"> w okresie ubezpieczenia (tj. ok. 320 000 zł na pojedynczą szkodę).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przerywa bieg przedawnienia.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