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240"/>
        <w:rPr/>
      </w:pPr>
      <w:r>
        <w:rPr/>
        <w:t>Plan postępowania — sprawa nawrotu torbieli i kontroli CBCT</w:t>
      </w:r>
    </w:p>
    <w:p>
      <w:pPr>
        <w:pStyle w:val="BodyText"/>
        <w:bidi w:val="0"/>
        <w:rPr/>
      </w:pPr>
      <w:r>
        <w:rPr>
          <w:rStyle w:val="Strong"/>
        </w:rPr>
        <w:t>Stan planu:</w:t>
      </w:r>
      <w:r>
        <w:rPr/>
        <w:t xml:space="preserve"> 13.10.2026 </w:t>
      </w:r>
      <w:r>
        <w:rPr>
          <w:rStyle w:val="Strong"/>
        </w:rPr>
        <w:t>Status sprawy:</w:t>
      </w:r>
      <w:r>
        <w:rPr/>
        <w:t xml:space="preserve"> dokumentacja i porównanie badań do zebrania. Na tym etapie nie przesądzamy, czy nawrót był widoczny 04.08.2026 ani czy doszło do błędu.</w:t>
      </w:r>
    </w:p>
    <w:p>
      <w:pPr>
        <w:pStyle w:val="BodyText"/>
        <w:bidi w:val="0"/>
        <w:rPr/>
      </w:pPr>
      <w:r>
        <w:rPr/>
        <w:t>Ta lista jest roboczym planem dla pacjentki. Zaznaczaj zadania dopiero po ich wykonaniu i zapisuj datę wysłania lub otrzymania dokumentu. Nie odkładaj zaleconego leczenia w oczekiwaniu na dokumentację lub opinię.</w:t>
      </w:r>
    </w:p>
    <w:p>
      <w:pPr>
        <w:pStyle w:val="Heading2"/>
        <w:bidi w:val="0"/>
        <w:jc w:val="start"/>
        <w:rPr/>
      </w:pPr>
      <w:r>
        <w:rPr/>
        <w:t>A. Teraz — leczenie, dokumenty i zabezpieczenie dowodów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90" w:after="0"/>
        <w:ind w:hanging="283" w:start="709"/>
        <w:rPr/>
      </w:pPr>
      <w:r>
        <w:rPr/>
        <w:t xml:space="preserve">[ ] </w:t>
      </w:r>
      <w:r>
        <w:rPr>
          <w:rStyle w:val="Strong"/>
        </w:rPr>
        <w:t>Potwierdzić dalszy przebieg leczenia w Gabinecie nr 2.</w:t>
      </w:r>
      <w:r>
        <w:rPr/>
        <w:t xml:space="preserve"> Czy ponowna resekcja i wyłuszczenie torbieli już się odbyły? Jeśli tak, zapisać datę i uzyskać dokumentację zabiegu, zalecenia, recepty, rachunki oraz wynik badania histopatologicznego, jeśli materiał wysłano do badania.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90" w:after="0"/>
        <w:ind w:hanging="283" w:start="709"/>
        <w:rPr/>
      </w:pPr>
      <w:r>
        <w:rPr/>
        <w:t xml:space="preserve">[ ] Wysłać do </w:t>
      </w:r>
      <w:r>
        <w:rPr>
          <w:rStyle w:val="Strong"/>
        </w:rPr>
        <w:t>Gabinetu nr 1</w:t>
      </w:r>
      <w:r>
        <w:rPr/>
        <w:t xml:space="preserve"> wniosek o całą dokumentację dotyczącą leczenia okolicy zębów 11 i 12: dokumentację zabiegu z 14.01.2021, kontrole, wpis z 04.08.2026, zalecenia, opisy badań, nazwiska osób badających/opisujących oraz dostępne pliki CBCT/DICOM z 2020/2021, 2023 i 04.08.2026.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90" w:after="0"/>
        <w:ind w:hanging="283" w:start="709"/>
        <w:rPr/>
      </w:pPr>
      <w:r>
        <w:rPr/>
        <w:t xml:space="preserve">[ ] W tym samym piśmie poprosić Gabinet nr 1 o informacje o umowie OC obejmującej wizytę 04.08.2026: ubezpieczyciel, numer i okres polisy oraz suma gwarancyjna.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90" w:after="0"/>
        <w:ind w:hanging="283" w:start="709"/>
        <w:rPr/>
      </w:pPr>
      <w:r>
        <w:rPr/>
        <w:t xml:space="preserve">[ ] Wysłać do </w:t>
      </w:r>
      <w:r>
        <w:rPr>
          <w:rStyle w:val="Strong"/>
        </w:rPr>
        <w:t>Gabinetu nr 2</w:t>
      </w:r>
      <w:r>
        <w:rPr/>
        <w:t xml:space="preserve"> osobny wniosek o dokumentację wizyty 25.09.2026: badanie, rozpoznanie ropnia i nawrotu, zapis nacięcia ropnia, receptę, opis CBCT i dostępny DICOM, plan/kosztorys oraz późniejszą dokumentację leczenia.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90" w:after="0"/>
        <w:ind w:hanging="283" w:start="709"/>
        <w:rPr/>
      </w:pPr>
      <w:r>
        <w:rPr/>
        <w:t xml:space="preserve">[ ] Zachować dowód złożenia każdego wniosku i odnotować datę doręczenia. Pierwsze udostępnienie dokumentacji w zakresie i formach wskazanych w art. 28 ust. 2a jest bezpłatne; dokumentację udostępnia się bez zbędnej zwłoki. Nie ma ogólnego ustawowego terminu 14 dni roboczych.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90" w:after="0"/>
        <w:ind w:hanging="283" w:start="709"/>
        <w:rPr/>
      </w:pPr>
      <w:r>
        <w:rPr/>
        <w:t xml:space="preserve">[ ] Zachować w niezmienionej postaci wszystkie oryginalne pliki obrazowe, płyty i dokumenty. Zrobić kopię zapasową, ale nie nadpisywać źródłowych plików DICOM.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ind w:hanging="283" w:start="709"/>
        <w:rPr/>
      </w:pPr>
      <w:r>
        <w:rPr/>
        <w:t xml:space="preserve">[ ] Prowadzić krótką chronologię objawów i leczenia: daty, obrzęk, ból (jeśli występował), leki, wizyty i zalecenia. Zachować zdjęcia z datami, rachunki za badania, leczenie, leki i dojazdy. </w:t>
      </w:r>
    </w:p>
    <w:p>
      <w:pPr>
        <w:pStyle w:val="Heading2"/>
        <w:bidi w:val="0"/>
        <w:jc w:val="start"/>
        <w:rPr/>
      </w:pPr>
      <w:r>
        <w:rPr/>
        <w:t>B. Po otrzymaniu dokumentacji — ustalenie, co pokazują badania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90" w:after="0"/>
        <w:ind w:hanging="283" w:start="709"/>
        <w:rPr/>
      </w:pPr>
      <w:r>
        <w:rPr/>
        <w:t xml:space="preserve">[ ] Sprawdzić, czy Gabinet nr 1 ma wpis z 04.08.2026, pisemny opis CBCT i zalecenie kontroli za rok. Zanotować, kto wykonał badanie, kto je ocenił i co zapisano.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90" w:after="0"/>
        <w:ind w:hanging="283" w:start="709"/>
        <w:rPr/>
      </w:pPr>
      <w:r>
        <w:rPr/>
        <w:t xml:space="preserve">[ ] Sprawdzić, czy uzyskano kompletne badania CBCT w formacie umożliwiającym porównanie, zwłaszcza z 04.08.2026 i 25.09.2026. Uzupełnić wcześniejsze badanie z 2023 r., jeśli jest dostępne.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90" w:after="0"/>
        <w:ind w:hanging="283" w:start="709"/>
        <w:rPr/>
      </w:pPr>
      <w:r>
        <w:rPr/>
        <w:t xml:space="preserve">[ ] Poprosić lekarza z odpowiednimi kwalifikacjami lub niezależnego specjalistę o osobną pisemną ocenę porównawczą. Pytania do oceny: czy zmiana była widoczna 04.08.2026, czy wymagała wtedy dalszej diagnostyki/leczenia i czy opóźnienie mogło wpłynąć na ropień, dolegliwości, zakres leczenia albo koszty.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90" w:after="0"/>
        <w:ind w:hanging="283" w:start="709"/>
        <w:rPr/>
      </w:pPr>
      <w:r>
        <w:rPr/>
        <w:t xml:space="preserve">[ ] Poprosić Gabinet nr 2 o plan leczenia i kosztorys na piśmie oraz dokumentację faktycznie wykonanych procedur. Prośba o sporządzenie nowej opinii jest odrębna od prawa do otrzymania istniejącej dokumentacji.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ind w:hanging="283" w:start="709"/>
        <w:rPr/>
      </w:pPr>
      <w:r>
        <w:rPr/>
        <w:t xml:space="preserve">[ ] W razie rozbieżności między opisem, wpisem a ustną informacją poprosić placówkę o wyjaśnienie na piśmie. Nie poprawiać ani nie uzupełniać samodzielnie dokumentacji medycznej. </w:t>
      </w:r>
    </w:p>
    <w:p>
      <w:pPr>
        <w:pStyle w:val="Heading2"/>
        <w:bidi w:val="0"/>
        <w:jc w:val="start"/>
        <w:rPr/>
      </w:pPr>
      <w:r>
        <w:rPr/>
        <w:t>C. Po wstępnej ocenie dowodów — przygotowanie roszczenia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90" w:after="0"/>
        <w:ind w:hanging="283" w:start="709"/>
        <w:rPr/>
      </w:pPr>
      <w:r>
        <w:rPr/>
        <w:t xml:space="preserve">[ ] Ustalić, kto udzielał świadczenia 04.08.2026 i kto powinien być adresatem roszczenia: ubezpieczyciel, podmiot leczniczy, lekarz lub właściwe podmioty. Sama praca w gabinecie nie przesądza automatycznie, kto odpowiada. 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90" w:after="0"/>
        <w:ind w:hanging="283" w:start="709"/>
        <w:rPr/>
      </w:pPr>
      <w:r>
        <w:rPr/>
        <w:t xml:space="preserve">[ ] Sporządzić krótką tabelę kosztów: data, wydatek, kwota, dowód zapłaty i związek z leczeniem. Oddzielić poniesione koszty od planowanych. 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90" w:after="0"/>
        <w:ind w:hanging="283" w:start="709"/>
        <w:rPr/>
      </w:pPr>
      <w:r>
        <w:rPr/>
        <w:t xml:space="preserve">[ ] Ustalić, które następstwa można powiązać z opóźnionym rozpoznaniem. Nie zakładać automatycznie, że cały koszt leczenia nawrotu powstał przez wizytę z 04.08.2026. 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90" w:after="0"/>
        <w:ind w:hanging="283" w:start="709"/>
        <w:rPr/>
      </w:pPr>
      <w:r>
        <w:rPr/>
        <w:t xml:space="preserve">[ ] Uzupełnić projekt zgłoszenia szkody faktami potwierdzonymi dokumentami. Opisać ocenę z 04.08 jako ustny przekaz, jeżeli nie ma jej w karcie. Kwestie sporne przedstawić jako zarzuty/wnioski do zbadania, a nie jako ustalone fakty. 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90" w:after="0"/>
        <w:ind w:hanging="283" w:start="709"/>
        <w:rPr/>
      </w:pPr>
      <w:r>
        <w:rPr/>
        <w:t xml:space="preserve">[ ] Dołączyć dokumentację, porównanie CBCT, rachunki, plan i kosztorys leczenia oraz dowody dolegliwości — wyłącznie w zakresie, który rzeczywiście dotyczy pacjentki. 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ind w:hanging="283" w:start="709"/>
        <w:rPr/>
      </w:pPr>
      <w:r>
        <w:rPr/>
        <w:t xml:space="preserve">[ ] Jeśli nie ma jeszcze wszystkich dokumentów, można rozważyć zgłoszenie szkody i późniejsze uzupełnienie materiału; zachować potwierdzenie doręczenia. Art. 819 § 4 KC dotyczy przerwania biegu przedawnienia roszczenia wobec ubezpieczyciela, nie należy traktować go jako automatycznego zabezpieczenia wszystkich roszczeń wobec innych podmiotów. </w:t>
      </w:r>
    </w:p>
    <w:p>
      <w:pPr>
        <w:pStyle w:val="Heading2"/>
        <w:bidi w:val="0"/>
        <w:jc w:val="start"/>
        <w:rPr/>
      </w:pPr>
      <w:r>
        <w:rPr/>
        <w:t>D. Po odpowiedzi ubezpieczyciela lub placówki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spacing w:before="90" w:after="0"/>
        <w:ind w:hanging="283" w:start="709"/>
        <w:rPr/>
      </w:pPr>
      <w:r>
        <w:rPr/>
        <w:t xml:space="preserve">[ ] Zachować decyzję, uzasadnienie, korespondencję i datę jej otrzymania. 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spacing w:before="90" w:after="0"/>
        <w:ind w:hanging="283" w:start="709"/>
        <w:rPr/>
      </w:pPr>
      <w:r>
        <w:rPr/>
        <w:t xml:space="preserve">[ ] Sprawdzić, czy ubezpieczyciel odniósł się do każdego dowodu i wypłacił ewentualną część bezsporną. Termin 30 dni nie oznacza bezwarunkowej wypłaty całej żądanej kwoty; ustawa przewiduje też sytuacje, w których ustalenie odpowiedzialności lub kwoty trwa dłużej. 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spacing w:before="90" w:after="0"/>
        <w:ind w:hanging="283" w:start="709"/>
        <w:rPr/>
      </w:pPr>
      <w:r>
        <w:rPr/>
        <w:t xml:space="preserve">[ ] W razie odmowy lub sporu co do przyczynowości uzupełnić dowody i rozważyć konsultację z adwokatem/radcą prawnym. Rzecznik Finansowy może być właściwy po przejściu procedury reklamacyjnej u ubezpieczyciela. 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ind w:hanging="283" w:start="709"/>
        <w:rPr/>
      </w:pPr>
      <w:r>
        <w:rPr/>
        <w:t xml:space="preserve">[ ] Daty przedawnienia ustalać na podstawie konkretnych faktów i rodzaju roszczenia; nie przyjmować z góry, że termin zawsze zaczyna się w dniu wizyty weryfikacyjnej. </w:t>
      </w:r>
    </w:p>
    <w:p>
      <w:pPr>
        <w:pStyle w:val="Heading2"/>
        <w:bidi w:val="0"/>
        <w:jc w:val="start"/>
        <w:rPr/>
      </w:pPr>
      <w:r>
        <w:rPr/>
        <w:t>E. Rejestr korespondencji</w:t>
      </w:r>
    </w:p>
    <w:tbl>
      <w:tblPr>
        <w:tblW w:w="6050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571"/>
        <w:gridCol w:w="1501"/>
        <w:gridCol w:w="1441"/>
        <w:gridCol w:w="976"/>
        <w:gridCol w:w="1561"/>
      </w:tblGrid>
      <w:tr>
        <w:trPr>
          <w:tblHeader w:val="true"/>
        </w:trPr>
        <w:tc>
          <w:tcPr>
            <w:tcW w:w="571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90" w:after="90"/>
              <w:jc w:val="center"/>
              <w:rPr/>
            </w:pPr>
            <w:r>
              <w:rPr/>
              <w:t>Data</w:t>
            </w:r>
          </w:p>
        </w:tc>
        <w:tc>
          <w:tcPr>
            <w:tcW w:w="1501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90" w:after="90"/>
              <w:jc w:val="center"/>
              <w:rPr/>
            </w:pPr>
            <w:r>
              <w:rPr/>
              <w:t>Do kogo</w:t>
            </w:r>
          </w:p>
        </w:tc>
        <w:tc>
          <w:tcPr>
            <w:tcW w:w="1441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90" w:after="90"/>
              <w:jc w:val="center"/>
              <w:rPr/>
            </w:pPr>
            <w:r>
              <w:rPr/>
              <w:t>Pismo / dokument</w:t>
            </w:r>
          </w:p>
        </w:tc>
        <w:tc>
          <w:tcPr>
            <w:tcW w:w="976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90" w:after="90"/>
              <w:jc w:val="center"/>
              <w:rPr/>
            </w:pPr>
            <w:r>
              <w:rPr/>
              <w:t>Sposób wysłania</w:t>
            </w:r>
          </w:p>
        </w:tc>
        <w:tc>
          <w:tcPr>
            <w:tcW w:w="1561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90" w:after="90"/>
              <w:jc w:val="center"/>
              <w:rPr/>
            </w:pPr>
            <w:r>
              <w:rPr/>
              <w:t>Potwierdzenie / odpowiedź</w:t>
            </w:r>
          </w:p>
        </w:tc>
      </w:tr>
      <w:tr>
        <w:trPr/>
        <w:tc>
          <w:tcPr>
            <w:tcW w:w="57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50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rPr/>
            </w:pPr>
            <w:r>
              <w:rPr/>
              <w:t>Gabinet nr 1</w:t>
            </w:r>
          </w:p>
        </w:tc>
        <w:tc>
          <w:tcPr>
            <w:tcW w:w="144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rPr/>
            </w:pPr>
            <w:r>
              <w:rPr/>
              <w:t>Dokumentacja + dane OC</w:t>
            </w:r>
          </w:p>
        </w:tc>
        <w:tc>
          <w:tcPr>
            <w:tcW w:w="976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56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57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50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rPr/>
            </w:pPr>
            <w:r>
              <w:rPr/>
              <w:t>Gabinet nr 2</w:t>
            </w:r>
          </w:p>
        </w:tc>
        <w:tc>
          <w:tcPr>
            <w:tcW w:w="144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rPr/>
            </w:pPr>
            <w:r>
              <w:rPr/>
              <w:t>Dokumentacja wizyty i leczenia</w:t>
            </w:r>
          </w:p>
        </w:tc>
        <w:tc>
          <w:tcPr>
            <w:tcW w:w="976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56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57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50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rPr/>
            </w:pPr>
            <w:r>
              <w:rPr/>
              <w:t>Lekarz/specjalista</w:t>
            </w:r>
          </w:p>
        </w:tc>
        <w:tc>
          <w:tcPr>
            <w:tcW w:w="144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rPr/>
            </w:pPr>
            <w:r>
              <w:rPr/>
              <w:t>Prośba o porównanie CBCT</w:t>
            </w:r>
          </w:p>
        </w:tc>
        <w:tc>
          <w:tcPr>
            <w:tcW w:w="976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56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57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50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rPr/>
            </w:pPr>
            <w:r>
              <w:rPr/>
              <w:t>Ubezpieczyciel</w:t>
            </w:r>
          </w:p>
        </w:tc>
        <w:tc>
          <w:tcPr>
            <w:tcW w:w="144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rPr/>
            </w:pPr>
            <w:r>
              <w:rPr/>
              <w:t>Zgłoszenie szkody</w:t>
            </w:r>
          </w:p>
        </w:tc>
        <w:tc>
          <w:tcPr>
            <w:tcW w:w="976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56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</w:tbl>
    <w:p>
      <w:pPr>
        <w:pStyle w:val="Heading2"/>
        <w:bidi w:val="0"/>
        <w:jc w:val="start"/>
        <w:rPr/>
      </w:pPr>
      <w:r>
        <w:rPr/>
        <w:t>Dokumenty w repozytorium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709" w:leader="none"/>
        </w:tabs>
        <w:bidi w:val="0"/>
        <w:spacing w:before="90" w:after="0"/>
        <w:ind w:hanging="283" w:start="709"/>
        <w:rPr/>
      </w:pPr>
      <w:hyperlink r:id="rId2">
        <w:r>
          <w:rPr>
            <w:rStyle w:val="Hyperlink"/>
          </w:rPr>
          <w:t>Poradnik sprawy — strona HTML</w:t>
        </w:r>
      </w:hyperlink>
      <w:r>
        <w:rPr/>
        <w:t xml:space="preserve"> 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709" w:leader="none"/>
        </w:tabs>
        <w:bidi w:val="0"/>
        <w:spacing w:before="90" w:after="0"/>
        <w:ind w:hanging="283" w:start="709"/>
        <w:rPr/>
      </w:pPr>
      <w:hyperlink r:id="rId3">
        <w:r>
          <w:rPr>
            <w:rStyle w:val="Hyperlink"/>
          </w:rPr>
          <w:t>Historia pacjentki</w:t>
        </w:r>
      </w:hyperlink>
      <w:r>
        <w:rPr/>
        <w:t xml:space="preserve"> 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709" w:leader="none"/>
        </w:tabs>
        <w:bidi w:val="0"/>
        <w:spacing w:before="90" w:after="0"/>
        <w:ind w:hanging="283" w:start="709"/>
        <w:rPr/>
      </w:pPr>
      <w:hyperlink r:id="rId4">
        <w:r>
          <w:rPr>
            <w:rStyle w:val="Hyperlink"/>
          </w:rPr>
          <w:t>Wniosek o dokumentację i dane OC</w:t>
        </w:r>
      </w:hyperlink>
      <w:r>
        <w:rPr/>
        <w:t xml:space="preserve"> 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709" w:leader="none"/>
        </w:tabs>
        <w:bidi w:val="0"/>
        <w:spacing w:before="90" w:after="0"/>
        <w:ind w:hanging="283" w:start="709"/>
        <w:rPr/>
      </w:pPr>
      <w:hyperlink r:id="rId5">
        <w:r>
          <w:rPr>
            <w:rStyle w:val="Hyperlink"/>
          </w:rPr>
          <w:t>Robocze zgłoszenie szkody</w:t>
        </w:r>
      </w:hyperlink>
      <w:r>
        <w:rPr/>
        <w:t xml:space="preserve"> 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709" w:leader="none"/>
        </w:tabs>
        <w:bidi w:val="0"/>
        <w:ind w:hanging="283" w:start="709"/>
        <w:rPr/>
      </w:pPr>
      <w:hyperlink r:id="rId6">
        <w:r>
          <w:rPr>
            <w:rStyle w:val="Hyperlink"/>
          </w:rPr>
          <w:t>Ogólny szablon zgłoszenia szkody</w:t>
        </w:r>
      </w:hyperlink>
      <w:r>
        <w:rPr/>
        <w:t xml:space="preserve"> </w:t>
      </w:r>
    </w:p>
    <w:p>
      <w:pPr>
        <w:pStyle w:val="Heading2"/>
        <w:bidi w:val="0"/>
        <w:jc w:val="start"/>
        <w:rPr/>
      </w:pPr>
      <w:r>
        <w:rPr/>
        <w:t>Podstawy prawne — teksty oficjalne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709" w:leader="none"/>
        </w:tabs>
        <w:bidi w:val="0"/>
        <w:spacing w:before="90" w:after="0"/>
        <w:ind w:hanging="283" w:start="709"/>
        <w:rPr/>
      </w:pPr>
      <w:hyperlink r:id="rId7">
        <w:r>
          <w:rPr>
            <w:rStyle w:val="Hyperlink"/>
          </w:rPr>
          <w:t>Ustawa o prawach pacjenta — Dz.U. 2024 poz. 581</w:t>
        </w:r>
      </w:hyperlink>
      <w:r>
        <w:rPr/>
        <w:t xml:space="preserve"> 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709" w:leader="none"/>
        </w:tabs>
        <w:bidi w:val="0"/>
        <w:spacing w:before="90" w:after="0"/>
        <w:ind w:hanging="283" w:start="709"/>
        <w:rPr/>
      </w:pPr>
      <w:hyperlink r:id="rId8">
        <w:r>
          <w:rPr>
            <w:rStyle w:val="Hyperlink"/>
          </w:rPr>
          <w:t>Ustawa o działalności leczniczej — t.j. Dz.U. 2026 poz. 156</w:t>
        </w:r>
      </w:hyperlink>
      <w:r>
        <w:rPr/>
        <w:t xml:space="preserve"> 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709" w:leader="none"/>
        </w:tabs>
        <w:bidi w:val="0"/>
        <w:spacing w:before="90" w:after="0"/>
        <w:ind w:hanging="283" w:start="709"/>
        <w:rPr/>
      </w:pPr>
      <w:hyperlink r:id="rId9">
        <w:r>
          <w:rPr>
            <w:rStyle w:val="Hyperlink"/>
          </w:rPr>
          <w:t>Ustawa o ubezpieczeniach obowiązkowych — t.j. Dz.U. 2026 poz. 783</w:t>
        </w:r>
      </w:hyperlink>
      <w:r>
        <w:rPr/>
        <w:t xml:space="preserve"> 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709" w:leader="none"/>
        </w:tabs>
        <w:bidi w:val="0"/>
        <w:spacing w:before="90" w:after="0"/>
        <w:ind w:hanging="283" w:start="709"/>
        <w:rPr/>
      </w:pPr>
      <w:hyperlink r:id="rId10">
        <w:r>
          <w:rPr>
            <w:rStyle w:val="Hyperlink"/>
          </w:rPr>
          <w:t>Kodeks cywilny — t.j. Dz.U. 2026 poz. 795</w:t>
        </w:r>
      </w:hyperlink>
      <w:r>
        <w:rPr/>
        <w:t xml:space="preserve"> 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709" w:leader="none"/>
        </w:tabs>
        <w:bidi w:val="0"/>
        <w:ind w:hanging="283" w:start="709"/>
        <w:rPr/>
      </w:pPr>
      <w:hyperlink r:id="rId11">
        <w:r>
          <w:rPr>
            <w:rStyle w:val="Hyperlink"/>
          </w:rPr>
          <w:t>Ustawa o zawodach lekarza i lekarza dentysty — t.j. Dz.U. 2026 poz. 37</w:t>
        </w:r>
      </w:hyperlink>
      <w:r>
        <w:rPr/>
        <w:t xml:space="preserve"> </w:t>
      </w:r>
    </w:p>
    <w:p>
      <w:pPr>
        <w:pStyle w:val="BodyText"/>
        <w:bidi w:val="0"/>
        <w:spacing w:before="90" w:after="90"/>
        <w:rPr/>
      </w:pPr>
      <w:r>
        <w:rPr>
          <w:rStyle w:val="Emphasis"/>
        </w:rPr>
        <w:t>Plan jest pomocą organizacyjną, nie poradą prawną ani medyczną. Zmiany stanu sprawy dopisuj z datą i źródłem informacji.</w:t>
      </w:r>
    </w:p>
    <w:sectPr>
      <w:type w:val="nextPage"/>
      <w:pgSz w:w="11906" w:h="16838"/>
      <w:pgMar w:left="850" w:right="850" w:gutter="0" w:header="0" w:top="1134" w:footer="0" w:bottom="1134"/>
      <w:pgNumType w:fmt="decimal"/>
      <w:formProt w:val="false"/>
      <w:textDirection w:val="lrTb"/>
      <w:docGrid w:type="default" w:linePitch="600" w:charSpace="3891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auto"/>
    <w:pitch w:val="default"/>
  </w:font>
  <w:font w:name="Noto Sans">
    <w:charset w:val="01" w:characterSet="utf-8"/>
    <w:family w:val="auto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none"/>
      <w:suff w:val="nothing"/>
      <w:lvlText w:val="%1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%2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%3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%4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%5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%6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%7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%8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%9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view w:val="web"/>
  <w:zoom w:percent="100"/>
  <w:defaultTabStop w:val="1134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spacing w:lineRule="auto" w:line="348"/>
    </w:pPr>
    <w:rPr>
      <w:rFonts w:ascii="Liberation Sans;DejaVu Sans;Arial;sans-serif" w:hAnsi="Liberation Sans;DejaVu Sans;Arial;sans-serif" w:eastAsia="Liberation Sans;DejaVu Sans;Arial;sans-serif" w:cs="Liberation Sans;DejaVu Sans;Arial;sans-serif"/>
      <w:color w:val="111111"/>
      <w:sz w:val="21"/>
      <w:szCs w:val="21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pBdr>
        <w:bottom w:val="single" w:sz="6" w:space="6" w:color="333333"/>
      </w:pBdr>
      <w:spacing w:lineRule="auto" w:line="312" w:before="240" w:after="240"/>
      <w:jc w:val="center"/>
    </w:pPr>
    <w:rPr>
      <w:rFonts w:ascii="Noto Sans" w:hAnsi="Noto Sans"/>
      <w:b/>
      <w:bCs/>
      <w:caps/>
      <w:sz w:val="30"/>
      <w:szCs w:val="30"/>
    </w:rPr>
  </w:style>
  <w:style w:type="paragraph" w:styleId="Heading2">
    <w:name w:val="Heading 2"/>
    <w:basedOn w:val="Heading"/>
    <w:next w:val="BodyText"/>
    <w:qFormat/>
    <w:pPr>
      <w:pBdr>
        <w:bottom w:val="single" w:sz="2" w:space="3" w:color="CCCCCC"/>
      </w:pBdr>
      <w:spacing w:before="270" w:after="120"/>
      <w:jc w:val="start"/>
      <w:outlineLvl w:val="1"/>
    </w:pPr>
    <w:rPr>
      <w:rFonts w:ascii="Liberation Serif" w:hAnsi="Liberation Serif" w:eastAsia="Noto Sans" w:cs="Noto Sans Devanagari"/>
      <w:b/>
      <w:bCs/>
      <w:sz w:val="24"/>
      <w:szCs w:val="24"/>
    </w:rPr>
  </w:style>
  <w:style w:type="paragraph" w:styleId="Heading3">
    <w:name w:val="Heading 3"/>
    <w:basedOn w:val="Heading"/>
    <w:next w:val="BodyText"/>
    <w:qFormat/>
    <w:pPr>
      <w:spacing w:before="210" w:after="90"/>
      <w:jc w:val="start"/>
      <w:outlineLvl w:val="2"/>
    </w:pPr>
    <w:rPr>
      <w:rFonts w:ascii="Liberation Serif" w:hAnsi="Liberation Serif" w:eastAsia="Noto Sans" w:cs="Noto Sans Devanagari"/>
      <w:b/>
      <w:bCs/>
      <w:sz w:val="22"/>
      <w:szCs w:val="22"/>
    </w:rPr>
  </w:style>
  <w:style w:type="character" w:styleId="EndnoteCharacters">
    <w:name w:val="Endnote Characters"/>
    <w:qFormat/>
    <w:rPr/>
  </w:style>
  <w:style w:type="character" w:styleId="FootnoteCharacters">
    <w:name w:val="Footnote Characters"/>
    <w:qFormat/>
    <w:rPr/>
  </w:style>
  <w:style w:type="character" w:styleId="Hyperlink">
    <w:name w:val="Hyperlink"/>
    <w:rPr>
      <w:color w:val="000080"/>
      <w:u w:val="single"/>
    </w:rPr>
  </w:style>
  <w:style w:type="character" w:styleId="Strong">
    <w:name w:val="Strong"/>
    <w:qFormat/>
    <w:rPr>
      <w:b/>
      <w:bCs/>
      <w:color w:val="000000"/>
    </w:rPr>
  </w:style>
  <w:style w:type="character" w:styleId="Emphasis">
    <w:name w:val="Emphasis"/>
    <w:qFormat/>
    <w:rPr>
      <w:i/>
      <w:iCs/>
      <w:color w:val="555555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orizontalLine">
    <w:name w:val="Horizontal Line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EnvelopeReturn">
    <w:name w:val="Envelope Return"/>
    <w:basedOn w:val="Normal"/>
    <w:pPr/>
    <w:rPr>
      <w:i/>
    </w:rPr>
  </w:style>
  <w:style w:type="paragraph" w:styleId="TableContents">
    <w:name w:val="Table Contents"/>
    <w:basedOn w:val="BodyText"/>
    <w:qFormat/>
    <w:pPr/>
    <w:rPr/>
  </w:style>
  <w:style w:type="paragraph" w:styleId="Footer">
    <w:name w:val="Foot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Header">
    <w:name w:val="Head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HeaderandFooter">
    <w:name w:val="Header and Footer"/>
    <w:basedOn w:val="Normal"/>
    <w:qFormat/>
    <w:pPr>
      <w:suppressLineNumbers/>
      <w:tabs>
        <w:tab w:val="clear" w:pos="1134"/>
        <w:tab w:val="center" w:pos="4819" w:leader="none"/>
        <w:tab w:val="right" w:pos="9638" w:leader="none"/>
      </w:tabs>
    </w:pPr>
    <w:rPr/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List">
    <w:name w:val="List"/>
    <w:basedOn w:val="BodyText"/>
    <w:pPr/>
    <w:rPr>
      <w:rFonts w:cs="Noto Sans Devanagari"/>
    </w:rPr>
  </w:style>
  <w:style w:type="paragraph" w:styleId="BodyText">
    <w:name w:val="Body Text"/>
    <w:basedOn w:val="Normal"/>
    <w:pPr>
      <w:spacing w:before="90" w:after="90"/>
      <w:jc w:val="both"/>
    </w:pPr>
    <w:rPr/>
  </w:style>
  <w:style w:type="paragraph" w:styleId="Heading">
    <w:name w:val="Heading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../../../../../../tmp/dentysta_build/poradnik-sprawy.html" TargetMode="External"/><Relationship Id="rId3" Type="http://schemas.openxmlformats.org/officeDocument/2006/relationships/hyperlink" Target="../../../../../../tmp/dentysta_build/notatki-przypadek.md" TargetMode="External"/><Relationship Id="rId4" Type="http://schemas.openxmlformats.org/officeDocument/2006/relationships/hyperlink" Target="../../../../../../tmp/dentysta_build/wniosek-dokumentacja-papierowa.md" TargetMode="External"/><Relationship Id="rId5" Type="http://schemas.openxmlformats.org/officeDocument/2006/relationships/hyperlink" Target="../../../../../../tmp/dentysta_build/wniosek-odszkodowanie-OC-dentysty-ROBOCZY.md" TargetMode="External"/><Relationship Id="rId6" Type="http://schemas.openxmlformats.org/officeDocument/2006/relationships/hyperlink" Target="../../../../../../tmp/dentysta_build/wniosek-odszkodowanie-OC-dentysty.md" TargetMode="External"/><Relationship Id="rId7" Type="http://schemas.openxmlformats.org/officeDocument/2006/relationships/hyperlink" Target="https://eli.gov.pl/api/acts/DU/2024/581/text.html" TargetMode="External"/><Relationship Id="rId8" Type="http://schemas.openxmlformats.org/officeDocument/2006/relationships/hyperlink" Target="https://eli.gov.pl/api/acts/DU/2026/156/text.pdf" TargetMode="External"/><Relationship Id="rId9" Type="http://schemas.openxmlformats.org/officeDocument/2006/relationships/hyperlink" Target="https://eli.gov.pl/api/acts/DU/2026/783/text.pdf" TargetMode="External"/><Relationship Id="rId10" Type="http://schemas.openxmlformats.org/officeDocument/2006/relationships/hyperlink" Target="https://eli.gov.pl/api/acts/DU/2026/795/text.pdf" TargetMode="External"/><Relationship Id="rId11" Type="http://schemas.openxmlformats.org/officeDocument/2006/relationships/hyperlink" Target="https://eli.gov.pl/api/acts/DU/2026/37/text/O/D20260037.pdf" TargetMode="External"/><Relationship Id="rId12" Type="http://schemas.openxmlformats.org/officeDocument/2006/relationships/numbering" Target="numbering.xml"/><Relationship Id="rId13" Type="http://schemas.openxmlformats.org/officeDocument/2006/relationships/fontTable" Target="fontTable.xml"/><Relationship Id="rId14" Type="http://schemas.openxmlformats.org/officeDocument/2006/relationships/settings" Target="settings.xml"/><Relationship Id="rId1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>Plan postępowania — lista zadań i rejestr korespondencji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