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RTG)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Zdarzenie pierwotne:</w:t>
      </w:r>
      <w:r>
        <w:rPr/>
        <w:t xml:space="preserve"> Wykonanie badania RTG (pantomogram / punktowe)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w trakcie badania i ponownej oceny wcześniejszego zdjęcia RTG stwierdza, że zmiana chorobowa (np. zapalenie okołowierzchołkowe, głęboka próchnica, resorpcja) była widoczna już na pierwotnym zdjęciu RTG i powinna być leczona od razu.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RTG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RTG),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Zgodnie z § 3 rozporządzenia MF z 29.04.2019 r. wynoszą one, w okresie ubezpieczenia do 12 miesięcy: </w:t>
      </w:r>
      <w:r>
        <w:rPr>
          <w:rStyle w:val="Strong"/>
        </w:rPr>
        <w:t>100 000 EUR na jedno zdarzenie / 500 000 EUR na wszystkie zdarzenia</w:t>
      </w:r>
      <w:r>
        <w:rPr/>
        <w:t xml:space="preserve"> — podmioty udzielające szpitalnych świadczeń zdrowotnych (art. 8 pkt 1 lit. a u.d.l.) oraz </w:t>
      </w:r>
      <w:r>
        <w:rPr>
          <w:rStyle w:val="Strong"/>
        </w:rPr>
        <w:t>75 000 EUR na jedno zdarzenie / 350 000 EUR na wszystkie zdarzenia</w:t>
      </w:r>
      <w:r>
        <w:rPr/>
        <w:t xml:space="preserve"> — pozostałe podmioty, w tym gabinety ambulatoryjne i indywidualne / indywidualne specjalistyczne praktyki lekarskie i dentystyczne (art. 8 pkt 1 lit. b i pkt 2 u.d.l.), tj. ok. 320 000 zł na pojedynczą szkodę.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  <w:r>
        <w:rPr>
          <w:rStyle w:val="Emphasis"/>
        </w:rPr>
        <w:t>Uwaga: przepis nie wyznacza terminu ustawowego na udzielenie tej informacji (termin 14-dniowy z art. 14 ust. 4 dotyczy wyłącznie danych transgranicznych z ust. 3) — we wzorze pisma wyznaczono rozsądny termin 7 dni.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badanie. Zgodnie z art. 819 § 4 KC zgłoszenie ubezpieczycielowi roszczenia (lub zdarzenia) przerywa bieg przedawnienia roszczenia o świadczenie do ubezpieczyciela, a bieg rozpoczyna się na nowo od dnia otrzymania pisemnego oświadczenia ubezpieczyciela o przyznaniu lub odmowie świadczenia.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RTG (format DICOM/oryginalny) do placówki, która wykonywała pierwotne badanie.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 pierwotnym zdjęciem RTG,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na pierwotnym RTG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płyta z RTG,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