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bez zbędnej zwłoki, nie później niż w terminie 7 dni od dnia otrzymania niniejszego wniosku </w:t>
      </w:r>
      <w:r>
        <w:rPr>
          <w:rStyle w:val="Emphasis"/>
        </w:rPr>
        <w:t>(ustawa nie wyznacza terminu ustawowego — termin 7-dniowy wyznaczam jako rozsądny)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