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rPr/>
      </w:pPr>
      <w:r>
        <w:rPr/>
        <w:t>Poradnik prawno-praktyczny: błąd diagnostyczny dentysty (zaniechanie na tomografii CBCT) — OC, procedura, dokumenty</w:t>
      </w:r>
    </w:p>
    <w:p>
      <w:pPr>
        <w:pStyle w:val="Heading1"/>
        <w:bidi w:val="0"/>
        <w:rPr/>
      </w:pPr>
      <w:r>
        <w:rPr/>
        <w:t>Stan prawny: 2026 r. Niniejszy materiał ma charakter informacyjny i edukacyjny, nie stanowi indywidualnej porady prawnej.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Wstęp i typowy schemat sprawy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Zdarzenie pierwotne:</w:t>
      </w:r>
      <w:r>
        <w:rPr/>
        <w:t xml:space="preserve"> Wykonanie tomografii stożkowej CBCT </w:t>
      </w:r>
      <w:r>
        <w:rPr>
          <w:rStyle w:val="Emphasis"/>
        </w:rPr>
        <w:t>(Cone Beam Computed Tomography — trójwymiarowe badanie obrazowe 3D, stosowane m.in. w stomatologii, chirurgii szczękowo-twarzowej, ortodoncji i implantologii)</w:t>
      </w:r>
      <w:r>
        <w:rPr/>
        <w:t xml:space="preserve"> u pierwszego dentysty — lekarz stwierdza brak zmian chorobowych i brak konieczności leczenia.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Wizyta weryfikacyjna / kontrolna:</w:t>
      </w:r>
      <w:r>
        <w:rPr/>
        <w:t xml:space="preserve"> Kolejny lekarz dentysta najpierw wykonuje badanie fizykalne, a następnie własną tomografię CBCT; po wnikliwej analizie wcześniejszego badania CBCT stwierdza, że zmiana chorobowa (np. zapalenie okołowierzchołkowe, głęboka próchnica, resorpcja) była widoczna już w pierwotnym badaniu CBCT i powinna być leczona od razu.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Skutek zaniechania:</w:t>
      </w:r>
      <w:r>
        <w:rPr/>
        <w:t xml:space="preserve"> Rozwój stanu zapalnego, obrzęk twarzy, silne dolegliwości bólowe, konieczność inwazyjnego leczenia (endodoncja mikroskopowa, zabieg chirurgiczny, powikłania) i wysokie koszty leczenia naprawczego.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Zasada odpowiedzialności:</w:t>
      </w:r>
      <w:r>
        <w:rPr/>
        <w:t xml:space="preserve"> Prawidłowe odczytanie CBCT i wdrożenie leczenia w terminie pierwotnym zapobiegłoby rozwojowi powikłań, bólowi i znacząco obniżyłoby koszty. Zaniechanie diagnostyczno-terapeutyczne stanowi błąd w sztuce medycznej.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Jak działa obowiązkowe ubezpieczenie OC lekarza i podmiotu leczniczego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Podstawa prawna:</w:t>
      </w:r>
      <w:r>
        <w:rPr/>
        <w:t xml:space="preserve"> Art. 25 ustawy z dnia 15 kwietnia 2011 r. o działalności leczniczej oraz Rozporządzenie Ministra Finansów z dnia 29 kwietnia 2019 r. w sprawie obowiązkowego ubezpieczenia odpowiedzialności cywilnej podmiotu wykonującego działalność leczniczą (t.j. Dz.U. 2025 poz. 272). Każdy podmiot wykonujący działalność leczniczą oraz lekarz z indywidualną praktyką musi posiadać ważną polisę OC.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Zakres ochrony:</w:t>
      </w:r>
      <w:r>
        <w:rPr/>
        <w:t xml:space="preserve"> Szkody na osobie wyrządzone działaniem </w:t>
      </w:r>
      <w:r>
        <w:rPr>
          <w:rStyle w:val="Strong"/>
        </w:rPr>
        <w:t>lub bezprawnym zaniechaniem</w:t>
      </w:r>
      <w:r>
        <w:rPr/>
        <w:t xml:space="preserve"> ubezpieczonego w okresie trwania ochrony. Obejmuje błędy diagnostyczne (nieprawidłowy odczyt CBCT), błędy terapeutyczne i opóźnienie leczenia. Ubezpieczyciel nie może umownie wyłączyć ustawowego zakresu ochrony.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Minimalne sumy gwarancyjne (2026 r.):</w:t>
      </w:r>
      <w:r>
        <w:rPr/>
        <w:t xml:space="preserve"> Zgodnie z § 3 rozporządzenia MF z 29.04.2019 r. wynoszą one, w okresie ubezpieczenia do 12 miesięcy: </w:t>
      </w:r>
      <w:r>
        <w:rPr>
          <w:rStyle w:val="Strong"/>
        </w:rPr>
        <w:t>100 000 EUR na jedno zdarzenie / 500 000 EUR na wszystkie zdarzenia</w:t>
      </w:r>
      <w:r>
        <w:rPr/>
        <w:t xml:space="preserve"> — podmioty udzielające szpitalnych świadczeń zdrowotnych (art. 8 pkt 1 lit. a u.d.l.) oraz </w:t>
      </w:r>
      <w:r>
        <w:rPr>
          <w:rStyle w:val="Strong"/>
        </w:rPr>
        <w:t>75 000 EUR na jedno zdarzenie / 350 000 EUR na wszystkie zdarzenia</w:t>
      </w:r>
      <w:r>
        <w:rPr/>
        <w:t xml:space="preserve"> — pozostałe podmioty, w tym gabinety ambulatoryjne i indywidualne / indywidualne specjalistyczne praktyki lekarskie i dentystyczne (art. 8 pkt 1 lit. b i pkt 2 u.d.l.), tj. ok. 320 000 zł na pojedynczą szkodę. Zdecydowana większość roszczeń stomatologicznych mieści się w tej kwocie.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Bezpośrednie roszczenie do ubezpieczyciela (</w:t>
      </w:r>
      <w:r>
        <w:rPr>
          <w:rStyle w:val="Emphasis"/>
        </w:rPr>
        <w:t>actio directa</w:t>
      </w:r>
      <w:r>
        <w:rPr>
          <w:rStyle w:val="Strong"/>
        </w:rPr>
        <w:t>):</w:t>
      </w:r>
      <w:r>
        <w:rPr/>
        <w:t xml:space="preserve"> Zgodnie z art. 822 § 4 Kodeksu cywilnego (KC) poszkodowany może dochodzić roszczenia bezpośrednio od zakładu ubezpieczeń, w którym sprawca jest ubezpieczony. Nie ma konieczności wcześniejszego pozywania lekarza ani uzyskiwania wyroku sądowego.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Obowiązek wskazania ubezpieczyciela:</w:t>
      </w:r>
      <w:r>
        <w:rPr/>
        <w:t xml:space="preserve"> Zgodnie z art. 14 ust. 2 pkt 2 ustawy o działalności leczniczej pacjent ma prawo do informacji o danych ubezpieczyciela OC i numerze polisy podmiotu leczniczego. </w:t>
      </w:r>
      <w:r>
        <w:rPr>
          <w:rStyle w:val="Emphasis"/>
        </w:rPr>
        <w:t>Uwaga: przepis nie wyznacza terminu ustawowego na udzielenie tej informacji (termin 14-dniowy z art. 14 ust. 4 dotyczy wyłącznie danych transgranicznych z ust. 3) — we wzorze pisma wyznaczono rozsądny termin 7 dni.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Termin likwidacji szkody:</w:t>
      </w:r>
      <w:r>
        <w:rPr/>
        <w:t xml:space="preserve"> Zgodnie z art. 14 ust. 1 i 2 ustawy z dnia 22 maja 2003 r. o ubezpieczeniach obowiązkowych, UFG i PBUK oraz art. 817 KC, zakład ubezpieczeń ma </w:t>
      </w:r>
      <w:r>
        <w:rPr>
          <w:rStyle w:val="Strong"/>
        </w:rPr>
        <w:t>30 dni</w:t>
      </w:r>
      <w:r>
        <w:rPr/>
        <w:t xml:space="preserve"> na wypłatę odszkodowania od dnia złożenia zawiadomienia o szkodzie (w sprawach skomplikowanych termin może ulec wydłużeniu, lecz bezsporna część musi zostać wypłacona w terminie 30 dni).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Czego można żądać: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Odszkodowanie (art. 444 § 1 KC):</w:t>
      </w:r>
      <w:r>
        <w:rPr/>
        <w:t xml:space="preserve"> Pokrycie wszelkich kosztów wynikłych z uszkodzenia ciała lub rozstroju zdrowia (leczenie naprawcze, zabiegi, leki, dojazdy, badania diagnostyczne, konsultacje). Jeżeli leczenie jest planowane, pacjent ma prawo żądać </w:t>
      </w:r>
      <w:r>
        <w:rPr>
          <w:rStyle w:val="Strong"/>
        </w:rPr>
        <w:t>wyłożenia z góry sumy potrzebnej na koszty leczenia</w:t>
      </w:r>
      <w:r>
        <w:rPr/>
        <w:t xml:space="preserve"> (art. 444 § 1 zd. 2 KC) na podstawie kosztorysu/planu leczenia.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Zadośćuczynienie pieniężne za doznaną krzywdę (art. 445 § 1 w zw. z art. 444 KC):</w:t>
      </w:r>
      <w:r>
        <w:rPr/>
        <w:t xml:space="preserve"> Jednorazowa rekompensata za cierpienia fizyczne i psychiczne (ból, obrzęk i zniekształcenie twarzy, stres, nieprzespane noce, lęk przed zabiegami, absencja w pracy).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Przedawnienie:</w:t>
      </w:r>
      <w:r>
        <w:rPr/>
        <w:t xml:space="preserve"> Roszczenia o naprawienie szkody na osobie wyrządzonej czynem niedozwolonym przedawniają się z upływem </w:t>
      </w:r>
      <w:r>
        <w:rPr>
          <w:rStyle w:val="Strong"/>
        </w:rPr>
        <w:t>3 lat od dnia, w którym poszkodowany dowiedział się albo przy zachowaniu należytej staranności mógł się dowiedzieć o szkodzie i o osobie obowiązanej do jej naprawienia</w:t>
      </w:r>
      <w:r>
        <w:rPr/>
        <w:t xml:space="preserve"> (art. 442¹ § 1 i § 3 KC). Momentem powzięcia wiedzy jest zazwyczaj data konsultacji weryfikacyjnej, a nie pierwotne błędne badanie. Zgodnie z art. 819 § 4 KC zgłoszenie ubezpieczycielowi roszczenia (lub zdarzenia) przerywa bieg przedawnienia roszczenia o świadczenie do ubezpieczyciela, a bieg rozpoczyna się na nowo od dnia otrzymania pisemnego oświadczenia ubezpieczyciela o przyznaniu lub odmowie świadczenia.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Dostęp do dokumentacji medycznej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Podstawa prawna:</w:t>
      </w:r>
      <w:r>
        <w:rPr/>
        <w:t xml:space="preserve"> Art. 26–28 ustawy z dnia 6 listopada 2008 r. o prawach pacjenta i Rzeczniku Praw Pacjenta.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Zasada:</w:t>
      </w:r>
      <w:r>
        <w:rPr/>
        <w:t xml:space="preserve"> Podmiot leczniczy ma prawny obowiązek udostępnić dokumentację medyczną pacjentowi </w:t>
      </w:r>
      <w:r>
        <w:rPr>
          <w:rStyle w:val="Strong"/>
        </w:rPr>
        <w:t>bez zbędnej zwłoki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Forma:</w:t>
      </w:r>
      <w:r>
        <w:rPr/>
        <w:t xml:space="preserve"> Kopia, odpis, wyciąg, wydruk, a w przypadku badań obrazowych — zapis na informatycznym nośniku danych (płyta CD/DVD/pendrive) lub udostępnienie w systemie teleinformatycznym.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Koszty:</w:t>
      </w:r>
      <w:r>
        <w:rPr/>
        <w:t xml:space="preserve"> Zgodnie z art. 28 ust. 2a ustawy o prawach pacjenta, </w:t>
      </w:r>
      <w:r>
        <w:rPr>
          <w:rStyle w:val="Strong"/>
        </w:rPr>
        <w:t>pierwsze udostępnienie dokumentacji medycznej w żądanym zakresie jest bezpłatne</w:t>
      </w:r>
      <w:r>
        <w:rPr/>
        <w:t xml:space="preserve"> dla pacjenta lub jego przedstawiciela ustawowego.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Procedura działania krok po kroku</w:t>
      </w:r>
    </w:p>
    <w:p>
      <w:pPr>
        <w:pStyle w:val="Heading3"/>
        <w:bidi w:val="0"/>
        <w:jc w:val="start"/>
        <w:rPr/>
      </w:pPr>
      <w:r>
        <w:rPr/>
        <w:t>Krok 1: Zabezpieczenie dowodów (natychmiast)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Wniosek o dokumentację medyczną:</w:t>
      </w:r>
      <w:r>
        <w:rPr/>
        <w:t xml:space="preserve"> Złożyć niezwłocznie wniosek o wydanie pełnej dokumentacji papierowej oraz cyfrowych plików CBCT (format DICOM/oryginalny) do placówki, która wykonywała pierwotne badanie.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Dokumentacja fotograficzna:</w:t>
      </w:r>
      <w:r>
        <w:rPr/>
        <w:t xml:space="preserve"> Codzienne zdjęcia obrzęku twarzy, z widoczną datą, pod stałym kątem (przód i profil).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>
          <w:rStyle w:val="Strong"/>
        </w:rPr>
        <w:t>Dziennik bólu i objawów:</w:t>
      </w:r>
      <w:r>
        <w:rPr/>
        <w:t xml:space="preserve"> Notowanie dat, nasilenia bólu (skala 0–10), przyjmowanych leków przeciwbólowych/antybiotyków, objawów towarzyszących (gorączka, bezsenność, trudności w żuciu/mowie).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Zbieranie rachunków i faktur:</w:t>
      </w:r>
      <w:r>
        <w:rPr/>
        <w:t xml:space="preserve"> Zachowywanie faktur imiennych za każdą wizytę, leki, badania, dojazdy. </w:t>
      </w:r>
    </w:p>
    <w:p>
      <w:pPr>
        <w:pStyle w:val="Heading3"/>
        <w:bidi w:val="0"/>
        <w:jc w:val="start"/>
        <w:rPr/>
      </w:pPr>
      <w:r>
        <w:rPr/>
        <w:t>Krok 2: Ustalenie ubezpieczyciela OC i numeru polisy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Skierowanie pisma do podmiotu leczniczego o podanie nazwy ubezpieczyciela i numeru polisy OC na podstawie art. 14 ust. 2 pkt 2 ustawy o działalności leczniczej (można połączyć z wnioskiem o dokumentację). </w:t>
      </w:r>
    </w:p>
    <w:p>
      <w:pPr>
        <w:pStyle w:val="Heading3"/>
        <w:bidi w:val="0"/>
        <w:jc w:val="start"/>
        <w:rPr/>
      </w:pPr>
      <w:r>
        <w:rPr/>
        <w:t>Krok 3: Uzyskanie opinii i kosztorysu od lekarza weryfikującego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Kluczowym dowodem jest pisemne zaświadczenie/wpis w dokumentacji od drugiego lekarza weryfikującego, zawierające: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datę badania (fizykalnego i własnej tomografii CBCT),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porównanie aktualnego stanu klinicznego z pierwotnym badaniem CBCT,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jednoznaczne stwierdzenie, że zmiana była widoczna w pierwotnym badaniu CBCT i wymagała wdrożenia leczenia,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plan leczenia naprawczego wraz z kosztorysem. </w:t>
      </w:r>
    </w:p>
    <w:p>
      <w:pPr>
        <w:pStyle w:val="Heading3"/>
        <w:bidi w:val="0"/>
        <w:jc w:val="start"/>
        <w:rPr/>
      </w:pPr>
      <w:r>
        <w:rPr/>
        <w:t>Krok 4: Zgłoszenie szkody do ubezpieczyciela OC (lub wezwanie gabinetu)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Złożenie formalnego zgłoszenia szkody wraz z roszczeniem o odszkodowanie (wyłożenie kosztów leczenia) oraz zadośćuczynienie.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Dołączenie kompletu dowodów: chronologia, dokumentacja medyczna, nośnik z zapisem CBCT (DICOM), opinia weryfikująca, kosztorys, faktury, zdjęcia obrzęku. </w:t>
      </w:r>
    </w:p>
    <w:p>
      <w:pPr>
        <w:pStyle w:val="Heading3"/>
        <w:bidi w:val="0"/>
        <w:jc w:val="start"/>
        <w:rPr/>
      </w:pPr>
      <w:r>
        <w:rPr/>
        <w:t>Krok 5: Postępowanie likwidacyjne i ewentualne odwołanie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Ubezpieczyciel ma 30 dni na wydanie decyzji.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90" w:after="90"/>
        <w:ind w:hanging="283" w:start="709"/>
        <w:rPr/>
      </w:pPr>
      <w:r>
        <w:rPr/>
        <w:t xml:space="preserve">W przypadku odmowy lub rażącego zaniżenia sumy zadośćuczynienia przysługuje: 1. Reklamacja / odwołanie do zakładu ubezpieczeń. 2. Wniosek o interwencję do Rzecznika Finansowego. 3. Wniosek do Rzecznika Praw Pacjenta (jeżeli naruszono prawa pacjenta do dokumentacji lub świadczeń zgodnych z wiedzą medyczną). 4. Droga sądowa (pozew o zapłatę odszkodowania i zadośćuczynienia przed sądem powszechnym). </w:t>
      </w:r>
    </w:p>
    <w:sectPr>
      <w:type w:val="nextPage"/>
      <w:pgSz w:w="11906" w:h="16838"/>
      <w:pgMar w:left="850" w:right="850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ans;DejaVu Sans;Arial;sans-serif" w:hAnsi="Liberation Sans;DejaVu Sans;Arial;sans-serif" w:eastAsia="Liberation Sans;DejaVu Sans;Arial;sans-serif" w:cs="Liberation Sans;DejaVu Sans;Arial;sans-serif"/>
      <w:color w:val="111111"/>
      <w:sz w:val="21"/>
      <w:szCs w:val="21"/>
      <w:lang w:val="pl-PL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6" w:space="6" w:color="333333"/>
      </w:pBdr>
      <w:spacing w:lineRule="auto" w:line="312" w:before="240" w:after="240"/>
      <w:jc w:val="center"/>
    </w:pPr>
    <w:rPr>
      <w:b/>
      <w:bCs/>
      <w:caps/>
      <w:sz w:val="30"/>
      <w:szCs w:val="30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CCCCCC"/>
      </w:pBdr>
      <w:spacing w:before="270" w:after="120"/>
      <w:jc w:val="start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210" w:after="90"/>
      <w:jc w:val="start"/>
      <w:outlineLvl w:val="2"/>
    </w:pPr>
    <w:rPr>
      <w:rFonts w:ascii="Liberation Serif" w:hAnsi="Liberation Serif" w:eastAsia="Noto Serif CJK SC" w:cs="Noto Sans Devanagari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55555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90" w:after="90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cp:revision>0</cp:revision>
  <dc:subject/>
  <dc:title>Poradnik błąd diagnostyczny RTG i procedura 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