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obrazowego — tomografii stożkowej CBCT </w:t>
      </w:r>
      <w:r>
        <w:rPr>
          <w:rStyle w:val="Emphasis"/>
        </w:rPr>
        <w:t>(Cone Beam Computed Tomography, trójwymiarowe badanie 3D)</w:t>
      </w:r>
      <w:r>
        <w:rPr/>
        <w:t xml:space="preserve">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obrazowe — tomografię stożkową CBCT: ........................................................................ </w:t>
      </w:r>
      <w:r>
        <w:rPr>
          <w:rStyle w:val="Emphasis"/>
        </w:rPr>
        <w:t>(obszar ......... / ząb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>Lekarz ten, po badaniu fizykalnym (naocznym zbadaniu stanu klinicznego), wykonaniu własnej tomografii CBCT oraz wnikliwej analizie pierwotnego badania CBCT z dnia ........................ r., jednoznacznie stwierdził, że: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Zmiany chorobowe w postaci: ........................................................................ były </w:t>
      </w:r>
      <w:r>
        <w:rPr>
          <w:rStyle w:val="Strong"/>
        </w:rPr>
        <w:t>wyraźnie widoczne już w pierwotnym badaniu CBCT</w:t>
      </w:r>
      <w:r>
        <w:rPr/>
        <w:t xml:space="preserve">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Prawidłowa ocena radiologiczna nakazywała natychmiastowe wdrożenie leczenia już w dacie pierwszego badania;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Zaniechanie leczenia doprowadziło bezpośrednio do rozwoju ostrego stanu zapalnego, obrzęku i konieczności wdrożenia skomplikowanego, inwazyjnego leczenia naprawczego: ........................................................................;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start="1418"/>
        <w:rPr/>
      </w:pPr>
      <w:r>
        <w:rPr/>
        <w:t xml:space="preserve">Koszt niezbędnego leczenia naprawczego został oszacowany w załączonym planie leczenia na kwotę: ........................ zł.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CBCT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CBCT z dnia ........................ r. (format DICOM)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