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tomografii CBCT)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Wariant A (pierwotne przeoczenie):</w:t>
      </w:r>
      <w:r>
        <w:rPr/>
        <w:t xml:space="preserve"> Wykonanie tomografii stożkowej CBCT </w:t>
      </w:r>
      <w:r>
        <w:rPr>
          <w:rStyle w:val="Emphasis"/>
        </w:rPr>
        <w:t>(Cone Beam Computed Tomography — trójwymiarowe badanie obrazowe 3D, stosowane m.in. w stomatologii, chirurgii szczękowo-twarzowej, ortodoncji i implantologii)</w:t>
      </w:r>
      <w:r>
        <w:rPr/>
        <w:t xml:space="preserve">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Wariant B (nawrót po leczeniu / sporna kontrola — np. torbiel 11/12 po resekcji z 2021 r.):</w:t>
      </w:r>
      <w:r>
        <w:rPr/>
        <w:t xml:space="preserve"> Wcześniejsze skuteczne leczenie (resekcja + wyłuszczenie) i prawidłowe kontrole (np. CBCT z 2023 r.). Sporna kontrola CBCT (np. 04.08.2026) z ustnym „wszystko dobrze, kontrola za rok", bez wdrożenia leczenia. Krótko potem (np. 25.09.2026, ok. 7 tygodni) drugi lekarz stwierdza ropień i nawrót na własnym CBCT. Osią roszczenia jest sporna kontrola, nie leczenie pierwotne.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najpierw wykonuje badanie fizykalne, a następnie własną tomografię CBCT; po wnikliwej analizie wcześniejszego (spornego) badania CBCT stwierdza, że zmiana chorobowa (np. zapalenie okołowierzchołkowe, głęboka próchnica, resorpcja, nawrót torbieli) była widoczna już w spornym badaniu CBCT i powinna być leczona od razu. Dowód kluczowy: pisemne porównanie DICOM obu badań CBCT.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CBCT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CBCT),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 — w wariancie nawrotu liczy się data weryfikacji (np. 25.09.2026), nie data pierwotnego zabiegu (np. 2021).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Kto odpowiada (art. 430 KC):</w:t>
      </w:r>
      <w:r>
        <w:rPr/>
        <w:t xml:space="preserve"> Jeżeli lekarz na spornej kontroli (np. dr na kontroli 04.08.2026) działał jako personel placówki, odpowiada podmiot leczniczy jako zwierzchnik za winę personelu. Ustal to z karty wizyty / pieczątki.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Przyczynienie (art. 362 KC):</w:t>
      </w:r>
      <w:r>
        <w:rPr/>
        <w:t xml:space="preserve"> Jeżeli między objawami a sporną kontrolą była przerwa w zgłaszaniu się (np. objaw w kwietniu, wizyta dopiero w sierpniu), ubezpieczyciel może powołać się na przyczynienie i żądać miarkowania. Nie pomijaj tego faktu w chronologii — opisz jednym zdaniem zgodnie z prawdą; osią roszczenia pozostaje sporna kontrola.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CBCT (format DICOM/oryginalny) do placówki, która wykonywała sporne badanie — a w wariancie nawrotu: pełna historia (zabieg + kontrole) + sporne CBCT + wpis z dnia spornej kontroli. Osobny wniosek do gabinetu weryfikującego o jego dokumentację.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 (fizykalnego i własnej tomografii CBCT),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ze spornym badaniem CBCT (w wariancie nawrotu: DICOM sporny vs DICOM własny, z datami obu badań),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w spornym badaniu CBCT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nośnik z zapisem CBCT (DICOM),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