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RTG)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Zdarzenie pierwotne:</w:t>
      </w:r>
      <w:r>
        <w:rPr/>
        <w:t xml:space="preserve"> Wykonanie badania RTG (pantomogram / punktowe)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Wizyta weryfikacyjna / kontrolna:</w:t>
      </w:r>
      <w:r>
        <w:rPr/>
        <w:t xml:space="preserve"> Kolejny lekarz dentysta w trakcie badania i ponownej oceny wcześniejszego zdjęcia RTG stwierdza, że zmiana chorobowa (np. zapalenie okołowierzchołkowe, głęboka próchnica, resorpcja) była widoczna już na pierwotnym zdjęciu RTG i powinna być leczona od razu.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Zasada odpowiedzialności:</w:t>
      </w:r>
      <w:r>
        <w:rPr/>
        <w:t xml:space="preserve"> Prawidłowe odczytanie RTG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RTG),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Minimalne sumy gwarancyjne (2026 r.):</w:t>
      </w:r>
      <w:r>
        <w:rPr/>
        <w:t xml:space="preserve"> Dla indywidualnej praktyki lekarskiej/dentystycznej wynoszą minimum </w:t>
      </w:r>
      <w:r>
        <w:rPr>
          <w:rStyle w:val="Strong"/>
        </w:rPr>
        <w:t>75 000 EUR na jedno zdarzenie</w:t>
      </w:r>
      <w:r>
        <w:rPr/>
        <w:t xml:space="preserve"> oraz </w:t>
      </w:r>
      <w:r>
        <w:rPr>
          <w:rStyle w:val="Strong"/>
        </w:rPr>
        <w:t>350 000 EUR na wszystkie zdarzenia</w:t>
      </w:r>
      <w:r>
        <w:rPr/>
        <w:t xml:space="preserve"> w okresie ubezpieczenia (tj. ok. 320 000 zł na pojedynczą szkodę).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badanie. Zgodnie z art. 819 § 4 KC zgłoszenie ubezpieczycielowi roszczenia przerywa bieg przedawnienia.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RTG (format DICOM/oryginalny) do placówki, która wykonywała pierwotne badanie.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/>
        <w:t xml:space="preserve">datę badania,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/>
        <w:t xml:space="preserve">porównanie aktualnego stanu klinicznego z pierwotnym zdjęciem RTG,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/>
        <w:t xml:space="preserve">jednoznaczne stwierdzenie, że zmiana była widoczna na pierwotnym RTG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Dołączenie kompletu dowodów: chronologia, dokumentacja medyczna, płyta z RTG,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jc w:val="start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jc w:val="start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start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