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41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7"/>
        <w:gridCol w:w="3060"/>
        <w:gridCol w:w="2940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2" w:hRule="atLeast"/>
        </w:trPr>
        <w:tc>
          <w:tcPr>
            <w:tcW w:w="1567" w:type="dxa"/>
            <w:shd w:val="clear" w:color="auto" w:fill="CFCECE" w:themeFill="background2" w:themeFillShade="E5"/>
          </w:tcPr>
          <w:p>
            <w:pPr>
              <w:ind w:firstLine="320" w:firstLineChars="100"/>
              <w:rPr>
                <w:rFonts w:hint="eastAsia"/>
                <w:color w:val="000000" w:themeColor="text1"/>
                <w:sz w:val="32"/>
                <w:szCs w:val="40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4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工具</w:t>
            </w:r>
          </w:p>
        </w:tc>
        <w:tc>
          <w:tcPr>
            <w:tcW w:w="3060" w:type="dxa"/>
            <w:shd w:val="clear" w:color="auto" w:fill="CFCECE" w:themeFill="background2" w:themeFillShade="E5"/>
          </w:tcPr>
          <w:p>
            <w:pPr>
              <w:ind w:firstLine="640" w:firstLineChars="200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Grunt</w:t>
            </w:r>
          </w:p>
        </w:tc>
        <w:tc>
          <w:tcPr>
            <w:tcW w:w="2940" w:type="dxa"/>
            <w:shd w:val="clear" w:color="auto" w:fill="CFCECE" w:themeFill="background2" w:themeFillShade="E5"/>
          </w:tcPr>
          <w:p>
            <w:pPr>
              <w:ind w:firstLine="640" w:firstLineChars="200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Gulp</w:t>
            </w:r>
          </w:p>
        </w:tc>
        <w:tc>
          <w:tcPr>
            <w:tcW w:w="6600" w:type="dxa"/>
            <w:shd w:val="clear" w:color="auto" w:fill="CFCECE" w:themeFill="background2" w:themeFillShade="E5"/>
          </w:tcPr>
          <w:p>
            <w:pPr>
              <w:ind w:firstLine="2240" w:firstLineChars="700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Webpack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2" w:hRule="atLeast"/>
        </w:trPr>
        <w:tc>
          <w:tcPr>
            <w:tcW w:w="1567" w:type="dxa"/>
            <w:shd w:val="clear" w:color="auto" w:fill="CFCECE" w:themeFill="background2" w:themeFillShade="E5"/>
          </w:tcPr>
          <w:p>
            <w:pPr>
              <w:ind w:firstLine="320" w:firstLineChars="100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功能</w:t>
            </w:r>
          </w:p>
        </w:tc>
        <w:tc>
          <w:tcPr>
            <w:tcW w:w="6000" w:type="dxa"/>
            <w:gridSpan w:val="2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优化前端开发流程的工具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模块化的打包工具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2" w:hRule="atLeast"/>
        </w:trPr>
        <w:tc>
          <w:tcPr>
            <w:tcW w:w="1567" w:type="dxa"/>
            <w:shd w:val="clear" w:color="auto" w:fill="CFCECE" w:themeFill="background2" w:themeFillShade="E5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工作原理</w:t>
            </w:r>
          </w:p>
        </w:tc>
        <w:tc>
          <w:tcPr>
            <w:tcW w:w="6000" w:type="dxa"/>
            <w:gridSpan w:val="2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在一个配置文件中指明对某些文件进行类似 编译、组合、压缩等任务的具体步骤，配置完成之后可以自动完成类似工作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把项目当做一个整体，通过给定的主文件，webpack找到项目的所有依赖文件，通过loader处理它们，最后打包成一个浏览器可识别的文件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2" w:hRule="atLeast"/>
        </w:trPr>
        <w:tc>
          <w:tcPr>
            <w:tcW w:w="1567" w:type="dxa"/>
            <w:shd w:val="clear" w:color="auto" w:fill="CFCECE" w:themeFill="background2" w:themeFillShade="E5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 xml:space="preserve"> </w:t>
            </w:r>
          </w:p>
          <w:p>
            <w:pPr>
              <w:ind w:firstLine="320" w:firstLineChars="100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特点</w:t>
            </w:r>
          </w:p>
        </w:tc>
        <w:tc>
          <w:tcPr>
            <w:tcW w:w="3060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是一个任务管理器，能够大大提高运行前端工作流程。基于node.js的命令行工具，生态系统庞大，有大量插件</w:t>
            </w:r>
          </w:p>
        </w:tc>
        <w:tc>
          <w:tcPr>
            <w:tcW w:w="294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基于流的自动化构建工具易于使用、构建快速、插件高质、易于学习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将松散的模块按照依赖和规则打包成符合生产环境部署的前端资源。按需异步加载模块，通过loader转换，任何资源都可事务模块。新特性：对commentJS、AMD、es6做了兼容；js、css、图片都支持打包；串联模式加载器及插件机制，灵活、可扩展；独立的配置文件；代码分成不同chunk按需加载；强大的plugin接口；异步IO，多级缓存；支持sourceURLs、sourceMaps易于调试</w:t>
            </w:r>
          </w:p>
        </w:tc>
      </w:tr>
    </w:tbl>
    <w:p>
      <w:pPr>
        <w:rPr>
          <w:rFonts w:hint="eastAsia"/>
          <w:sz w:val="32"/>
          <w:szCs w:val="40"/>
          <w:vertAlign w:val="baseline"/>
          <w:lang w:val="en-US" w:eastAsia="zh-CN"/>
        </w:rPr>
      </w:pPr>
    </w:p>
    <w:tbl>
      <w:tblPr>
        <w:tblStyle w:val="4"/>
        <w:tblW w:w="141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3060"/>
        <w:gridCol w:w="2940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567" w:type="dxa"/>
            <w:shd w:val="clear" w:color="auto" w:fill="CFCECE" w:themeFill="background2" w:themeFillShade="E5"/>
          </w:tcPr>
          <w:p>
            <w:pPr>
              <w:ind w:firstLine="320" w:firstLineChars="100"/>
              <w:rPr>
                <w:rFonts w:hint="eastAsia"/>
                <w:color w:val="000000" w:themeColor="text1"/>
                <w:sz w:val="32"/>
                <w:szCs w:val="40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40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060" w:type="dxa"/>
            <w:shd w:val="clear" w:color="auto" w:fill="CFCECE" w:themeFill="background2" w:themeFillShade="E5"/>
          </w:tcPr>
          <w:p>
            <w:pPr>
              <w:ind w:firstLine="640" w:firstLineChars="200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AMD</w:t>
            </w:r>
          </w:p>
        </w:tc>
        <w:tc>
          <w:tcPr>
            <w:tcW w:w="2940" w:type="dxa"/>
            <w:shd w:val="clear" w:color="auto" w:fill="CFCECE" w:themeFill="background2" w:themeFillShade="E5"/>
          </w:tcPr>
          <w:p>
            <w:pPr>
              <w:ind w:firstLine="640" w:firstLineChars="200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CMD</w:t>
            </w:r>
          </w:p>
        </w:tc>
        <w:tc>
          <w:tcPr>
            <w:tcW w:w="6600" w:type="dxa"/>
            <w:shd w:val="clear" w:color="auto" w:fill="CFCECE" w:themeFill="background2" w:themeFillShade="E5"/>
          </w:tcPr>
          <w:p>
            <w:pPr>
              <w:ind w:firstLine="2240" w:firstLineChars="700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CommentJS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567" w:type="dxa"/>
            <w:shd w:val="clear" w:color="auto" w:fill="CFCECE" w:themeFill="background2" w:themeFillShade="E5"/>
          </w:tcPr>
          <w:p>
            <w:pPr>
              <w:ind w:firstLine="320" w:firstLineChars="100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功能</w:t>
            </w:r>
          </w:p>
        </w:tc>
        <w:tc>
          <w:tcPr>
            <w:tcW w:w="6000" w:type="dxa"/>
            <w:gridSpan w:val="2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客户端模块化规范，异步。代表：require.js/sea.js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服务端模块化规范，同步。代表node.js/webpack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567" w:type="dxa"/>
            <w:shd w:val="clear" w:color="auto" w:fill="CFCECE" w:themeFill="background2" w:themeFillShade="E5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工作原理</w:t>
            </w:r>
          </w:p>
        </w:tc>
        <w:tc>
          <w:tcPr>
            <w:tcW w:w="3060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依赖前置，在定义模块的时候就声明其依赖的模块</w:t>
            </w:r>
          </w:p>
        </w:tc>
        <w:tc>
          <w:tcPr>
            <w:tcW w:w="2940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就近依赖，在用到某个模块的时候才去require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一个单独的文件就是一个模块。模块分为{模块引用require}、{模块定义exports}、{模块标识module}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567" w:type="dxa"/>
            <w:shd w:val="clear" w:color="auto" w:fill="CFCECE" w:themeFill="background2" w:themeFillShade="E5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 xml:space="preserve"> 特点</w:t>
            </w:r>
          </w:p>
        </w:tc>
        <w:tc>
          <w:tcPr>
            <w:tcW w:w="6000" w:type="dxa"/>
            <w:gridSpan w:val="2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通过返回一个对象作为模块对象。都支持对方的写法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通过多module.exports或exports的属性赋值来达到暴露模块对象的目的。每个node模块都有一个package.json</w:t>
            </w:r>
          </w:p>
        </w:tc>
      </w:tr>
    </w:tbl>
    <w:p>
      <w:pPr>
        <w:rPr>
          <w:rFonts w:hint="eastAsia"/>
          <w:sz w:val="32"/>
          <w:szCs w:val="40"/>
          <w:vertAlign w:val="baseline"/>
          <w:lang w:val="en-US" w:eastAsia="zh-CN"/>
        </w:rPr>
      </w:pPr>
      <w:r>
        <w:rPr>
          <w:rFonts w:hint="eastAsia"/>
          <w:sz w:val="32"/>
          <w:szCs w:val="40"/>
          <w:vertAlign w:val="baseline"/>
          <w:lang w:val="en-US" w:eastAsia="zh-CN"/>
        </w:rPr>
        <w:t>浏览器不支持commonJs的根本原因是，缺少4个node.js环境变量：module、exports、require、global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37A68"/>
    <w:rsid w:val="5F33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2017-08-23T08:40:00Z</dcterms:created>
  <dc:creator>admin</dc:creator>
  <cp:lastModifiedBy>admin</cp:lastModifiedBy>
  <dcterms:modified xsi:type="dcterms:W3CDTF">2017-08-23T09:58:52Z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