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56"/>
        </w:rPr>
        <w:t>USED-CAR MARKET</w:t>
        <w:br/>
        <w:t>INTELLIGENCE WAREHOUSE</w:t>
      </w:r>
    </w:p>
    <w:p>
      <w:pPr>
        <w:jc w:val="center"/>
      </w:pPr>
      <w:r>
        <w:rPr>
          <w:b/>
          <w:color w:val="2F75B5"/>
          <w:sz w:val="32"/>
        </w:rPr>
        <w:t>Agent-First V1 Blueprint &amp; Execution Specification</w:t>
      </w:r>
    </w:p>
    <w:p>
      <w:pPr>
        <w:spacing w:before="360"/>
        <w:jc w:val="center"/>
      </w:pPr>
      <w:r>
        <w:rPr>
          <w:color w:val="5B6573"/>
          <w:sz w:val="21"/>
        </w:rPr>
        <w:t>Completion-first implementation • Data Engineering • Advanced SQL • Warehousing • Power BI</w:t>
      </w:r>
    </w:p>
    <w:p>
      <w:pPr>
        <w:pStyle w:val="Callout"/>
        <w:shd w:fill="E2F0D9"/>
      </w:pPr>
      <w:r>
        <w:rPr>
          <w:b/>
        </w:rPr>
        <w:t>Operating model: Claude (or another coding agent) owns implementation and verification; Mustafa owns project direction, final review, and the GUI-only Power BI finish if automation cannot complete it.</w:t>
      </w:r>
    </w:p>
    <w:p>
      <w:pPr>
        <w:spacing w:before="1800"/>
        <w:jc w:val="center"/>
      </w:pPr>
      <w:r>
        <w:rPr>
          <w:color w:val="5B6573"/>
          <w:sz w:val="18"/>
        </w:rPr>
        <w:t>Version 1.0  |  October 2, 2026</w:t>
      </w:r>
    </w:p>
    <w:p>
      <w:r>
        <w:br w:type="page"/>
      </w:r>
    </w:p>
    <w:p>
      <w:pPr>
        <w:pStyle w:val="Heading1"/>
      </w:pPr>
      <w:r>
        <w:t>How to Use This Document</w:t>
      </w:r>
    </w:p>
    <w:p>
      <w:r>
        <w:t>This document replaces the learning-first V1 plan with an agent-execution specification. Its purpose is to let a capable coding agent implement the project end-to-end with minimal human interruption while preserving strict scope, data honesty, reproducibility, and acceptance testing.</w:t>
      </w:r>
    </w:p>
    <w:p>
      <w:pPr>
        <w:pStyle w:val="Callout"/>
        <w:shd w:fill="FFF2CC"/>
      </w:pPr>
      <w:r>
        <w:rPr>
          <w:b/>
        </w:rPr>
        <w:t>The agent should not stop after “writing the code.” Completion means the clean-bootstrap, idempotency, incremental-load, transformation-test, orchestration, and portfolio-documentation gates in this specification have all been exercised and evidenced.</w:t>
      </w:r>
    </w:p>
    <w:p>
      <w:pPr>
        <w:pStyle w:val="ListBullet"/>
        <w:spacing w:after="40"/>
      </w:pPr>
      <w:r>
        <w:t>Primary implementer: Claude Code (or equivalent coding agent).</w:t>
      </w:r>
    </w:p>
    <w:p>
      <w:pPr>
        <w:pStyle w:val="ListBullet"/>
        <w:spacing w:after="40"/>
      </w:pPr>
      <w:r>
        <w:t>Hard maximum scope: the original nine-day V1 boundary still applies, but expected agent-first completion is substantially faster.</w:t>
      </w:r>
    </w:p>
    <w:p>
      <w:pPr>
        <w:pStyle w:val="ListBullet"/>
        <w:spacing w:after="40"/>
      </w:pPr>
      <w:r>
        <w:t>Human intervention is reserved for genuine environment blockers, credentials/permissions, and Power BI Desktop work that cannot be completed reliably through code.</w:t>
      </w:r>
    </w:p>
    <w:p>
      <w:pPr>
        <w:pStyle w:val="ListBullet"/>
        <w:spacing w:after="40"/>
      </w:pPr>
      <w:r>
        <w:t>The agent may refactor implementation details when needed, but may not expand the product scope or silently change business semantics.</w:t>
      </w:r>
    </w:p>
    <w:p>
      <w:pPr>
        <w:pStyle w:val="ListBullet"/>
        <w:spacing w:after="40"/>
      </w:pPr>
      <w:r>
        <w:t>All resume claims must be based on measured final results, not planned functionality.</w:t>
      </w:r>
    </w:p>
    <w:p>
      <w:pPr>
        <w:pStyle w:val="Heading2"/>
      </w:pPr>
      <w:r>
        <w:t>Contents</w:t>
      </w:r>
    </w:p>
    <w:p>
      <w:pPr>
        <w:pStyle w:val="ListBullet"/>
        <w:spacing w:after="40"/>
      </w:pPr>
      <w:r>
        <w:t>1. Mission and success criteria</w:t>
      </w:r>
    </w:p>
    <w:p>
      <w:pPr>
        <w:pStyle w:val="ListBullet"/>
        <w:spacing w:after="40"/>
      </w:pPr>
      <w:r>
        <w:t>2. Non-negotiable scope boundaries</w:t>
      </w:r>
    </w:p>
    <w:p>
      <w:pPr>
        <w:pStyle w:val="ListBullet"/>
        <w:spacing w:after="40"/>
      </w:pPr>
      <w:r>
        <w:t>3. Data-source contract and source preflight</w:t>
      </w:r>
    </w:p>
    <w:p>
      <w:pPr>
        <w:pStyle w:val="ListBullet"/>
        <w:spacing w:after="40"/>
      </w:pPr>
      <w:r>
        <w:t>4. Frozen architecture</w:t>
      </w:r>
    </w:p>
    <w:p>
      <w:pPr>
        <w:pStyle w:val="ListBullet"/>
        <w:spacing w:after="40"/>
      </w:pPr>
      <w:r>
        <w:t>5. Technology stack</w:t>
      </w:r>
    </w:p>
    <w:p>
      <w:pPr>
        <w:pStyle w:val="ListBullet"/>
        <w:spacing w:after="40"/>
      </w:pPr>
      <w:r>
        <w:t>6. PostgreSQL schemas and raw layer</w:t>
      </w:r>
    </w:p>
    <w:p>
      <w:pPr>
        <w:pStyle w:val="ListBullet"/>
        <w:spacing w:after="40"/>
      </w:pPr>
      <w:r>
        <w:t>7. Incremental ingestion and idempotency</w:t>
      </w:r>
    </w:p>
    <w:p>
      <w:pPr>
        <w:pStyle w:val="ListBullet"/>
        <w:spacing w:after="40"/>
      </w:pPr>
      <w:r>
        <w:t>8. dbt transformation design</w:t>
      </w:r>
    </w:p>
    <w:p>
      <w:pPr>
        <w:pStyle w:val="ListBullet"/>
        <w:spacing w:after="40"/>
      </w:pPr>
      <w:r>
        <w:t>9. Dimensional warehouse</w:t>
      </w:r>
    </w:p>
    <w:p>
      <w:pPr>
        <w:pStyle w:val="ListBullet"/>
        <w:spacing w:after="40"/>
      </w:pPr>
      <w:r>
        <w:t>10. Advanced SQL deliverable</w:t>
      </w:r>
    </w:p>
    <w:p>
      <w:pPr>
        <w:pStyle w:val="ListBullet"/>
        <w:spacing w:after="40"/>
      </w:pPr>
      <w:r>
        <w:t>11. Prefect orchestration</w:t>
      </w:r>
    </w:p>
    <w:p>
      <w:pPr>
        <w:pStyle w:val="ListBullet"/>
        <w:spacing w:after="40"/>
      </w:pPr>
      <w:r>
        <w:t>12. Testing and acceptance</w:t>
      </w:r>
    </w:p>
    <w:p>
      <w:pPr>
        <w:pStyle w:val="ListBullet"/>
        <w:spacing w:after="40"/>
      </w:pPr>
      <w:r>
        <w:t>13. Power BI deliverable</w:t>
      </w:r>
    </w:p>
    <w:p>
      <w:pPr>
        <w:pStyle w:val="ListBullet"/>
        <w:spacing w:after="40"/>
      </w:pPr>
      <w:r>
        <w:t>14. Repository and documentation</w:t>
      </w:r>
    </w:p>
    <w:p>
      <w:pPr>
        <w:pStyle w:val="ListBullet"/>
        <w:spacing w:after="40"/>
      </w:pPr>
      <w:r>
        <w:t>15. Agent autonomy and decision rights</w:t>
      </w:r>
    </w:p>
    <w:p>
      <w:pPr>
        <w:pStyle w:val="ListBullet"/>
        <w:spacing w:after="40"/>
      </w:pPr>
      <w:r>
        <w:t>16. Execution phases</w:t>
      </w:r>
    </w:p>
    <w:p>
      <w:pPr>
        <w:pStyle w:val="ListBullet"/>
        <w:spacing w:after="40"/>
      </w:pPr>
      <w:r>
        <w:t>17. Definition of Done</w:t>
      </w:r>
    </w:p>
    <w:p>
      <w:pPr>
        <w:pStyle w:val="ListBullet"/>
        <w:spacing w:after="40"/>
      </w:pPr>
      <w:r>
        <w:t>18. Portfolio and interview handoff</w:t>
      </w:r>
    </w:p>
    <w:p>
      <w:pPr>
        <w:pStyle w:val="ListBullet"/>
        <w:spacing w:after="40"/>
      </w:pPr>
      <w:r>
        <w:t>Appendix A. Agent kickoff prompt</w:t>
      </w:r>
    </w:p>
    <w:p>
      <w:pPr>
        <w:pStyle w:val="ListBullet"/>
        <w:spacing w:after="40"/>
      </w:pPr>
      <w:r>
        <w:t>Appendix B. Source notes</w:t>
      </w:r>
    </w:p>
    <w:p>
      <w:r>
        <w:br w:type="page"/>
      </w:r>
    </w:p>
    <w:p>
      <w:pPr>
        <w:pStyle w:val="Heading1"/>
      </w:pPr>
      <w:r>
        <w:t>1. Mission and Success Criteria</w:t>
      </w:r>
    </w:p>
    <w:p>
      <w:r>
        <w:t>Build a compact, defensible, resume-ready analytics data system for recent U.S. used-vehicle listings. The project exists to demonstrate the architecture and engineering skills that are underrepresented elsewhere in the portfolio: ingestion, incremental loading, PostgreSQL warehousing, dimensional modeling, dbt, data quality, advanced SQL, orchestration, and Power BI.</w:t>
      </w:r>
    </w:p>
    <w:p>
      <w:pPr>
        <w:pStyle w:val="CodeBlock"/>
        <w:keepLines/>
        <w:shd w:fill="F3F6F9"/>
      </w:pPr>
      <w:r>
        <w:rPr>
          <w:rFonts w:ascii="Consolas" w:hAnsi="Consolas"/>
          <w:sz w:val="17"/>
        </w:rPr>
        <w:t>external Parquet data</w:t>
        <w:br/>
        <w:t xml:space="preserve">        ↓</w:t>
        <w:br/>
        <w:t>Python source discovery + validation</w:t>
        <w:br/>
        <w:t xml:space="preserve">        ↓</w:t>
        <w:br/>
        <w:t>PostgreSQL raw + metadata</w:t>
        <w:br/>
        <w:t xml:space="preserve">        ↓</w:t>
        <w:br/>
        <w:t>dbt staging + intermediate transformations</w:t>
        <w:br/>
        <w:t xml:space="preserve">        ↓</w:t>
        <w:br/>
        <w:t>dimensional PostgreSQL warehouse</w:t>
        <w:br/>
        <w:t xml:space="preserve">        ↓</w:t>
        <w:br/>
        <w:t>advanced SQL + Power BI</w:t>
        <w:br/>
        <w:t xml:space="preserve">        ↓</w:t>
        <w:br/>
        <w:t>verified portfolio artifact</w:t>
      </w:r>
    </w:p>
    <w:p>
      <w:pPr>
        <w:pStyle w:val="Callout"/>
        <w:shd w:fill="D9EAF7"/>
      </w:pPr>
      <w:r>
        <w:rPr>
          <w:b/>
        </w:rPr>
        <w:t>The vehicle domain is the wrapper. The recruiter signal is the data architecture.</w:t>
      </w:r>
    </w:p>
    <w:p>
      <w:pPr>
        <w:pStyle w:val="Heading2"/>
      </w:pPr>
      <w:r>
        <w:t>Completion-first operating priority</w:t>
      </w:r>
    </w:p>
    <w:p>
      <w:pPr>
        <w:spacing w:after="40"/>
        <w:ind w:left="317" w:hanging="317"/>
      </w:pPr>
      <w:r>
        <w:rPr>
          <w:b w:val="0"/>
        </w:rPr>
        <w:t xml:space="preserve">1.  </w:t>
      </w:r>
      <w:r>
        <w:t>Produce a working, tested project suitable for GitHub and resume use.</w:t>
      </w:r>
    </w:p>
    <w:p>
      <w:pPr>
        <w:spacing w:after="40"/>
        <w:ind w:left="317" w:hanging="317"/>
      </w:pPr>
      <w:r>
        <w:rPr>
          <w:b w:val="0"/>
        </w:rPr>
        <w:t xml:space="preserve">2.  </w:t>
      </w:r>
      <w:r>
        <w:t>Keep every claim technically accurate and defensible.</w:t>
      </w:r>
    </w:p>
    <w:p>
      <w:pPr>
        <w:spacing w:after="40"/>
        <w:ind w:left="317" w:hanging="317"/>
      </w:pPr>
      <w:r>
        <w:rPr>
          <w:b w:val="0"/>
        </w:rPr>
        <w:t xml:space="preserve">3.  </w:t>
      </w:r>
      <w:r>
        <w:t>Use agent autonomy to compress implementation time.</w:t>
      </w:r>
    </w:p>
    <w:p>
      <w:pPr>
        <w:spacing w:after="40"/>
        <w:ind w:left="317" w:hanging="317"/>
      </w:pPr>
      <w:r>
        <w:rPr>
          <w:b w:val="0"/>
        </w:rPr>
        <w:t xml:space="preserve">4.  </w:t>
      </w:r>
      <w:r>
        <w:t>After completion, perform a focused learning pass so the project can be explained in interviews.</w:t>
      </w:r>
    </w:p>
    <w:p>
      <w:pPr>
        <w:pStyle w:val="Heading1"/>
      </w:pPr>
      <w:r>
        <w:t>2. Non-Negotiable Scope Boundaries</w:t>
      </w:r>
    </w:p>
    <w:p>
      <w:r>
        <w:t>The agent must actively reject scope creep. The following are explicitly outside V1 unless required to make the specified pipeline work:</w:t>
      </w:r>
    </w:p>
    <w:p>
      <w:pPr>
        <w:pStyle w:val="ListBullet"/>
        <w:spacing w:after="40"/>
      </w:pPr>
      <w:r>
        <w:t>Consumer search UI, user accounts, authentication, favorites, garages, alerts, messaging, or profiles.</w:t>
      </w:r>
    </w:p>
    <w:p>
      <w:pPr>
        <w:pStyle w:val="ListBullet"/>
        <w:spacing w:after="40"/>
      </w:pPr>
      <w:r>
        <w:t>Dealer marketplace features, financing, payments, lead generation, or listing submission.</w:t>
      </w:r>
    </w:p>
    <w:p>
      <w:pPr>
        <w:pStyle w:val="ListBullet"/>
        <w:spacing w:after="40"/>
      </w:pPr>
      <w:r>
        <w:t>AutoTrader/CarGurus/KBB scraping.</w:t>
      </w:r>
    </w:p>
    <w:p>
      <w:pPr>
        <w:pStyle w:val="ListBullet"/>
        <w:spacing w:after="40"/>
      </w:pPr>
      <w:r>
        <w:t>Production-grade vehicle valuation ML or an authoritative “KBB replacement.”</w:t>
      </w:r>
    </w:p>
    <w:p>
      <w:pPr>
        <w:pStyle w:val="ListBullet"/>
        <w:spacing w:after="40"/>
      </w:pPr>
      <w:r>
        <w:t>React/mobile front ends.</w:t>
      </w:r>
    </w:p>
    <w:p>
      <w:pPr>
        <w:pStyle w:val="ListBullet"/>
        <w:spacing w:after="40"/>
      </w:pPr>
      <w:r>
        <w:t>Kafka, Spark, Kubernetes, microservices, or enterprise infrastructure added mainly for technology name-dropping.</w:t>
      </w:r>
    </w:p>
    <w:p>
      <w:pPr>
        <w:pStyle w:val="ListBullet"/>
        <w:spacing w:after="40"/>
      </w:pPr>
      <w:r>
        <w:t>Production cloud deployment unless the core V1 is already complete and the deployment is trivial.</w:t>
      </w:r>
    </w:p>
    <w:p>
      <w:pPr>
        <w:pStyle w:val="ListBullet"/>
        <w:spacing w:after="40"/>
      </w:pPr>
      <w:r>
        <w:t>VIN/NHTSA enrichment unless the source preflight proves a legitimate, usable VIN field is currently available.</w:t>
      </w:r>
    </w:p>
    <w:p>
      <w:pPr>
        <w:pStyle w:val="ListBullet"/>
        <w:spacing w:after="40"/>
      </w:pPr>
      <w:r>
        <w:t>Longitudinal price-history claims that the source does not actually support.</w:t>
      </w:r>
    </w:p>
    <w:p>
      <w:pPr>
        <w:pStyle w:val="Heading1"/>
      </w:pPr>
      <w:r>
        <w:t>3. Data-Source Contract and Mandatory Preflight</w:t>
      </w:r>
    </w:p>
    <w:p>
      <w:r>
        <w:t>Primary planned source: the public rebrowser/autotrader-dataset repository distributed through Hugging Face under the license shown on its dataset card. The current public sample is organized as daily Parquet partitions and is suitable for demonstrating source discovery and incremental file ingestion.</w:t>
      </w:r>
    </w:p>
    <w:p>
      <w:pPr>
        <w:pStyle w:val="Callout"/>
        <w:shd w:fill="FCE4D6"/>
      </w:pPr>
      <w:r>
        <w:rPr>
          <w:b/>
        </w:rPr>
        <w:t>Critical limitation as of the blueprint date: public sample data marks actual salePrice and vin as premium/redacted. V1 must never label KBB reference ranges as actual listing asking prices, and must not pretend VIN-based enrichment exists when VIN values are unavailable.</w:t>
      </w:r>
    </w:p>
    <w:p>
      <w:pPr>
        <w:pStyle w:val="Heading2"/>
      </w:pPr>
      <w:r>
        <w:t>Mandatory source preflight before implementation</w:t>
      </w:r>
    </w:p>
    <w:p>
      <w:pPr>
        <w:spacing w:after="40"/>
        <w:ind w:left="317" w:hanging="317"/>
      </w:pPr>
      <w:r>
        <w:rPr>
          <w:b w:val="0"/>
        </w:rPr>
        <w:t xml:space="preserve">1.  </w:t>
      </w:r>
      <w:r>
        <w:t>Inspect the current dataset card, license, repository file layout, and one representative Parquet file.</w:t>
      </w:r>
    </w:p>
    <w:p>
      <w:pPr>
        <w:spacing w:after="40"/>
        <w:ind w:left="317" w:hanging="317"/>
      </w:pPr>
      <w:r>
        <w:rPr>
          <w:b w:val="0"/>
        </w:rPr>
        <w:t xml:space="preserve">2.  </w:t>
      </w:r>
      <w:r>
        <w:t>Record the observed schema and current partition naming convention in docs/source_preflight.md.</w:t>
      </w:r>
    </w:p>
    <w:p>
      <w:pPr>
        <w:spacing w:after="40"/>
        <w:ind w:left="317" w:hanging="317"/>
      </w:pPr>
      <w:r>
        <w:rPr>
          <w:b w:val="0"/>
        </w:rPr>
        <w:t xml:space="preserve">3.  </w:t>
      </w:r>
      <w:r>
        <w:t>Verify whether salePrice and vin remain redacted/premium. If they are usable and license-compatible, the agent may propose a narrow enhancement; otherwise the blueprint below remains authoritative.</w:t>
      </w:r>
    </w:p>
    <w:p>
      <w:pPr>
        <w:spacing w:after="40"/>
        <w:ind w:left="317" w:hanging="317"/>
      </w:pPr>
      <w:r>
        <w:rPr>
          <w:b w:val="0"/>
        </w:rPr>
        <w:t xml:space="preserve">4.  </w:t>
      </w:r>
      <w:r>
        <w:t>Verify that kbbFairPriceLow and kbbFairPriceHigh (or equivalent reference-value fields) are present and numerically usable.</w:t>
      </w:r>
    </w:p>
    <w:p>
      <w:pPr>
        <w:spacing w:after="40"/>
        <w:ind w:left="317" w:hanging="317"/>
      </w:pPr>
      <w:r>
        <w:rPr>
          <w:b w:val="0"/>
        </w:rPr>
        <w:t xml:space="preserve">5.  </w:t>
      </w:r>
      <w:r>
        <w:t>Verify listing identifiers and first/last-seen timestamps.</w:t>
      </w:r>
    </w:p>
    <w:p>
      <w:pPr>
        <w:spacing w:after="40"/>
        <w:ind w:left="317" w:hanging="317"/>
      </w:pPr>
      <w:r>
        <w:rPr>
          <w:b w:val="0"/>
        </w:rPr>
        <w:t xml:space="preserve">6.  </w:t>
      </w:r>
      <w:r>
        <w:t>If a field name has changed but semantics are equivalent, adapt the source adapter and document the mapping. Do not silently fabricate missing semantics.</w:t>
      </w:r>
    </w:p>
    <w:p>
      <w:pPr>
        <w:pStyle w:val="Heading2"/>
      </w:pPr>
      <w:r>
        <w:t>V1 analytical vocabulary</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2160"/>
            <w:shd w:fill="17365D"/>
            <w:vAlign w:val="center"/>
            <w:tcMar>
              <w:top w:w="80" w:type="dxa"/>
              <w:start w:w="90" w:type="dxa"/>
              <w:bottom w:w="80" w:type="dxa"/>
              <w:end w:w="90" w:type="dxa"/>
            </w:tcMar>
          </w:tcPr>
          <w:p>
            <w:pPr>
              <w:spacing w:after="0"/>
            </w:pPr>
            <w:r/>
            <w:r>
              <w:rPr>
                <w:rFonts w:ascii="Aptos" w:hAnsi="Aptos"/>
                <w:b/>
                <w:color w:val="FFFFFF"/>
                <w:sz w:val="17"/>
              </w:rPr>
              <w:t>Term</w:t>
            </w:r>
          </w:p>
        </w:tc>
        <w:tc>
          <w:tcPr>
            <w:tcW w:type="dxa" w:w="7776"/>
            <w:shd w:fill="17365D"/>
            <w:vAlign w:val="center"/>
            <w:tcMar>
              <w:top w:w="80" w:type="dxa"/>
              <w:start w:w="90" w:type="dxa"/>
              <w:bottom w:w="80" w:type="dxa"/>
              <w:end w:w="90" w:type="dxa"/>
            </w:tcMar>
          </w:tcPr>
          <w:p>
            <w:pPr>
              <w:spacing w:after="0"/>
            </w:pPr>
            <w:r/>
            <w:r>
              <w:rPr>
                <w:rFonts w:ascii="Aptos" w:hAnsi="Aptos"/>
                <w:b/>
                <w:color w:val="FFFFFF"/>
                <w:sz w:val="17"/>
              </w:rPr>
              <w:t>Meaning in V1</w:t>
            </w:r>
          </w:p>
        </w:tc>
      </w:tr>
      <w:tr>
        <w:trPr>
          <w:cantSplit/>
        </w:trPr>
        <w:tc>
          <w:tcPr>
            <w:tcW w:type="dxa" w:w="2160"/>
            <w:vAlign w:val="center"/>
            <w:tcMar>
              <w:top w:w="80" w:type="dxa"/>
              <w:start w:w="90" w:type="dxa"/>
              <w:bottom w:w="80" w:type="dxa"/>
              <w:end w:w="90" w:type="dxa"/>
            </w:tcMar>
          </w:tcPr>
          <w:p>
            <w:pPr>
              <w:spacing w:after="0"/>
            </w:pPr>
            <w:r/>
            <w:r>
              <w:rPr>
                <w:rFonts w:ascii="Aptos" w:hAnsi="Aptos"/>
                <w:b w:val="0"/>
                <w:color w:val="1F2937"/>
                <w:sz w:val="16"/>
              </w:rPr>
              <w:t>Listing</w:t>
            </w:r>
          </w:p>
        </w:tc>
        <w:tc>
          <w:tcPr>
            <w:tcW w:type="dxa" w:w="7776"/>
            <w:vAlign w:val="center"/>
            <w:tcMar>
              <w:top w:w="80" w:type="dxa"/>
              <w:start w:w="90" w:type="dxa"/>
              <w:bottom w:w="80" w:type="dxa"/>
              <w:end w:w="90" w:type="dxa"/>
            </w:tcMar>
          </w:tcPr>
          <w:p>
            <w:pPr>
              <w:spacing w:after="0"/>
            </w:pPr>
            <w:r/>
            <w:r>
              <w:rPr>
                <w:rFonts w:ascii="Aptos" w:hAnsi="Aptos"/>
                <w:b w:val="0"/>
                <w:color w:val="1F2937"/>
                <w:sz w:val="16"/>
              </w:rPr>
              <w:t>A source listing record identified by listing_id after deduplication.</w:t>
            </w:r>
          </w:p>
        </w:tc>
      </w:tr>
      <w:tr>
        <w:trPr>
          <w:cantSplit/>
        </w:trPr>
        <w:tc>
          <w:tcPr>
            <w:tcW w:type="dxa" w:w="2160"/>
            <w:shd w:fill="F3F6F9"/>
            <w:vAlign w:val="center"/>
            <w:tcMar>
              <w:top w:w="80" w:type="dxa"/>
              <w:start w:w="90" w:type="dxa"/>
              <w:bottom w:w="80" w:type="dxa"/>
              <w:end w:w="90" w:type="dxa"/>
            </w:tcMar>
          </w:tcPr>
          <w:p>
            <w:pPr>
              <w:spacing w:after="0"/>
            </w:pPr>
            <w:r/>
            <w:r>
              <w:rPr>
                <w:rFonts w:ascii="Aptos" w:hAnsi="Aptos"/>
                <w:b w:val="0"/>
                <w:color w:val="1F2937"/>
                <w:sz w:val="16"/>
              </w:rPr>
              <w:t>Reference value</w:t>
            </w:r>
          </w:p>
        </w:tc>
        <w:tc>
          <w:tcPr>
            <w:tcW w:type="dxa" w:w="7776"/>
            <w:shd w:fill="F3F6F9"/>
            <w:vAlign w:val="center"/>
            <w:tcMar>
              <w:top w:w="80" w:type="dxa"/>
              <w:start w:w="90" w:type="dxa"/>
              <w:bottom w:w="80" w:type="dxa"/>
              <w:end w:w="90" w:type="dxa"/>
            </w:tcMar>
          </w:tcPr>
          <w:p>
            <w:pPr>
              <w:spacing w:after="0"/>
            </w:pPr>
            <w:r/>
            <w:r>
              <w:rPr>
                <w:rFonts w:ascii="Aptos" w:hAnsi="Aptos"/>
                <w:b w:val="0"/>
                <w:color w:val="1F2937"/>
                <w:sz w:val="16"/>
              </w:rPr>
              <w:t>Source-provided KBB fair-price range or its midpoint; not the listing asking price.</w:t>
            </w:r>
          </w:p>
        </w:tc>
      </w:tr>
      <w:tr>
        <w:trPr>
          <w:cantSplit/>
        </w:trPr>
        <w:tc>
          <w:tcPr>
            <w:tcW w:type="dxa" w:w="2160"/>
            <w:vAlign w:val="center"/>
            <w:tcMar>
              <w:top w:w="80" w:type="dxa"/>
              <w:start w:w="90" w:type="dxa"/>
              <w:bottom w:w="80" w:type="dxa"/>
              <w:end w:w="90" w:type="dxa"/>
            </w:tcMar>
          </w:tcPr>
          <w:p>
            <w:pPr>
              <w:spacing w:after="0"/>
            </w:pPr>
            <w:r/>
            <w:r>
              <w:rPr>
                <w:rFonts w:ascii="Aptos" w:hAnsi="Aptos"/>
                <w:b w:val="0"/>
                <w:color w:val="1F2937"/>
                <w:sz w:val="16"/>
              </w:rPr>
              <w:t>Vehicle configuration</w:t>
            </w:r>
          </w:p>
        </w:tc>
        <w:tc>
          <w:tcPr>
            <w:tcW w:type="dxa" w:w="7776"/>
            <w:vAlign w:val="center"/>
            <w:tcMar>
              <w:top w:w="80" w:type="dxa"/>
              <w:start w:w="90" w:type="dxa"/>
              <w:bottom w:w="80" w:type="dxa"/>
              <w:end w:w="90" w:type="dxa"/>
            </w:tcMar>
          </w:tcPr>
          <w:p>
            <w:pPr>
              <w:spacing w:after="0"/>
            </w:pPr>
            <w:r/>
            <w:r>
              <w:rPr>
                <w:rFonts w:ascii="Aptos" w:hAnsi="Aptos"/>
                <w:b w:val="0"/>
                <w:color w:val="1F2937"/>
                <w:sz w:val="16"/>
              </w:rPr>
              <w:t>Year/make/model/trim/body/engine/drivetrain/transmission grouping; not a unique physical car when VIN is absent.</w:t>
            </w:r>
          </w:p>
        </w:tc>
      </w:tr>
      <w:tr>
        <w:trPr>
          <w:cantSplit/>
        </w:trPr>
        <w:tc>
          <w:tcPr>
            <w:tcW w:type="dxa" w:w="2160"/>
            <w:shd w:fill="F3F6F9"/>
            <w:vAlign w:val="center"/>
            <w:tcMar>
              <w:top w:w="80" w:type="dxa"/>
              <w:start w:w="90" w:type="dxa"/>
              <w:bottom w:w="80" w:type="dxa"/>
              <w:end w:w="90" w:type="dxa"/>
            </w:tcMar>
          </w:tcPr>
          <w:p>
            <w:pPr>
              <w:spacing w:after="0"/>
            </w:pPr>
            <w:r/>
            <w:r>
              <w:rPr>
                <w:rFonts w:ascii="Aptos" w:hAnsi="Aptos"/>
                <w:b w:val="0"/>
                <w:color w:val="1F2937"/>
                <w:sz w:val="16"/>
              </w:rPr>
              <w:t>Incremental load</w:t>
            </w:r>
          </w:p>
        </w:tc>
        <w:tc>
          <w:tcPr>
            <w:tcW w:type="dxa" w:w="7776"/>
            <w:shd w:fill="F3F6F9"/>
            <w:vAlign w:val="center"/>
            <w:tcMar>
              <w:top w:w="80" w:type="dxa"/>
              <w:start w:w="90" w:type="dxa"/>
              <w:bottom w:w="80" w:type="dxa"/>
              <w:end w:w="90" w:type="dxa"/>
            </w:tcMar>
          </w:tcPr>
          <w:p>
            <w:pPr>
              <w:spacing w:after="0"/>
            </w:pPr>
            <w:r/>
            <w:r>
              <w:rPr>
                <w:rFonts w:ascii="Aptos" w:hAnsi="Aptos"/>
                <w:b w:val="0"/>
                <w:color w:val="1F2937"/>
                <w:sz w:val="16"/>
              </w:rPr>
              <w:t>Processing only unseen/changed source partitions and upserting changed records.</w:t>
            </w:r>
          </w:p>
        </w:tc>
      </w:tr>
      <w:tr>
        <w:trPr>
          <w:cantSplit/>
        </w:trPr>
        <w:tc>
          <w:tcPr>
            <w:tcW w:type="dxa" w:w="2160"/>
            <w:vAlign w:val="center"/>
            <w:tcMar>
              <w:top w:w="80" w:type="dxa"/>
              <w:start w:w="90" w:type="dxa"/>
              <w:bottom w:w="80" w:type="dxa"/>
              <w:end w:w="90" w:type="dxa"/>
            </w:tcMar>
          </w:tcPr>
          <w:p>
            <w:pPr>
              <w:spacing w:after="0"/>
            </w:pPr>
            <w:r/>
            <w:r>
              <w:rPr>
                <w:rFonts w:ascii="Aptos" w:hAnsi="Aptos"/>
                <w:b w:val="0"/>
                <w:color w:val="1F2937"/>
                <w:sz w:val="16"/>
              </w:rPr>
              <w:t>Latest observed listing</w:t>
            </w:r>
          </w:p>
        </w:tc>
        <w:tc>
          <w:tcPr>
            <w:tcW w:type="dxa" w:w="7776"/>
            <w:vAlign w:val="center"/>
            <w:tcMar>
              <w:top w:w="80" w:type="dxa"/>
              <w:start w:w="90" w:type="dxa"/>
              <w:bottom w:w="80" w:type="dxa"/>
              <w:end w:w="90" w:type="dxa"/>
            </w:tcMar>
          </w:tcPr>
          <w:p>
            <w:pPr>
              <w:spacing w:after="0"/>
            </w:pPr>
            <w:r/>
            <w:r>
              <w:rPr>
                <w:rFonts w:ascii="Aptos" w:hAnsi="Aptos"/>
                <w:b w:val="0"/>
                <w:color w:val="1F2937"/>
                <w:sz w:val="16"/>
              </w:rPr>
              <w:t>The most recent valid source representation retained for the core fact table.</w:t>
            </w:r>
          </w:p>
        </w:tc>
      </w:tr>
    </w:tbl>
    <w:p>
      <w:pPr>
        <w:spacing w:after="20"/>
      </w:pPr>
    </w:p>
    <w:p>
      <w:pPr>
        <w:pStyle w:val="Heading1"/>
      </w:pPr>
      <w:r>
        <w:t>4. Frozen Architecture</w:t>
      </w:r>
    </w:p>
    <w:p>
      <w:pPr>
        <w:pStyle w:val="CodeBlock"/>
        <w:keepLines/>
        <w:shd w:fill="F3F6F9"/>
      </w:pPr>
      <w:r>
        <w:rPr>
          <w:rFonts w:ascii="Consolas" w:hAnsi="Consolas"/>
          <w:sz w:val="17"/>
        </w:rPr>
        <w:t>Hugging Face daily Parquet partitions</w:t>
        <w:br/>
        <w:t xml:space="preserve">               │</w:t>
        <w:br/>
        <w:t xml:space="preserve">               ▼</w:t>
        <w:br/>
        <w:t xml:space="preserve">     Python source discovery</w:t>
        <w:br/>
        <w:t xml:space="preserve">               │</w:t>
        <w:br/>
        <w:t xml:space="preserve">               ▼</w:t>
        <w:br/>
        <w:t xml:space="preserve">      schema/contract check</w:t>
        <w:br/>
        <w:t xml:space="preserve">               │</w:t>
        <w:br/>
        <w:t xml:space="preserve">               ▼</w:t>
        <w:br/>
        <w:t xml:space="preserve">      incremental raw loader ──────► meta.processed_files</w:t>
        <w:br/>
        <w:t xml:space="preserve">               │                    meta.pipeline_runs</w:t>
        <w:br/>
        <w:t xml:space="preserve">               ▼</w:t>
        <w:br/>
        <w:t xml:space="preserve">      raw.autotrader_records</w:t>
        <w:br/>
        <w:t xml:space="preserve">               │</w:t>
        <w:br/>
        <w:t xml:space="preserve">               ▼</w:t>
        <w:br/>
        <w:t xml:space="preserve">       dbt staging models</w:t>
        <w:br/>
        <w:t xml:space="preserve">               │</w:t>
        <w:br/>
        <w:t xml:space="preserve">               ▼</w:t>
        <w:br/>
        <w:t xml:space="preserve">    dbt intermediate models</w:t>
        <w:br/>
        <w:t xml:space="preserve">               │</w:t>
        <w:br/>
        <w:t xml:space="preserve">               ▼</w:t>
        <w:br/>
        <w:t xml:space="preserve">   dimensional PostgreSQL mart</w:t>
        <w:br/>
        <w:t xml:space="preserve">        │                │</w:t>
        <w:br/>
        <w:t xml:space="preserve">        ▼                ▼</w:t>
        <w:br/>
        <w:t xml:space="preserve"> advanced SQL         Power BI</w:t>
        <w:br/>
        <w:t xml:space="preserve">        └───────┬────────┘</w:t>
        <w:br/>
        <w:t xml:space="preserve">                ▼</w:t>
        <w:br/>
        <w:t xml:space="preserve">        portfolio evidence</w:t>
      </w:r>
    </w:p>
    <w:p>
      <w:r>
        <w:t>Prefect orchestrates the ingestion, transformation, test, and smoke-check sequence. PostgreSQL is the only V1 service required to run in Docker. Power BI consumes only final warehouse tables.</w:t>
      </w:r>
    </w:p>
    <w:p>
      <w:pPr>
        <w:pStyle w:val="Heading1"/>
      </w:pPr>
      <w:r>
        <w:t>5. Technology Stack</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088"/>
            <w:shd w:fill="17365D"/>
            <w:vAlign w:val="center"/>
            <w:tcMar>
              <w:top w:w="80" w:type="dxa"/>
              <w:start w:w="90" w:type="dxa"/>
              <w:bottom w:w="80" w:type="dxa"/>
              <w:end w:w="90" w:type="dxa"/>
            </w:tcMar>
          </w:tcPr>
          <w:p>
            <w:pPr>
              <w:spacing w:after="0"/>
            </w:pPr>
            <w:r/>
            <w:r>
              <w:rPr>
                <w:rFonts w:ascii="Aptos" w:hAnsi="Aptos"/>
                <w:b/>
                <w:color w:val="FFFFFF"/>
                <w:sz w:val="17"/>
              </w:rPr>
              <w:t>Technology</w:t>
            </w:r>
          </w:p>
        </w:tc>
        <w:tc>
          <w:tcPr>
            <w:tcW w:type="dxa" w:w="1656"/>
            <w:shd w:fill="17365D"/>
            <w:vAlign w:val="center"/>
            <w:tcMar>
              <w:top w:w="80" w:type="dxa"/>
              <w:start w:w="90" w:type="dxa"/>
              <w:bottom w:w="80" w:type="dxa"/>
              <w:end w:w="90" w:type="dxa"/>
            </w:tcMar>
          </w:tcPr>
          <w:p>
            <w:pPr>
              <w:spacing w:after="0"/>
            </w:pPr>
            <w:r/>
            <w:r>
              <w:rPr>
                <w:rFonts w:ascii="Aptos" w:hAnsi="Aptos"/>
                <w:b/>
                <w:color w:val="FFFFFF"/>
                <w:sz w:val="17"/>
              </w:rPr>
              <w:t>Decision</w:t>
            </w:r>
          </w:p>
        </w:tc>
        <w:tc>
          <w:tcPr>
            <w:tcW w:type="dxa" w:w="5976"/>
            <w:shd w:fill="17365D"/>
            <w:vAlign w:val="center"/>
            <w:tcMar>
              <w:top w:w="80" w:type="dxa"/>
              <w:start w:w="90" w:type="dxa"/>
              <w:bottom w:w="80" w:type="dxa"/>
              <w:end w:w="90" w:type="dxa"/>
            </w:tcMar>
          </w:tcPr>
          <w:p>
            <w:pPr>
              <w:spacing w:after="0"/>
            </w:pPr>
            <w:r/>
            <w:r>
              <w:rPr>
                <w:rFonts w:ascii="Aptos" w:hAnsi="Aptos"/>
                <w:b/>
                <w:color w:val="FFFFFF"/>
                <w:sz w:val="17"/>
              </w:rPr>
              <w:t>Purpose</w:t>
            </w:r>
          </w:p>
        </w:tc>
      </w:tr>
      <w:tr>
        <w:trPr>
          <w:cantSplit/>
        </w:trPr>
        <w:tc>
          <w:tcPr>
            <w:tcW w:type="dxa" w:w="2088"/>
            <w:vAlign w:val="center"/>
            <w:tcMar>
              <w:top w:w="80" w:type="dxa"/>
              <w:start w:w="90" w:type="dxa"/>
              <w:bottom w:w="80" w:type="dxa"/>
              <w:end w:w="90" w:type="dxa"/>
            </w:tcMar>
          </w:tcPr>
          <w:p>
            <w:pPr>
              <w:spacing w:after="0"/>
            </w:pPr>
            <w:r/>
            <w:r>
              <w:rPr>
                <w:rFonts w:ascii="Aptos" w:hAnsi="Aptos"/>
                <w:b w:val="0"/>
                <w:color w:val="1F2937"/>
                <w:sz w:val="16"/>
              </w:rPr>
              <w:t>Python</w:t>
            </w:r>
          </w:p>
        </w:tc>
        <w:tc>
          <w:tcPr>
            <w:tcW w:type="dxa" w:w="1656"/>
            <w:vAlign w:val="center"/>
            <w:tcMar>
              <w:top w:w="80" w:type="dxa"/>
              <w:start w:w="90" w:type="dxa"/>
              <w:bottom w:w="80" w:type="dxa"/>
              <w:end w:w="90" w:type="dxa"/>
            </w:tcMar>
          </w:tcPr>
          <w:p>
            <w:pPr>
              <w:spacing w:after="0"/>
            </w:pPr>
            <w:r/>
            <w:r>
              <w:rPr>
                <w:rFonts w:ascii="Aptos" w:hAnsi="Aptos"/>
                <w:b w:val="0"/>
                <w:color w:val="1F2937"/>
                <w:sz w:val="16"/>
              </w:rPr>
              <w:t>Required</w:t>
            </w:r>
          </w:p>
        </w:tc>
        <w:tc>
          <w:tcPr>
            <w:tcW w:type="dxa" w:w="5976"/>
            <w:vAlign w:val="center"/>
            <w:tcMar>
              <w:top w:w="80" w:type="dxa"/>
              <w:start w:w="90" w:type="dxa"/>
              <w:bottom w:w="80" w:type="dxa"/>
              <w:end w:w="90" w:type="dxa"/>
            </w:tcMar>
          </w:tcPr>
          <w:p>
            <w:pPr>
              <w:spacing w:after="0"/>
            </w:pPr>
            <w:r/>
            <w:r>
              <w:rPr>
                <w:rFonts w:ascii="Aptos" w:hAnsi="Aptos"/>
                <w:b w:val="0"/>
                <w:color w:val="1F2937"/>
                <w:sz w:val="16"/>
              </w:rPr>
              <w:t>Source discovery, validation, Parquet handling, hashing, loading, pipeline glue.</w:t>
            </w:r>
          </w:p>
        </w:tc>
      </w:tr>
      <w:tr>
        <w:trPr>
          <w:cantSplit/>
        </w:trPr>
        <w:tc>
          <w:tcPr>
            <w:tcW w:type="dxa" w:w="2088"/>
            <w:shd w:fill="F3F6F9"/>
            <w:vAlign w:val="center"/>
            <w:tcMar>
              <w:top w:w="80" w:type="dxa"/>
              <w:start w:w="90" w:type="dxa"/>
              <w:bottom w:w="80" w:type="dxa"/>
              <w:end w:w="90" w:type="dxa"/>
            </w:tcMar>
          </w:tcPr>
          <w:p>
            <w:pPr>
              <w:spacing w:after="0"/>
            </w:pPr>
            <w:r/>
            <w:r>
              <w:rPr>
                <w:rFonts w:ascii="Aptos" w:hAnsi="Aptos"/>
                <w:b w:val="0"/>
                <w:color w:val="1F2937"/>
                <w:sz w:val="16"/>
              </w:rPr>
              <w:t>PostgreSQL 16</w:t>
            </w:r>
          </w:p>
        </w:tc>
        <w:tc>
          <w:tcPr>
            <w:tcW w:type="dxa" w:w="1656"/>
            <w:shd w:fill="F3F6F9"/>
            <w:vAlign w:val="center"/>
            <w:tcMar>
              <w:top w:w="80" w:type="dxa"/>
              <w:start w:w="90" w:type="dxa"/>
              <w:bottom w:w="80" w:type="dxa"/>
              <w:end w:w="90" w:type="dxa"/>
            </w:tcMar>
          </w:tcPr>
          <w:p>
            <w:pPr>
              <w:spacing w:after="0"/>
            </w:pPr>
            <w:r/>
            <w:r>
              <w:rPr>
                <w:rFonts w:ascii="Aptos" w:hAnsi="Aptos"/>
                <w:b w:val="0"/>
                <w:color w:val="1F2937"/>
                <w:sz w:val="16"/>
              </w:rPr>
              <w:t>Required</w:t>
            </w:r>
          </w:p>
        </w:tc>
        <w:tc>
          <w:tcPr>
            <w:tcW w:type="dxa" w:w="5976"/>
            <w:shd w:fill="F3F6F9"/>
            <w:vAlign w:val="center"/>
            <w:tcMar>
              <w:top w:w="80" w:type="dxa"/>
              <w:start w:w="90" w:type="dxa"/>
              <w:bottom w:w="80" w:type="dxa"/>
              <w:end w:w="90" w:type="dxa"/>
            </w:tcMar>
          </w:tcPr>
          <w:p>
            <w:pPr>
              <w:spacing w:after="0"/>
            </w:pPr>
            <w:r/>
            <w:r>
              <w:rPr>
                <w:rFonts w:ascii="Aptos" w:hAnsi="Aptos"/>
                <w:b w:val="0"/>
                <w:color w:val="1F2937"/>
                <w:sz w:val="16"/>
              </w:rPr>
              <w:t>Raw storage, metadata, dimensional warehouse, analytical SQL.</w:t>
            </w:r>
          </w:p>
        </w:tc>
      </w:tr>
      <w:tr>
        <w:trPr>
          <w:cantSplit/>
        </w:trPr>
        <w:tc>
          <w:tcPr>
            <w:tcW w:type="dxa" w:w="2088"/>
            <w:vAlign w:val="center"/>
            <w:tcMar>
              <w:top w:w="80" w:type="dxa"/>
              <w:start w:w="90" w:type="dxa"/>
              <w:bottom w:w="80" w:type="dxa"/>
              <w:end w:w="90" w:type="dxa"/>
            </w:tcMar>
          </w:tcPr>
          <w:p>
            <w:pPr>
              <w:spacing w:after="0"/>
            </w:pPr>
            <w:r/>
            <w:r>
              <w:rPr>
                <w:rFonts w:ascii="Aptos" w:hAnsi="Aptos"/>
                <w:b w:val="0"/>
                <w:color w:val="1F2937"/>
                <w:sz w:val="16"/>
              </w:rPr>
              <w:t>pandas / PyArrow</w:t>
            </w:r>
          </w:p>
        </w:tc>
        <w:tc>
          <w:tcPr>
            <w:tcW w:type="dxa" w:w="1656"/>
            <w:vAlign w:val="center"/>
            <w:tcMar>
              <w:top w:w="80" w:type="dxa"/>
              <w:start w:w="90" w:type="dxa"/>
              <w:bottom w:w="80" w:type="dxa"/>
              <w:end w:w="90" w:type="dxa"/>
            </w:tcMar>
          </w:tcPr>
          <w:p>
            <w:pPr>
              <w:spacing w:after="0"/>
            </w:pPr>
            <w:r/>
            <w:r>
              <w:rPr>
                <w:rFonts w:ascii="Aptos" w:hAnsi="Aptos"/>
                <w:b w:val="0"/>
                <w:color w:val="1F2937"/>
                <w:sz w:val="16"/>
              </w:rPr>
              <w:t>Required</w:t>
            </w:r>
          </w:p>
        </w:tc>
        <w:tc>
          <w:tcPr>
            <w:tcW w:type="dxa" w:w="5976"/>
            <w:vAlign w:val="center"/>
            <w:tcMar>
              <w:top w:w="80" w:type="dxa"/>
              <w:start w:w="90" w:type="dxa"/>
              <w:bottom w:w="80" w:type="dxa"/>
              <w:end w:w="90" w:type="dxa"/>
            </w:tcMar>
          </w:tcPr>
          <w:p>
            <w:pPr>
              <w:spacing w:after="0"/>
            </w:pPr>
            <w:r/>
            <w:r>
              <w:rPr>
                <w:rFonts w:ascii="Aptos" w:hAnsi="Aptos"/>
                <w:b w:val="0"/>
                <w:color w:val="1F2937"/>
                <w:sz w:val="16"/>
              </w:rPr>
              <w:t>Parquet reading and controlled transformation helpers.</w:t>
            </w:r>
          </w:p>
        </w:tc>
      </w:tr>
      <w:tr>
        <w:trPr>
          <w:cantSplit/>
        </w:trPr>
        <w:tc>
          <w:tcPr>
            <w:tcW w:type="dxa" w:w="2088"/>
            <w:shd w:fill="F3F6F9"/>
            <w:vAlign w:val="center"/>
            <w:tcMar>
              <w:top w:w="80" w:type="dxa"/>
              <w:start w:w="90" w:type="dxa"/>
              <w:bottom w:w="80" w:type="dxa"/>
              <w:end w:w="90" w:type="dxa"/>
            </w:tcMar>
          </w:tcPr>
          <w:p>
            <w:pPr>
              <w:spacing w:after="0"/>
            </w:pPr>
            <w:r/>
            <w:r>
              <w:rPr>
                <w:rFonts w:ascii="Aptos" w:hAnsi="Aptos"/>
                <w:b w:val="0"/>
                <w:color w:val="1F2937"/>
                <w:sz w:val="16"/>
              </w:rPr>
              <w:t>Hugging Face Hub client</w:t>
            </w:r>
          </w:p>
        </w:tc>
        <w:tc>
          <w:tcPr>
            <w:tcW w:type="dxa" w:w="1656"/>
            <w:shd w:fill="F3F6F9"/>
            <w:vAlign w:val="center"/>
            <w:tcMar>
              <w:top w:w="80" w:type="dxa"/>
              <w:start w:w="90" w:type="dxa"/>
              <w:bottom w:w="80" w:type="dxa"/>
              <w:end w:w="90" w:type="dxa"/>
            </w:tcMar>
          </w:tcPr>
          <w:p>
            <w:pPr>
              <w:spacing w:after="0"/>
            </w:pPr>
            <w:r/>
            <w:r>
              <w:rPr>
                <w:rFonts w:ascii="Aptos" w:hAnsi="Aptos"/>
                <w:b w:val="0"/>
                <w:color w:val="1F2937"/>
                <w:sz w:val="16"/>
              </w:rPr>
              <w:t>Required</w:t>
            </w:r>
          </w:p>
        </w:tc>
        <w:tc>
          <w:tcPr>
            <w:tcW w:type="dxa" w:w="5976"/>
            <w:shd w:fill="F3F6F9"/>
            <w:vAlign w:val="center"/>
            <w:tcMar>
              <w:top w:w="80" w:type="dxa"/>
              <w:start w:w="90" w:type="dxa"/>
              <w:bottom w:w="80" w:type="dxa"/>
              <w:end w:w="90" w:type="dxa"/>
            </w:tcMar>
          </w:tcPr>
          <w:p>
            <w:pPr>
              <w:spacing w:after="0"/>
            </w:pPr>
            <w:r/>
            <w:r>
              <w:rPr>
                <w:rFonts w:ascii="Aptos" w:hAnsi="Aptos"/>
                <w:b w:val="0"/>
                <w:color w:val="1F2937"/>
                <w:sz w:val="16"/>
              </w:rPr>
              <w:t>Programmatic source discovery/download.</w:t>
            </w:r>
          </w:p>
        </w:tc>
      </w:tr>
      <w:tr>
        <w:trPr>
          <w:cantSplit/>
        </w:trPr>
        <w:tc>
          <w:tcPr>
            <w:tcW w:type="dxa" w:w="2088"/>
            <w:vAlign w:val="center"/>
            <w:tcMar>
              <w:top w:w="80" w:type="dxa"/>
              <w:start w:w="90" w:type="dxa"/>
              <w:bottom w:w="80" w:type="dxa"/>
              <w:end w:w="90" w:type="dxa"/>
            </w:tcMar>
          </w:tcPr>
          <w:p>
            <w:pPr>
              <w:spacing w:after="0"/>
            </w:pPr>
            <w:r/>
            <w:r>
              <w:rPr>
                <w:rFonts w:ascii="Aptos" w:hAnsi="Aptos"/>
                <w:b w:val="0"/>
                <w:color w:val="1F2937"/>
                <w:sz w:val="16"/>
              </w:rPr>
              <w:t>psycopg</w:t>
            </w:r>
          </w:p>
        </w:tc>
        <w:tc>
          <w:tcPr>
            <w:tcW w:type="dxa" w:w="1656"/>
            <w:vAlign w:val="center"/>
            <w:tcMar>
              <w:top w:w="80" w:type="dxa"/>
              <w:start w:w="90" w:type="dxa"/>
              <w:bottom w:w="80" w:type="dxa"/>
              <w:end w:w="90" w:type="dxa"/>
            </w:tcMar>
          </w:tcPr>
          <w:p>
            <w:pPr>
              <w:spacing w:after="0"/>
            </w:pPr>
            <w:r/>
            <w:r>
              <w:rPr>
                <w:rFonts w:ascii="Aptos" w:hAnsi="Aptos"/>
                <w:b w:val="0"/>
                <w:color w:val="1F2937"/>
                <w:sz w:val="16"/>
              </w:rPr>
              <w:t>Required</w:t>
            </w:r>
          </w:p>
        </w:tc>
        <w:tc>
          <w:tcPr>
            <w:tcW w:type="dxa" w:w="5976"/>
            <w:vAlign w:val="center"/>
            <w:tcMar>
              <w:top w:w="80" w:type="dxa"/>
              <w:start w:w="90" w:type="dxa"/>
              <w:bottom w:w="80" w:type="dxa"/>
              <w:end w:w="90" w:type="dxa"/>
            </w:tcMar>
          </w:tcPr>
          <w:p>
            <w:pPr>
              <w:spacing w:after="0"/>
            </w:pPr>
            <w:r/>
            <w:r>
              <w:rPr>
                <w:rFonts w:ascii="Aptos" w:hAnsi="Aptos"/>
                <w:b w:val="0"/>
                <w:color w:val="1F2937"/>
                <w:sz w:val="16"/>
              </w:rPr>
              <w:t>PostgreSQL access from Python.</w:t>
            </w:r>
          </w:p>
        </w:tc>
      </w:tr>
      <w:tr>
        <w:trPr>
          <w:cantSplit/>
        </w:trPr>
        <w:tc>
          <w:tcPr>
            <w:tcW w:type="dxa" w:w="2088"/>
            <w:shd w:fill="F3F6F9"/>
            <w:vAlign w:val="center"/>
            <w:tcMar>
              <w:top w:w="80" w:type="dxa"/>
              <w:start w:w="90" w:type="dxa"/>
              <w:bottom w:w="80" w:type="dxa"/>
              <w:end w:w="90" w:type="dxa"/>
            </w:tcMar>
          </w:tcPr>
          <w:p>
            <w:pPr>
              <w:spacing w:after="0"/>
            </w:pPr>
            <w:r/>
            <w:r>
              <w:rPr>
                <w:rFonts w:ascii="Aptos" w:hAnsi="Aptos"/>
                <w:b w:val="0"/>
                <w:color w:val="1F2937"/>
                <w:sz w:val="16"/>
              </w:rPr>
              <w:t>dbt-postgres</w:t>
            </w:r>
          </w:p>
        </w:tc>
        <w:tc>
          <w:tcPr>
            <w:tcW w:type="dxa" w:w="1656"/>
            <w:shd w:fill="F3F6F9"/>
            <w:vAlign w:val="center"/>
            <w:tcMar>
              <w:top w:w="80" w:type="dxa"/>
              <w:start w:w="90" w:type="dxa"/>
              <w:bottom w:w="80" w:type="dxa"/>
              <w:end w:w="90" w:type="dxa"/>
            </w:tcMar>
          </w:tcPr>
          <w:p>
            <w:pPr>
              <w:spacing w:after="0"/>
            </w:pPr>
            <w:r/>
            <w:r>
              <w:rPr>
                <w:rFonts w:ascii="Aptos" w:hAnsi="Aptos"/>
                <w:b w:val="0"/>
                <w:color w:val="1F2937"/>
                <w:sz w:val="16"/>
              </w:rPr>
              <w:t>Required</w:t>
            </w:r>
          </w:p>
        </w:tc>
        <w:tc>
          <w:tcPr>
            <w:tcW w:type="dxa" w:w="5976"/>
            <w:shd w:fill="F3F6F9"/>
            <w:vAlign w:val="center"/>
            <w:tcMar>
              <w:top w:w="80" w:type="dxa"/>
              <w:start w:w="90" w:type="dxa"/>
              <w:bottom w:w="80" w:type="dxa"/>
              <w:end w:w="90" w:type="dxa"/>
            </w:tcMar>
          </w:tcPr>
          <w:p>
            <w:pPr>
              <w:spacing w:after="0"/>
            </w:pPr>
            <w:r/>
            <w:r>
              <w:rPr>
                <w:rFonts w:ascii="Aptos" w:hAnsi="Aptos"/>
                <w:b w:val="0"/>
                <w:color w:val="1F2937"/>
                <w:sz w:val="16"/>
              </w:rPr>
              <w:t>Versioned SQL transformations, tests, lineage, docs.</w:t>
            </w:r>
          </w:p>
        </w:tc>
      </w:tr>
      <w:tr>
        <w:trPr>
          <w:cantSplit/>
        </w:trPr>
        <w:tc>
          <w:tcPr>
            <w:tcW w:type="dxa" w:w="2088"/>
            <w:vAlign w:val="center"/>
            <w:tcMar>
              <w:top w:w="80" w:type="dxa"/>
              <w:start w:w="90" w:type="dxa"/>
              <w:bottom w:w="80" w:type="dxa"/>
              <w:end w:w="90" w:type="dxa"/>
            </w:tcMar>
          </w:tcPr>
          <w:p>
            <w:pPr>
              <w:spacing w:after="0"/>
            </w:pPr>
            <w:r/>
            <w:r>
              <w:rPr>
                <w:rFonts w:ascii="Aptos" w:hAnsi="Aptos"/>
                <w:b w:val="0"/>
                <w:color w:val="1F2937"/>
                <w:sz w:val="16"/>
              </w:rPr>
              <w:t>Prefect</w:t>
            </w:r>
          </w:p>
        </w:tc>
        <w:tc>
          <w:tcPr>
            <w:tcW w:type="dxa" w:w="1656"/>
            <w:vAlign w:val="center"/>
            <w:tcMar>
              <w:top w:w="80" w:type="dxa"/>
              <w:start w:w="90" w:type="dxa"/>
              <w:bottom w:w="80" w:type="dxa"/>
              <w:end w:w="90" w:type="dxa"/>
            </w:tcMar>
          </w:tcPr>
          <w:p>
            <w:pPr>
              <w:spacing w:after="0"/>
            </w:pPr>
            <w:r/>
            <w:r>
              <w:rPr>
                <w:rFonts w:ascii="Aptos" w:hAnsi="Aptos"/>
                <w:b w:val="0"/>
                <w:color w:val="1F2937"/>
                <w:sz w:val="16"/>
              </w:rPr>
              <w:t>Required</w:t>
            </w:r>
          </w:p>
        </w:tc>
        <w:tc>
          <w:tcPr>
            <w:tcW w:type="dxa" w:w="5976"/>
            <w:vAlign w:val="center"/>
            <w:tcMar>
              <w:top w:w="80" w:type="dxa"/>
              <w:start w:w="90" w:type="dxa"/>
              <w:bottom w:w="80" w:type="dxa"/>
              <w:end w:w="90" w:type="dxa"/>
            </w:tcMar>
          </w:tcPr>
          <w:p>
            <w:pPr>
              <w:spacing w:after="0"/>
            </w:pPr>
            <w:r/>
            <w:r>
              <w:rPr>
                <w:rFonts w:ascii="Aptos" w:hAnsi="Aptos"/>
                <w:b w:val="0"/>
                <w:color w:val="1F2937"/>
                <w:sz w:val="16"/>
              </w:rPr>
              <w:t>Orchestration, retries, task state, run visibility.</w:t>
            </w:r>
          </w:p>
        </w:tc>
      </w:tr>
      <w:tr>
        <w:trPr>
          <w:cantSplit/>
        </w:trPr>
        <w:tc>
          <w:tcPr>
            <w:tcW w:type="dxa" w:w="2088"/>
            <w:shd w:fill="F3F6F9"/>
            <w:vAlign w:val="center"/>
            <w:tcMar>
              <w:top w:w="80" w:type="dxa"/>
              <w:start w:w="90" w:type="dxa"/>
              <w:bottom w:w="80" w:type="dxa"/>
              <w:end w:w="90" w:type="dxa"/>
            </w:tcMar>
          </w:tcPr>
          <w:p>
            <w:pPr>
              <w:spacing w:after="0"/>
            </w:pPr>
            <w:r/>
            <w:r>
              <w:rPr>
                <w:rFonts w:ascii="Aptos" w:hAnsi="Aptos"/>
                <w:b w:val="0"/>
                <w:color w:val="1F2937"/>
                <w:sz w:val="16"/>
              </w:rPr>
              <w:t>pytest</w:t>
            </w:r>
          </w:p>
        </w:tc>
        <w:tc>
          <w:tcPr>
            <w:tcW w:type="dxa" w:w="1656"/>
            <w:shd w:fill="F3F6F9"/>
            <w:vAlign w:val="center"/>
            <w:tcMar>
              <w:top w:w="80" w:type="dxa"/>
              <w:start w:w="90" w:type="dxa"/>
              <w:bottom w:w="80" w:type="dxa"/>
              <w:end w:w="90" w:type="dxa"/>
            </w:tcMar>
          </w:tcPr>
          <w:p>
            <w:pPr>
              <w:spacing w:after="0"/>
            </w:pPr>
            <w:r/>
            <w:r>
              <w:rPr>
                <w:rFonts w:ascii="Aptos" w:hAnsi="Aptos"/>
                <w:b w:val="0"/>
                <w:color w:val="1F2937"/>
                <w:sz w:val="16"/>
              </w:rPr>
              <w:t>Required</w:t>
            </w:r>
          </w:p>
        </w:tc>
        <w:tc>
          <w:tcPr>
            <w:tcW w:type="dxa" w:w="5976"/>
            <w:shd w:fill="F3F6F9"/>
            <w:vAlign w:val="center"/>
            <w:tcMar>
              <w:top w:w="80" w:type="dxa"/>
              <w:start w:w="90" w:type="dxa"/>
              <w:bottom w:w="80" w:type="dxa"/>
              <w:end w:w="90" w:type="dxa"/>
            </w:tcMar>
          </w:tcPr>
          <w:p>
            <w:pPr>
              <w:spacing w:after="0"/>
            </w:pPr>
            <w:r/>
            <w:r>
              <w:rPr>
                <w:rFonts w:ascii="Aptos" w:hAnsi="Aptos"/>
                <w:b w:val="0"/>
                <w:color w:val="1F2937"/>
                <w:sz w:val="16"/>
              </w:rPr>
              <w:t>Unit/integration testing of ingestion logic.</w:t>
            </w:r>
          </w:p>
        </w:tc>
      </w:tr>
      <w:tr>
        <w:trPr>
          <w:cantSplit/>
        </w:trPr>
        <w:tc>
          <w:tcPr>
            <w:tcW w:type="dxa" w:w="2088"/>
            <w:vAlign w:val="center"/>
            <w:tcMar>
              <w:top w:w="80" w:type="dxa"/>
              <w:start w:w="90" w:type="dxa"/>
              <w:bottom w:w="80" w:type="dxa"/>
              <w:end w:w="90" w:type="dxa"/>
            </w:tcMar>
          </w:tcPr>
          <w:p>
            <w:pPr>
              <w:spacing w:after="0"/>
            </w:pPr>
            <w:r/>
            <w:r>
              <w:rPr>
                <w:rFonts w:ascii="Aptos" w:hAnsi="Aptos"/>
                <w:b w:val="0"/>
                <w:color w:val="1F2937"/>
                <w:sz w:val="16"/>
              </w:rPr>
              <w:t>Docker Compose</w:t>
            </w:r>
          </w:p>
        </w:tc>
        <w:tc>
          <w:tcPr>
            <w:tcW w:type="dxa" w:w="1656"/>
            <w:vAlign w:val="center"/>
            <w:tcMar>
              <w:top w:w="80" w:type="dxa"/>
              <w:start w:w="90" w:type="dxa"/>
              <w:bottom w:w="80" w:type="dxa"/>
              <w:end w:w="90" w:type="dxa"/>
            </w:tcMar>
          </w:tcPr>
          <w:p>
            <w:pPr>
              <w:spacing w:after="0"/>
            </w:pPr>
            <w:r/>
            <w:r>
              <w:rPr>
                <w:rFonts w:ascii="Aptos" w:hAnsi="Aptos"/>
                <w:b w:val="0"/>
                <w:color w:val="1F2937"/>
                <w:sz w:val="16"/>
              </w:rPr>
              <w:t>Narrow scope</w:t>
            </w:r>
          </w:p>
        </w:tc>
        <w:tc>
          <w:tcPr>
            <w:tcW w:type="dxa" w:w="5976"/>
            <w:vAlign w:val="center"/>
            <w:tcMar>
              <w:top w:w="80" w:type="dxa"/>
              <w:start w:w="90" w:type="dxa"/>
              <w:bottom w:w="80" w:type="dxa"/>
              <w:end w:w="90" w:type="dxa"/>
            </w:tcMar>
          </w:tcPr>
          <w:p>
            <w:pPr>
              <w:spacing w:after="0"/>
            </w:pPr>
            <w:r/>
            <w:r>
              <w:rPr>
                <w:rFonts w:ascii="Aptos" w:hAnsi="Aptos"/>
                <w:b w:val="0"/>
                <w:color w:val="1F2937"/>
                <w:sz w:val="16"/>
              </w:rPr>
              <w:t>Local PostgreSQL service only.</w:t>
            </w:r>
          </w:p>
        </w:tc>
      </w:tr>
      <w:tr>
        <w:trPr>
          <w:cantSplit/>
        </w:trPr>
        <w:tc>
          <w:tcPr>
            <w:tcW w:type="dxa" w:w="2088"/>
            <w:shd w:fill="F3F6F9"/>
            <w:vAlign w:val="center"/>
            <w:tcMar>
              <w:top w:w="80" w:type="dxa"/>
              <w:start w:w="90" w:type="dxa"/>
              <w:bottom w:w="80" w:type="dxa"/>
              <w:end w:w="90" w:type="dxa"/>
            </w:tcMar>
          </w:tcPr>
          <w:p>
            <w:pPr>
              <w:spacing w:after="0"/>
            </w:pPr>
            <w:r/>
            <w:r>
              <w:rPr>
                <w:rFonts w:ascii="Aptos" w:hAnsi="Aptos"/>
                <w:b w:val="0"/>
                <w:color w:val="1F2937"/>
                <w:sz w:val="16"/>
              </w:rPr>
              <w:t>Power BI Desktop</w:t>
            </w:r>
          </w:p>
        </w:tc>
        <w:tc>
          <w:tcPr>
            <w:tcW w:type="dxa" w:w="1656"/>
            <w:shd w:fill="F3F6F9"/>
            <w:vAlign w:val="center"/>
            <w:tcMar>
              <w:top w:w="80" w:type="dxa"/>
              <w:start w:w="90" w:type="dxa"/>
              <w:bottom w:w="80" w:type="dxa"/>
              <w:end w:w="90" w:type="dxa"/>
            </w:tcMar>
          </w:tcPr>
          <w:p>
            <w:pPr>
              <w:spacing w:after="0"/>
            </w:pPr>
            <w:r/>
            <w:r>
              <w:rPr>
                <w:rFonts w:ascii="Aptos" w:hAnsi="Aptos"/>
                <w:b w:val="0"/>
                <w:color w:val="1F2937"/>
                <w:sz w:val="16"/>
              </w:rPr>
              <w:t>Required</w:t>
            </w:r>
          </w:p>
        </w:tc>
        <w:tc>
          <w:tcPr>
            <w:tcW w:type="dxa" w:w="5976"/>
            <w:shd w:fill="F3F6F9"/>
            <w:vAlign w:val="center"/>
            <w:tcMar>
              <w:top w:w="80" w:type="dxa"/>
              <w:start w:w="90" w:type="dxa"/>
              <w:bottom w:w="80" w:type="dxa"/>
              <w:end w:w="90" w:type="dxa"/>
            </w:tcMar>
          </w:tcPr>
          <w:p>
            <w:pPr>
              <w:spacing w:after="0"/>
            </w:pPr>
            <w:r/>
            <w:r>
              <w:rPr>
                <w:rFonts w:ascii="Aptos" w:hAnsi="Aptos"/>
                <w:b w:val="0"/>
                <w:color w:val="1F2937"/>
                <w:sz w:val="16"/>
              </w:rPr>
              <w:t>Final semantic model and three-page BI report.</w:t>
            </w:r>
          </w:p>
        </w:tc>
      </w:tr>
      <w:tr>
        <w:trPr>
          <w:cantSplit/>
        </w:trPr>
        <w:tc>
          <w:tcPr>
            <w:tcW w:type="dxa" w:w="2088"/>
            <w:vAlign w:val="center"/>
            <w:tcMar>
              <w:top w:w="80" w:type="dxa"/>
              <w:start w:w="90" w:type="dxa"/>
              <w:bottom w:w="80" w:type="dxa"/>
              <w:end w:w="90" w:type="dxa"/>
            </w:tcMar>
          </w:tcPr>
          <w:p>
            <w:pPr>
              <w:spacing w:after="0"/>
            </w:pPr>
            <w:r/>
            <w:r>
              <w:rPr>
                <w:rFonts w:ascii="Aptos" w:hAnsi="Aptos"/>
                <w:b w:val="0"/>
                <w:color w:val="1F2937"/>
                <w:sz w:val="16"/>
              </w:rPr>
              <w:t>Git/GitHub</w:t>
            </w:r>
          </w:p>
        </w:tc>
        <w:tc>
          <w:tcPr>
            <w:tcW w:type="dxa" w:w="1656"/>
            <w:vAlign w:val="center"/>
            <w:tcMar>
              <w:top w:w="80" w:type="dxa"/>
              <w:start w:w="90" w:type="dxa"/>
              <w:bottom w:w="80" w:type="dxa"/>
              <w:end w:w="90" w:type="dxa"/>
            </w:tcMar>
          </w:tcPr>
          <w:p>
            <w:pPr>
              <w:spacing w:after="0"/>
            </w:pPr>
            <w:r/>
            <w:r>
              <w:rPr>
                <w:rFonts w:ascii="Aptos" w:hAnsi="Aptos"/>
                <w:b w:val="0"/>
                <w:color w:val="1F2937"/>
                <w:sz w:val="16"/>
              </w:rPr>
              <w:t>Required</w:t>
            </w:r>
          </w:p>
        </w:tc>
        <w:tc>
          <w:tcPr>
            <w:tcW w:type="dxa" w:w="5976"/>
            <w:vAlign w:val="center"/>
            <w:tcMar>
              <w:top w:w="80" w:type="dxa"/>
              <w:start w:w="90" w:type="dxa"/>
              <w:bottom w:w="80" w:type="dxa"/>
              <w:end w:w="90" w:type="dxa"/>
            </w:tcMar>
          </w:tcPr>
          <w:p>
            <w:pPr>
              <w:spacing w:after="0"/>
            </w:pPr>
            <w:r/>
            <w:r>
              <w:rPr>
                <w:rFonts w:ascii="Aptos" w:hAnsi="Aptos"/>
                <w:b w:val="0"/>
                <w:color w:val="1F2937"/>
                <w:sz w:val="16"/>
              </w:rPr>
              <w:t>Version control and portfolio delivery.</w:t>
            </w:r>
          </w:p>
        </w:tc>
      </w:tr>
      <w:tr>
        <w:trPr>
          <w:cantSplit/>
        </w:trPr>
        <w:tc>
          <w:tcPr>
            <w:tcW w:type="dxa" w:w="2088"/>
            <w:shd w:fill="F3F6F9"/>
            <w:vAlign w:val="center"/>
            <w:tcMar>
              <w:top w:w="80" w:type="dxa"/>
              <w:start w:w="90" w:type="dxa"/>
              <w:bottom w:w="80" w:type="dxa"/>
              <w:end w:w="90" w:type="dxa"/>
            </w:tcMar>
          </w:tcPr>
          <w:p>
            <w:pPr>
              <w:spacing w:after="0"/>
            </w:pPr>
            <w:r/>
            <w:r>
              <w:rPr>
                <w:rFonts w:ascii="Aptos" w:hAnsi="Aptos"/>
                <w:b w:val="0"/>
                <w:color w:val="1F2937"/>
                <w:sz w:val="16"/>
              </w:rPr>
              <w:t>ML/LLM feature</w:t>
            </w:r>
          </w:p>
        </w:tc>
        <w:tc>
          <w:tcPr>
            <w:tcW w:type="dxa" w:w="1656"/>
            <w:shd w:fill="F3F6F9"/>
            <w:vAlign w:val="center"/>
            <w:tcMar>
              <w:top w:w="80" w:type="dxa"/>
              <w:start w:w="90" w:type="dxa"/>
              <w:bottom w:w="80" w:type="dxa"/>
              <w:end w:w="90" w:type="dxa"/>
            </w:tcMar>
          </w:tcPr>
          <w:p>
            <w:pPr>
              <w:spacing w:after="0"/>
            </w:pPr>
            <w:r/>
            <w:r>
              <w:rPr>
                <w:rFonts w:ascii="Aptos" w:hAnsi="Aptos"/>
                <w:b w:val="0"/>
                <w:color w:val="1F2937"/>
                <w:sz w:val="16"/>
              </w:rPr>
              <w:t>Excluded</w:t>
            </w:r>
          </w:p>
        </w:tc>
        <w:tc>
          <w:tcPr>
            <w:tcW w:type="dxa" w:w="5976"/>
            <w:shd w:fill="F3F6F9"/>
            <w:vAlign w:val="center"/>
            <w:tcMar>
              <w:top w:w="80" w:type="dxa"/>
              <w:start w:w="90" w:type="dxa"/>
              <w:bottom w:w="80" w:type="dxa"/>
              <w:end w:w="90" w:type="dxa"/>
            </w:tcMar>
          </w:tcPr>
          <w:p>
            <w:pPr>
              <w:spacing w:after="0"/>
            </w:pPr>
            <w:r/>
            <w:r>
              <w:rPr>
                <w:rFonts w:ascii="Aptos" w:hAnsi="Aptos"/>
                <w:b w:val="0"/>
                <w:color w:val="1F2937"/>
                <w:sz w:val="16"/>
              </w:rPr>
              <w:t>Does not materially improve this V1 objective.</w:t>
            </w:r>
          </w:p>
        </w:tc>
      </w:tr>
    </w:tbl>
    <w:p>
      <w:pPr>
        <w:spacing w:after="20"/>
      </w:pPr>
    </w:p>
    <w:p>
      <w:pPr>
        <w:pStyle w:val="Heading1"/>
      </w:pPr>
      <w:r>
        <w:t>6. PostgreSQL Schemas and Raw Layer</w:t>
      </w:r>
    </w:p>
    <w:p>
      <w:pPr>
        <w:pStyle w:val="CodeBlock"/>
        <w:keepLines/>
        <w:shd w:fill="F3F6F9"/>
      </w:pPr>
      <w:r>
        <w:rPr>
          <w:rFonts w:ascii="Consolas" w:hAnsi="Consolas"/>
          <w:sz w:val="17"/>
        </w:rPr>
        <w:t>used_car_intelligence</w:t>
        <w:br/>
        <w:t>├── raw</w:t>
        <w:br/>
        <w:t>├── meta</w:t>
        <w:br/>
        <w:t>├── staging</w:t>
        <w:br/>
        <w:t>├── intermediate</w:t>
        <w:br/>
        <w:t>└── warehouse</w:t>
      </w:r>
    </w:p>
    <w:p>
      <w:pPr>
        <w:pStyle w:val="Heading2"/>
      </w:pPr>
      <w:r>
        <w:t>raw.autotrader_records</w:t>
      </w:r>
    </w:p>
    <w:p>
      <w:r>
        <w:t>Grain: one row per unique source _primaryKey (or equivalent immutable source row key). The raw layer preserves source fidelity while exposing ingestion metadata needed for incremental behavior.</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2592"/>
            <w:shd w:fill="17365D"/>
            <w:vAlign w:val="center"/>
            <w:tcMar>
              <w:top w:w="80" w:type="dxa"/>
              <w:start w:w="90" w:type="dxa"/>
              <w:bottom w:w="80" w:type="dxa"/>
              <w:end w:w="90" w:type="dxa"/>
            </w:tcMar>
          </w:tcPr>
          <w:p>
            <w:pPr>
              <w:spacing w:after="0"/>
            </w:pPr>
            <w:r/>
            <w:r>
              <w:rPr>
                <w:rFonts w:ascii="Aptos" w:hAnsi="Aptos"/>
                <w:b/>
                <w:color w:val="FFFFFF"/>
                <w:sz w:val="17"/>
              </w:rPr>
              <w:t>Column</w:t>
            </w:r>
          </w:p>
        </w:tc>
        <w:tc>
          <w:tcPr>
            <w:tcW w:type="dxa" w:w="7200"/>
            <w:shd w:fill="17365D"/>
            <w:vAlign w:val="center"/>
            <w:tcMar>
              <w:top w:w="80" w:type="dxa"/>
              <w:start w:w="90" w:type="dxa"/>
              <w:bottom w:w="80" w:type="dxa"/>
              <w:end w:w="90" w:type="dxa"/>
            </w:tcMar>
          </w:tcPr>
          <w:p>
            <w:pPr>
              <w:spacing w:after="0"/>
            </w:pPr>
            <w:r/>
            <w:r>
              <w:rPr>
                <w:rFonts w:ascii="Aptos" w:hAnsi="Aptos"/>
                <w:b/>
                <w:color w:val="FFFFFF"/>
                <w:sz w:val="17"/>
              </w:rPr>
              <w:t>Role</w:t>
            </w:r>
          </w:p>
        </w:tc>
      </w:tr>
      <w:tr>
        <w:trPr>
          <w:cantSplit/>
        </w:trPr>
        <w:tc>
          <w:tcPr>
            <w:tcW w:type="dxa" w:w="2592"/>
            <w:vAlign w:val="center"/>
            <w:tcMar>
              <w:top w:w="80" w:type="dxa"/>
              <w:start w:w="90" w:type="dxa"/>
              <w:bottom w:w="80" w:type="dxa"/>
              <w:end w:w="90" w:type="dxa"/>
            </w:tcMar>
          </w:tcPr>
          <w:p>
            <w:pPr>
              <w:spacing w:after="0"/>
            </w:pPr>
            <w:r/>
            <w:r>
              <w:rPr>
                <w:rFonts w:ascii="Aptos" w:hAnsi="Aptos"/>
                <w:b w:val="0"/>
                <w:color w:val="1F2937"/>
                <w:sz w:val="16"/>
              </w:rPr>
              <w:t>primary_key</w:t>
            </w:r>
          </w:p>
        </w:tc>
        <w:tc>
          <w:tcPr>
            <w:tcW w:type="dxa" w:w="7200"/>
            <w:vAlign w:val="center"/>
            <w:tcMar>
              <w:top w:w="80" w:type="dxa"/>
              <w:start w:w="90" w:type="dxa"/>
              <w:bottom w:w="80" w:type="dxa"/>
              <w:end w:w="90" w:type="dxa"/>
            </w:tcMar>
          </w:tcPr>
          <w:p>
            <w:pPr>
              <w:spacing w:after="0"/>
            </w:pPr>
            <w:r/>
            <w:r>
              <w:rPr>
                <w:rFonts w:ascii="Aptos" w:hAnsi="Aptos"/>
                <w:b w:val="0"/>
                <w:color w:val="1F2937"/>
                <w:sz w:val="16"/>
              </w:rPr>
              <w:t>Source row key; primary key.</w:t>
            </w:r>
          </w:p>
        </w:tc>
      </w:tr>
      <w:tr>
        <w:trPr>
          <w:cantSplit/>
        </w:trPr>
        <w:tc>
          <w:tcPr>
            <w:tcW w:type="dxa" w:w="2592"/>
            <w:shd w:fill="F3F6F9"/>
            <w:vAlign w:val="center"/>
            <w:tcMar>
              <w:top w:w="80" w:type="dxa"/>
              <w:start w:w="90" w:type="dxa"/>
              <w:bottom w:w="80" w:type="dxa"/>
              <w:end w:w="90" w:type="dxa"/>
            </w:tcMar>
          </w:tcPr>
          <w:p>
            <w:pPr>
              <w:spacing w:after="0"/>
            </w:pPr>
            <w:r/>
            <w:r>
              <w:rPr>
                <w:rFonts w:ascii="Aptos" w:hAnsi="Aptos"/>
                <w:b w:val="0"/>
                <w:color w:val="1F2937"/>
                <w:sz w:val="16"/>
              </w:rPr>
              <w:t>listing_id</w:t>
            </w:r>
          </w:p>
        </w:tc>
        <w:tc>
          <w:tcPr>
            <w:tcW w:type="dxa" w:w="7200"/>
            <w:shd w:fill="F3F6F9"/>
            <w:vAlign w:val="center"/>
            <w:tcMar>
              <w:top w:w="80" w:type="dxa"/>
              <w:start w:w="90" w:type="dxa"/>
              <w:bottom w:w="80" w:type="dxa"/>
              <w:end w:w="90" w:type="dxa"/>
            </w:tcMar>
          </w:tcPr>
          <w:p>
            <w:pPr>
              <w:spacing w:after="0"/>
            </w:pPr>
            <w:r/>
            <w:r>
              <w:rPr>
                <w:rFonts w:ascii="Aptos" w:hAnsi="Aptos"/>
                <w:b w:val="0"/>
                <w:color w:val="1F2937"/>
                <w:sz w:val="16"/>
              </w:rPr>
              <w:t>Source listing identifier.</w:t>
            </w:r>
          </w:p>
        </w:tc>
      </w:tr>
      <w:tr>
        <w:trPr>
          <w:cantSplit/>
        </w:trPr>
        <w:tc>
          <w:tcPr>
            <w:tcW w:type="dxa" w:w="2592"/>
            <w:vAlign w:val="center"/>
            <w:tcMar>
              <w:top w:w="80" w:type="dxa"/>
              <w:start w:w="90" w:type="dxa"/>
              <w:bottom w:w="80" w:type="dxa"/>
              <w:end w:w="90" w:type="dxa"/>
            </w:tcMar>
          </w:tcPr>
          <w:p>
            <w:pPr>
              <w:spacing w:after="0"/>
            </w:pPr>
            <w:r/>
            <w:r>
              <w:rPr>
                <w:rFonts w:ascii="Aptos" w:hAnsi="Aptos"/>
                <w:b w:val="0"/>
                <w:color w:val="1F2937"/>
                <w:sz w:val="16"/>
              </w:rPr>
              <w:t>first_seen_at</w:t>
            </w:r>
          </w:p>
        </w:tc>
        <w:tc>
          <w:tcPr>
            <w:tcW w:type="dxa" w:w="7200"/>
            <w:vAlign w:val="center"/>
            <w:tcMar>
              <w:top w:w="80" w:type="dxa"/>
              <w:start w:w="90" w:type="dxa"/>
              <w:bottom w:w="80" w:type="dxa"/>
              <w:end w:w="90" w:type="dxa"/>
            </w:tcMar>
          </w:tcPr>
          <w:p>
            <w:pPr>
              <w:spacing w:after="0"/>
            </w:pPr>
            <w:r/>
            <w:r>
              <w:rPr>
                <w:rFonts w:ascii="Aptos" w:hAnsi="Aptos"/>
                <w:b w:val="0"/>
                <w:color w:val="1F2937"/>
                <w:sz w:val="16"/>
              </w:rPr>
              <w:t>Parsed source timestamp.</w:t>
            </w:r>
          </w:p>
        </w:tc>
      </w:tr>
      <w:tr>
        <w:trPr>
          <w:cantSplit/>
        </w:trPr>
        <w:tc>
          <w:tcPr>
            <w:tcW w:type="dxa" w:w="2592"/>
            <w:shd w:fill="F3F6F9"/>
            <w:vAlign w:val="center"/>
            <w:tcMar>
              <w:top w:w="80" w:type="dxa"/>
              <w:start w:w="90" w:type="dxa"/>
              <w:bottom w:w="80" w:type="dxa"/>
              <w:end w:w="90" w:type="dxa"/>
            </w:tcMar>
          </w:tcPr>
          <w:p>
            <w:pPr>
              <w:spacing w:after="0"/>
            </w:pPr>
            <w:r/>
            <w:r>
              <w:rPr>
                <w:rFonts w:ascii="Aptos" w:hAnsi="Aptos"/>
                <w:b w:val="0"/>
                <w:color w:val="1F2937"/>
                <w:sz w:val="16"/>
              </w:rPr>
              <w:t>last_seen_at</w:t>
            </w:r>
          </w:p>
        </w:tc>
        <w:tc>
          <w:tcPr>
            <w:tcW w:type="dxa" w:w="7200"/>
            <w:shd w:fill="F3F6F9"/>
            <w:vAlign w:val="center"/>
            <w:tcMar>
              <w:top w:w="80" w:type="dxa"/>
              <w:start w:w="90" w:type="dxa"/>
              <w:bottom w:w="80" w:type="dxa"/>
              <w:end w:w="90" w:type="dxa"/>
            </w:tcMar>
          </w:tcPr>
          <w:p>
            <w:pPr>
              <w:spacing w:after="0"/>
            </w:pPr>
            <w:r/>
            <w:r>
              <w:rPr>
                <w:rFonts w:ascii="Aptos" w:hAnsi="Aptos"/>
                <w:b w:val="0"/>
                <w:color w:val="1F2937"/>
                <w:sz w:val="16"/>
              </w:rPr>
              <w:t>Parsed source timestamp.</w:t>
            </w:r>
          </w:p>
        </w:tc>
      </w:tr>
      <w:tr>
        <w:trPr>
          <w:cantSplit/>
        </w:trPr>
        <w:tc>
          <w:tcPr>
            <w:tcW w:type="dxa" w:w="2592"/>
            <w:vAlign w:val="center"/>
            <w:tcMar>
              <w:top w:w="80" w:type="dxa"/>
              <w:start w:w="90" w:type="dxa"/>
              <w:bottom w:w="80" w:type="dxa"/>
              <w:end w:w="90" w:type="dxa"/>
            </w:tcMar>
          </w:tcPr>
          <w:p>
            <w:pPr>
              <w:spacing w:after="0"/>
            </w:pPr>
            <w:r/>
            <w:r>
              <w:rPr>
                <w:rFonts w:ascii="Aptos" w:hAnsi="Aptos"/>
                <w:b w:val="0"/>
                <w:color w:val="1F2937"/>
                <w:sz w:val="16"/>
              </w:rPr>
              <w:t>source_file</w:t>
            </w:r>
          </w:p>
        </w:tc>
        <w:tc>
          <w:tcPr>
            <w:tcW w:type="dxa" w:w="7200"/>
            <w:vAlign w:val="center"/>
            <w:tcMar>
              <w:top w:w="80" w:type="dxa"/>
              <w:start w:w="90" w:type="dxa"/>
              <w:bottom w:w="80" w:type="dxa"/>
              <w:end w:w="90" w:type="dxa"/>
            </w:tcMar>
          </w:tcPr>
          <w:p>
            <w:pPr>
              <w:spacing w:after="0"/>
            </w:pPr>
            <w:r/>
            <w:r>
              <w:rPr>
                <w:rFonts w:ascii="Aptos" w:hAnsi="Aptos"/>
                <w:b w:val="0"/>
                <w:color w:val="1F2937"/>
                <w:sz w:val="16"/>
              </w:rPr>
              <w:t>Originating Parquet filename.</w:t>
            </w:r>
          </w:p>
        </w:tc>
      </w:tr>
      <w:tr>
        <w:trPr>
          <w:cantSplit/>
        </w:trPr>
        <w:tc>
          <w:tcPr>
            <w:tcW w:type="dxa" w:w="2592"/>
            <w:shd w:fill="F3F6F9"/>
            <w:vAlign w:val="center"/>
            <w:tcMar>
              <w:top w:w="80" w:type="dxa"/>
              <w:start w:w="90" w:type="dxa"/>
              <w:bottom w:w="80" w:type="dxa"/>
              <w:end w:w="90" w:type="dxa"/>
            </w:tcMar>
          </w:tcPr>
          <w:p>
            <w:pPr>
              <w:spacing w:after="0"/>
            </w:pPr>
            <w:r/>
            <w:r>
              <w:rPr>
                <w:rFonts w:ascii="Aptos" w:hAnsi="Aptos"/>
                <w:b w:val="0"/>
                <w:color w:val="1F2937"/>
                <w:sz w:val="16"/>
              </w:rPr>
              <w:t>source_file_date</w:t>
            </w:r>
          </w:p>
        </w:tc>
        <w:tc>
          <w:tcPr>
            <w:tcW w:type="dxa" w:w="7200"/>
            <w:shd w:fill="F3F6F9"/>
            <w:vAlign w:val="center"/>
            <w:tcMar>
              <w:top w:w="80" w:type="dxa"/>
              <w:start w:w="90" w:type="dxa"/>
              <w:bottom w:w="80" w:type="dxa"/>
              <w:end w:w="90" w:type="dxa"/>
            </w:tcMar>
          </w:tcPr>
          <w:p>
            <w:pPr>
              <w:spacing w:after="0"/>
            </w:pPr>
            <w:r/>
            <w:r>
              <w:rPr>
                <w:rFonts w:ascii="Aptos" w:hAnsi="Aptos"/>
                <w:b w:val="0"/>
                <w:color w:val="1F2937"/>
                <w:sz w:val="16"/>
              </w:rPr>
              <w:t>Date inferred from partition/file metadata.</w:t>
            </w:r>
          </w:p>
        </w:tc>
      </w:tr>
      <w:tr>
        <w:trPr>
          <w:cantSplit/>
        </w:trPr>
        <w:tc>
          <w:tcPr>
            <w:tcW w:type="dxa" w:w="2592"/>
            <w:vAlign w:val="center"/>
            <w:tcMar>
              <w:top w:w="80" w:type="dxa"/>
              <w:start w:w="90" w:type="dxa"/>
              <w:bottom w:w="80" w:type="dxa"/>
              <w:end w:w="90" w:type="dxa"/>
            </w:tcMar>
          </w:tcPr>
          <w:p>
            <w:pPr>
              <w:spacing w:after="0"/>
            </w:pPr>
            <w:r/>
            <w:r>
              <w:rPr>
                <w:rFonts w:ascii="Aptos" w:hAnsi="Aptos"/>
                <w:b w:val="0"/>
                <w:color w:val="1F2937"/>
                <w:sz w:val="16"/>
              </w:rPr>
              <w:t>record_hash</w:t>
            </w:r>
          </w:p>
        </w:tc>
        <w:tc>
          <w:tcPr>
            <w:tcW w:type="dxa" w:w="7200"/>
            <w:vAlign w:val="center"/>
            <w:tcMar>
              <w:top w:w="80" w:type="dxa"/>
              <w:start w:w="90" w:type="dxa"/>
              <w:bottom w:w="80" w:type="dxa"/>
              <w:end w:w="90" w:type="dxa"/>
            </w:tcMar>
          </w:tcPr>
          <w:p>
            <w:pPr>
              <w:spacing w:after="0"/>
            </w:pPr>
            <w:r/>
            <w:r>
              <w:rPr>
                <w:rFonts w:ascii="Aptos" w:hAnsi="Aptos"/>
                <w:b w:val="0"/>
                <w:color w:val="1F2937"/>
                <w:sz w:val="16"/>
              </w:rPr>
              <w:t>Deterministic hash over normalized source record.</w:t>
            </w:r>
          </w:p>
        </w:tc>
      </w:tr>
      <w:tr>
        <w:trPr>
          <w:cantSplit/>
        </w:trPr>
        <w:tc>
          <w:tcPr>
            <w:tcW w:type="dxa" w:w="2592"/>
            <w:shd w:fill="F3F6F9"/>
            <w:vAlign w:val="center"/>
            <w:tcMar>
              <w:top w:w="80" w:type="dxa"/>
              <w:start w:w="90" w:type="dxa"/>
              <w:bottom w:w="80" w:type="dxa"/>
              <w:end w:w="90" w:type="dxa"/>
            </w:tcMar>
          </w:tcPr>
          <w:p>
            <w:pPr>
              <w:spacing w:after="0"/>
            </w:pPr>
            <w:r/>
            <w:r>
              <w:rPr>
                <w:rFonts w:ascii="Aptos" w:hAnsi="Aptos"/>
                <w:b w:val="0"/>
                <w:color w:val="1F2937"/>
                <w:sz w:val="16"/>
              </w:rPr>
              <w:t>payload</w:t>
            </w:r>
          </w:p>
        </w:tc>
        <w:tc>
          <w:tcPr>
            <w:tcW w:type="dxa" w:w="7200"/>
            <w:shd w:fill="F3F6F9"/>
            <w:vAlign w:val="center"/>
            <w:tcMar>
              <w:top w:w="80" w:type="dxa"/>
              <w:start w:w="90" w:type="dxa"/>
              <w:bottom w:w="80" w:type="dxa"/>
              <w:end w:w="90" w:type="dxa"/>
            </w:tcMar>
          </w:tcPr>
          <w:p>
            <w:pPr>
              <w:spacing w:after="0"/>
            </w:pPr>
            <w:r/>
            <w:r>
              <w:rPr>
                <w:rFonts w:ascii="Aptos" w:hAnsi="Aptos"/>
                <w:b w:val="0"/>
                <w:color w:val="1F2937"/>
                <w:sz w:val="16"/>
              </w:rPr>
              <w:t>Full source record as JSONB.</w:t>
            </w:r>
          </w:p>
        </w:tc>
      </w:tr>
      <w:tr>
        <w:trPr>
          <w:cantSplit/>
        </w:trPr>
        <w:tc>
          <w:tcPr>
            <w:tcW w:type="dxa" w:w="2592"/>
            <w:vAlign w:val="center"/>
            <w:tcMar>
              <w:top w:w="80" w:type="dxa"/>
              <w:start w:w="90" w:type="dxa"/>
              <w:bottom w:w="80" w:type="dxa"/>
              <w:end w:w="90" w:type="dxa"/>
            </w:tcMar>
          </w:tcPr>
          <w:p>
            <w:pPr>
              <w:spacing w:after="0"/>
            </w:pPr>
            <w:r/>
            <w:r>
              <w:rPr>
                <w:rFonts w:ascii="Aptos" w:hAnsi="Aptos"/>
                <w:b w:val="0"/>
                <w:color w:val="1F2937"/>
                <w:sz w:val="16"/>
              </w:rPr>
              <w:t>ingested_at</w:t>
            </w:r>
          </w:p>
        </w:tc>
        <w:tc>
          <w:tcPr>
            <w:tcW w:type="dxa" w:w="7200"/>
            <w:vAlign w:val="center"/>
            <w:tcMar>
              <w:top w:w="80" w:type="dxa"/>
              <w:start w:w="90" w:type="dxa"/>
              <w:bottom w:w="80" w:type="dxa"/>
              <w:end w:w="90" w:type="dxa"/>
            </w:tcMar>
          </w:tcPr>
          <w:p>
            <w:pPr>
              <w:spacing w:after="0"/>
            </w:pPr>
            <w:r/>
            <w:r>
              <w:rPr>
                <w:rFonts w:ascii="Aptos" w:hAnsi="Aptos"/>
                <w:b w:val="0"/>
                <w:color w:val="1F2937"/>
                <w:sz w:val="16"/>
              </w:rPr>
              <w:t>First local ingestion timestamp.</w:t>
            </w:r>
          </w:p>
        </w:tc>
      </w:tr>
      <w:tr>
        <w:trPr>
          <w:cantSplit/>
        </w:trPr>
        <w:tc>
          <w:tcPr>
            <w:tcW w:type="dxa" w:w="2592"/>
            <w:shd w:fill="F3F6F9"/>
            <w:vAlign w:val="center"/>
            <w:tcMar>
              <w:top w:w="80" w:type="dxa"/>
              <w:start w:w="90" w:type="dxa"/>
              <w:bottom w:w="80" w:type="dxa"/>
              <w:end w:w="90" w:type="dxa"/>
            </w:tcMar>
          </w:tcPr>
          <w:p>
            <w:pPr>
              <w:spacing w:after="0"/>
            </w:pPr>
            <w:r/>
            <w:r>
              <w:rPr>
                <w:rFonts w:ascii="Aptos" w:hAnsi="Aptos"/>
                <w:b w:val="0"/>
                <w:color w:val="1F2937"/>
                <w:sz w:val="16"/>
              </w:rPr>
              <w:t>updated_at</w:t>
            </w:r>
          </w:p>
        </w:tc>
        <w:tc>
          <w:tcPr>
            <w:tcW w:type="dxa" w:w="7200"/>
            <w:shd w:fill="F3F6F9"/>
            <w:vAlign w:val="center"/>
            <w:tcMar>
              <w:top w:w="80" w:type="dxa"/>
              <w:start w:w="90" w:type="dxa"/>
              <w:bottom w:w="80" w:type="dxa"/>
              <w:end w:w="90" w:type="dxa"/>
            </w:tcMar>
          </w:tcPr>
          <w:p>
            <w:pPr>
              <w:spacing w:after="0"/>
            </w:pPr>
            <w:r/>
            <w:r>
              <w:rPr>
                <w:rFonts w:ascii="Aptos" w:hAnsi="Aptos"/>
                <w:b w:val="0"/>
                <w:color w:val="1F2937"/>
                <w:sz w:val="16"/>
              </w:rPr>
              <w:t>Last local update timestamp.</w:t>
            </w:r>
          </w:p>
        </w:tc>
      </w:tr>
    </w:tbl>
    <w:p>
      <w:pPr>
        <w:spacing w:after="20"/>
      </w:pPr>
    </w:p>
    <w:p>
      <w:pPr>
        <w:pStyle w:val="Heading2"/>
      </w:pPr>
      <w:r>
        <w:t>meta.processed_files</w:t>
      </w:r>
    </w:p>
    <w:p>
      <w:r>
        <w:t>Grain: one row per processed source file/version. Required fields: source_file, source_file_date, content_hash (or stable source revision), processed_at, row_count, status, pipeline_run_id. Enforce uniqueness on the file/version identity.</w:t>
      </w:r>
    </w:p>
    <w:p>
      <w:pPr>
        <w:pStyle w:val="Heading2"/>
      </w:pPr>
      <w:r>
        <w:t>meta.pipeline_runs</w:t>
      </w:r>
    </w:p>
    <w:p>
      <w:r>
        <w:t>Grain: one row per pipeline invocation. Capture run_id, start/end timestamps, status, files discovered/processed, rows read/inserted/updated, and error summary. This table is part of the portfolio signal: the project tracks its own operational state.</w:t>
      </w:r>
    </w:p>
    <w:p>
      <w:pPr>
        <w:pStyle w:val="Heading1"/>
      </w:pPr>
      <w:r>
        <w:t>7. Incremental Ingestion and Idempotency</w:t>
      </w:r>
    </w:p>
    <w:p>
      <w:r>
        <w:t>Every pipeline invocation must be safe to repeat. The implementation should prefer a deterministic file checkpoint plus record-level upsert strategy.</w:t>
      </w:r>
    </w:p>
    <w:p>
      <w:pPr>
        <w:spacing w:after="40"/>
        <w:ind w:left="317" w:hanging="317"/>
      </w:pPr>
      <w:r>
        <w:rPr>
          <w:b w:val="0"/>
        </w:rPr>
        <w:t xml:space="preserve">1.  </w:t>
      </w:r>
      <w:r>
        <w:t>Discover currently available source partitions dynamically.</w:t>
      </w:r>
    </w:p>
    <w:p>
      <w:pPr>
        <w:spacing w:after="40"/>
        <w:ind w:left="317" w:hanging="317"/>
      </w:pPr>
      <w:r>
        <w:rPr>
          <w:b w:val="0"/>
        </w:rPr>
        <w:t xml:space="preserve">2.  </w:t>
      </w:r>
      <w:r>
        <w:t>Compare each partition against meta.processed_files using filename plus a stable revision/content identifier.</w:t>
      </w:r>
    </w:p>
    <w:p>
      <w:pPr>
        <w:spacing w:after="40"/>
        <w:ind w:left="317" w:hanging="317"/>
      </w:pPr>
      <w:r>
        <w:rPr>
          <w:b w:val="0"/>
        </w:rPr>
        <w:t xml:space="preserve">3.  </w:t>
      </w:r>
      <w:r>
        <w:t>Download only unseen or changed source files.</w:t>
      </w:r>
    </w:p>
    <w:p>
      <w:pPr>
        <w:spacing w:after="40"/>
        <w:ind w:left="317" w:hanging="317"/>
      </w:pPr>
      <w:r>
        <w:rPr>
          <w:b w:val="0"/>
        </w:rPr>
        <w:t xml:space="preserve">4.  </w:t>
      </w:r>
      <w:r>
        <w:t>Validate the required source contract before writing raw rows.</w:t>
      </w:r>
    </w:p>
    <w:p>
      <w:pPr>
        <w:spacing w:after="40"/>
        <w:ind w:left="317" w:hanging="317"/>
      </w:pPr>
      <w:r>
        <w:rPr>
          <w:b w:val="0"/>
        </w:rPr>
        <w:t xml:space="preserve">5.  </w:t>
      </w:r>
      <w:r>
        <w:t>Normalize each source row only enough to produce top-level keys/timestamps/hash and JSONB payload.</w:t>
      </w:r>
    </w:p>
    <w:p>
      <w:pPr>
        <w:spacing w:after="40"/>
        <w:ind w:left="317" w:hanging="317"/>
      </w:pPr>
      <w:r>
        <w:rPr>
          <w:b w:val="0"/>
        </w:rPr>
        <w:t xml:space="preserve">6.  </w:t>
      </w:r>
      <w:r>
        <w:t>UPSERT on primary_key. Insert new records; update only when the record hash changes or the observed timestamp is newer; no-op on identical records.</w:t>
      </w:r>
    </w:p>
    <w:p>
      <w:pPr>
        <w:spacing w:after="40"/>
        <w:ind w:left="317" w:hanging="317"/>
      </w:pPr>
      <w:r>
        <w:rPr>
          <w:b w:val="0"/>
        </w:rPr>
        <w:t xml:space="preserve">7.  </w:t>
      </w:r>
      <w:r>
        <w:t>Commit one file atomically. A failed file must roll back and must not be marked processed.</w:t>
      </w:r>
    </w:p>
    <w:p>
      <w:pPr>
        <w:spacing w:after="40"/>
        <w:ind w:left="317" w:hanging="317"/>
      </w:pPr>
      <w:r>
        <w:rPr>
          <w:b w:val="0"/>
        </w:rPr>
        <w:t xml:space="preserve">8.  </w:t>
      </w:r>
      <w:r>
        <w:t>Do not delete local history merely because an older rolling source partition disappears upstream.</w:t>
      </w:r>
    </w:p>
    <w:p>
      <w:pPr>
        <w:pStyle w:val="Callout"/>
        <w:shd w:fill="E2F0D9"/>
      </w:pPr>
      <w:r>
        <w:rPr>
          <w:b/>
        </w:rPr>
        <w:t>The second run is a first-class acceptance case. A no-change rerun must process zero new files and create zero duplicate raw/fact rows.</w:t>
      </w:r>
    </w:p>
    <w:p>
      <w:pPr>
        <w:pStyle w:val="Heading1"/>
      </w:pPr>
      <w:r>
        <w:t>8. dbt Transformation Design</w:t>
      </w:r>
    </w:p>
    <w:p>
      <w:pPr>
        <w:pStyle w:val="CodeBlock"/>
        <w:keepLines/>
        <w:shd w:fill="F3F6F9"/>
      </w:pPr>
      <w:r>
        <w:rPr>
          <w:rFonts w:ascii="Consolas" w:hAnsi="Consolas"/>
          <w:sz w:val="17"/>
        </w:rPr>
        <w:t>models/</w:t>
        <w:br/>
        <w:t>├── staging/</w:t>
        <w:br/>
        <w:t>│   └── stg_autotrader_listings.sql</w:t>
        <w:br/>
        <w:t>├── intermediate/</w:t>
        <w:br/>
        <w:t>│   ├── int_listings_deduped.sql</w:t>
        <w:br/>
        <w:t>│   └── int_listings_enriched.sql</w:t>
        <w:br/>
        <w:t>└── marts/</w:t>
        <w:br/>
        <w:t xml:space="preserve">    ├── dim_vehicle.sql</w:t>
        <w:br/>
        <w:t xml:space="preserve">    ├── dim_seller.sql</w:t>
        <w:br/>
        <w:t xml:space="preserve">    ├── dim_geography.sql</w:t>
        <w:br/>
        <w:t xml:space="preserve">    ├── dim_date.sql</w:t>
        <w:br/>
        <w:t xml:space="preserve">    └── fct_listings.sql</w:t>
      </w:r>
    </w:p>
    <w:p>
      <w:pPr>
        <w:pStyle w:val="Heading2"/>
      </w:pPr>
      <w:r>
        <w:t>stg_autotrader_listings</w:t>
      </w:r>
    </w:p>
    <w:p>
      <w:pPr>
        <w:pStyle w:val="ListBullet"/>
        <w:spacing w:after="40"/>
      </w:pPr>
      <w:r>
        <w:t>Extract selected analytics fields from JSONB.</w:t>
      </w:r>
    </w:p>
    <w:p>
      <w:pPr>
        <w:pStyle w:val="ListBullet"/>
        <w:spacing w:after="40"/>
      </w:pPr>
      <w:r>
        <w:t>Convert source naming to snake_case.</w:t>
      </w:r>
    </w:p>
    <w:p>
      <w:pPr>
        <w:pStyle w:val="ListBullet"/>
        <w:spacing w:after="40"/>
      </w:pPr>
      <w:r>
        <w:t>Cast timestamps, booleans, numeric values, and strings.</w:t>
      </w:r>
    </w:p>
    <w:p>
      <w:pPr>
        <w:pStyle w:val="ListBullet"/>
        <w:spacing w:after="40"/>
      </w:pPr>
      <w:r>
        <w:t>Normalize premium/redacted placeholder strings to NULL where necessary.</w:t>
      </w:r>
    </w:p>
    <w:p>
      <w:pPr>
        <w:pStyle w:val="ListBullet"/>
        <w:spacing w:after="40"/>
      </w:pPr>
      <w:r>
        <w:t>Standardize whitespace/casing only where business-safe.</w:t>
      </w:r>
    </w:p>
    <w:p>
      <w:pPr>
        <w:pStyle w:val="ListBullet"/>
        <w:spacing w:after="40"/>
      </w:pPr>
      <w:r>
        <w:t>Preserve source metadata and avoid business aggregation here.</w:t>
      </w:r>
    </w:p>
    <w:p>
      <w:pPr>
        <w:pStyle w:val="Heading2"/>
      </w:pPr>
      <w:r>
        <w:t>int_listings_deduped</w:t>
      </w:r>
    </w:p>
    <w:p>
      <w:r>
        <w:t>Grain: one row per listing_id. Use ROW_NUMBER() OVER (PARTITION BY listing_id ORDER BY last_seen_at DESC, source_file_date DESC, primary_key DESC) and retain row_number = 1. Also compute source_observation_count.</w:t>
      </w:r>
    </w:p>
    <w:p>
      <w:pPr>
        <w:pStyle w:val="Heading2"/>
      </w:pPr>
      <w:r>
        <w:t>int_listings_enriched</w:t>
      </w:r>
    </w:p>
    <w:p>
      <w:pPr>
        <w:pStyle w:val="ListBullet"/>
        <w:spacing w:after="40"/>
      </w:pPr>
      <w:r>
        <w:t>vehicle_age_years</w:t>
      </w:r>
    </w:p>
    <w:p>
      <w:pPr>
        <w:pStyle w:val="ListBullet"/>
        <w:spacing w:after="40"/>
      </w:pPr>
      <w:r>
        <w:t>reference_value_midpoint</w:t>
      </w:r>
    </w:p>
    <w:p>
      <w:pPr>
        <w:pStyle w:val="ListBullet"/>
        <w:spacing w:after="40"/>
      </w:pPr>
      <w:r>
        <w:t>reference_value_spread</w:t>
      </w:r>
    </w:p>
    <w:p>
      <w:pPr>
        <w:pStyle w:val="ListBullet"/>
        <w:spacing w:after="40"/>
      </w:pPr>
      <w:r>
        <w:t>reference_value_spread_pct</w:t>
      </w:r>
    </w:p>
    <w:p>
      <w:pPr>
        <w:pStyle w:val="ListBullet"/>
        <w:spacing w:after="40"/>
      </w:pPr>
      <w:r>
        <w:t>mileage_bucket</w:t>
      </w:r>
    </w:p>
    <w:p>
      <w:pPr>
        <w:pStyle w:val="ListBullet"/>
        <w:spacing w:after="40"/>
      </w:pPr>
      <w:r>
        <w:t>days_on_market_bucket</w:t>
      </w:r>
    </w:p>
    <w:p>
      <w:pPr>
        <w:pStyle w:val="ListBullet"/>
        <w:spacing w:after="40"/>
      </w:pPr>
      <w:r>
        <w:t>is_market_value_eligible</w:t>
      </w:r>
    </w:p>
    <w:p>
      <w:r>
        <w:t>Reference-value eligibility should reject logically invalid low/high pairs while allowing otherwise useful listings to remain available for non-value analyses.</w:t>
      </w:r>
    </w:p>
    <w:p>
      <w:pPr>
        <w:pStyle w:val="Heading1"/>
      </w:pPr>
      <w:r>
        <w:t>9. Dimensional Warehouse</w:t>
      </w:r>
    </w:p>
    <w:p>
      <w:pPr>
        <w:pStyle w:val="CodeBlock"/>
        <w:keepLines/>
        <w:shd w:fill="F3F6F9"/>
      </w:pPr>
      <w:r>
        <w:rPr>
          <w:rFonts w:ascii="Consolas" w:hAnsi="Consolas"/>
          <w:sz w:val="17"/>
        </w:rPr>
        <w:t xml:space="preserve">                    dim_vehicle</w:t>
        <w:br/>
        <w:t xml:space="preserve">                         │</w:t>
        <w:br/>
        <w:t>dim_seller ─────── fct_listings ─────── dim_geography</w:t>
        <w:br/>
        <w:t xml:space="preserve">                         │</w:t>
        <w:br/>
        <w:t xml:space="preserve">                      dim_date</w:t>
      </w:r>
    </w:p>
    <w:p>
      <w:pPr>
        <w:pStyle w:val="Heading2"/>
      </w:pPr>
      <w:r>
        <w:t>Core grain</w:t>
      </w:r>
    </w:p>
    <w:p>
      <w:pPr>
        <w:pStyle w:val="Callout"/>
        <w:shd w:fill="D9EAF7"/>
      </w:pPr>
      <w:r>
        <w:rPr>
          <w:b/>
        </w:rPr>
        <w:t>fct_listings grain: one unique used/certified listing represented by its latest valid observed source record.</w:t>
      </w:r>
    </w:p>
    <w:p>
      <w:pPr>
        <w:pStyle w:val="Heading2"/>
      </w:pPr>
      <w:r>
        <w:t>dim_vehicle</w:t>
      </w:r>
    </w:p>
    <w:p>
      <w:r>
        <w:t>Grain: one vehicle configuration, not one physical automobile. Prefer kbb_vehicle_id when stable/present; otherwise build a deterministic surrogate identity from year/make/model/trim/body/engine/drivetrain/transmission/fuel attributes.</w:t>
      </w:r>
    </w:p>
    <w:p>
      <w:pPr>
        <w:pStyle w:val="ListBullet"/>
        <w:spacing w:after="40"/>
      </w:pPr>
      <w:r>
        <w:t>vehicle_key</w:t>
      </w:r>
    </w:p>
    <w:p>
      <w:pPr>
        <w:pStyle w:val="ListBullet"/>
        <w:spacing w:after="40"/>
      </w:pPr>
      <w:r>
        <w:t>kbb_vehicle_id</w:t>
      </w:r>
    </w:p>
    <w:p>
      <w:pPr>
        <w:pStyle w:val="ListBullet"/>
        <w:spacing w:after="40"/>
      </w:pPr>
      <w:r>
        <w:t>year</w:t>
      </w:r>
    </w:p>
    <w:p>
      <w:pPr>
        <w:pStyle w:val="ListBullet"/>
        <w:spacing w:after="40"/>
      </w:pPr>
      <w:r>
        <w:t>make_code/name</w:t>
      </w:r>
    </w:p>
    <w:p>
      <w:pPr>
        <w:pStyle w:val="ListBullet"/>
        <w:spacing w:after="40"/>
      </w:pPr>
      <w:r>
        <w:t>model_code/name</w:t>
      </w:r>
    </w:p>
    <w:p>
      <w:pPr>
        <w:pStyle w:val="ListBullet"/>
        <w:spacing w:after="40"/>
      </w:pPr>
      <w:r>
        <w:t>trim</w:t>
      </w:r>
    </w:p>
    <w:p>
      <w:pPr>
        <w:pStyle w:val="ListBullet"/>
        <w:spacing w:after="40"/>
      </w:pPr>
      <w:r>
        <w:t>body_style</w:t>
      </w:r>
    </w:p>
    <w:p>
      <w:pPr>
        <w:pStyle w:val="ListBullet"/>
        <w:spacing w:after="40"/>
      </w:pPr>
      <w:r>
        <w:t>engine fields</w:t>
      </w:r>
    </w:p>
    <w:p>
      <w:pPr>
        <w:pStyle w:val="ListBullet"/>
        <w:spacing w:after="40"/>
      </w:pPr>
      <w:r>
        <w:t>displacement</w:t>
      </w:r>
    </w:p>
    <w:p>
      <w:pPr>
        <w:pStyle w:val="ListBullet"/>
        <w:spacing w:after="40"/>
      </w:pPr>
      <w:r>
        <w:t>drivetrain</w:t>
      </w:r>
    </w:p>
    <w:p>
      <w:pPr>
        <w:pStyle w:val="ListBullet"/>
        <w:spacing w:after="40"/>
      </w:pPr>
      <w:r>
        <w:t>transmission_group</w:t>
      </w:r>
    </w:p>
    <w:p>
      <w:pPr>
        <w:pStyle w:val="ListBullet"/>
        <w:spacing w:after="40"/>
      </w:pPr>
      <w:r>
        <w:t>fuel_type_group</w:t>
      </w:r>
    </w:p>
    <w:p>
      <w:pPr>
        <w:pStyle w:val="ListBullet"/>
        <w:spacing w:after="40"/>
      </w:pPr>
      <w:r>
        <w:t>mpg_city/highway</w:t>
      </w:r>
    </w:p>
    <w:p>
      <w:pPr>
        <w:pStyle w:val="ListBullet"/>
        <w:spacing w:after="40"/>
      </w:pPr>
      <w:r>
        <w:t>KBB consumer rating/review count</w:t>
      </w:r>
    </w:p>
    <w:p>
      <w:pPr>
        <w:pStyle w:val="Heading2"/>
      </w:pPr>
      <w:r>
        <w:t>dim_seller</w:t>
      </w:r>
    </w:p>
    <w:p>
      <w:r>
        <w:t>Grain: one seller_id. Use Type-1 behavior for descriptive seller attributes in V1. Fields may include seller_key, seller_id, is_private_seller, seller_contract_level, latest_review_count. Do not require redacted seller names.</w:t>
      </w:r>
    </w:p>
    <w:p>
      <w:pPr>
        <w:pStyle w:val="Heading2"/>
      </w:pPr>
      <w:r>
        <w:t>dim_geography</w:t>
      </w:r>
    </w:p>
    <w:p>
      <w:r>
        <w:t>Grain: unique ZIP/city/state combination. Include a small dbt seed mapping states to broad U.S. regions; no external geography API is required.</w:t>
      </w:r>
    </w:p>
    <w:p>
      <w:pPr>
        <w:pStyle w:val="Heading2"/>
      </w:pPr>
      <w:r>
        <w:t>dim_date</w:t>
      </w:r>
    </w:p>
    <w:p>
      <w:r>
        <w:t>Grain: one calendar date. Include date_key (YYYYMMDD), full_date, day/week/month/quarter/year, names, and is_weekend. Cover the source observation range.</w:t>
      </w:r>
    </w:p>
    <w:p>
      <w:pPr>
        <w:pStyle w:val="Heading2"/>
      </w:pPr>
      <w:r>
        <w:t>fct_listings</w:t>
      </w:r>
    </w:p>
    <w:p>
      <w:pPr>
        <w:pStyle w:val="ListBullet"/>
        <w:spacing w:after="40"/>
      </w:pPr>
      <w:r>
        <w:t>listing_id and latest source key</w:t>
      </w:r>
    </w:p>
    <w:p>
      <w:pPr>
        <w:pStyle w:val="ListBullet"/>
        <w:spacing w:after="40"/>
      </w:pPr>
      <w:r>
        <w:t>vehicle_key, seller_key, geography_key</w:t>
      </w:r>
    </w:p>
    <w:p>
      <w:pPr>
        <w:pStyle w:val="ListBullet"/>
        <w:spacing w:after="40"/>
      </w:pPr>
      <w:r>
        <w:t>first_seen_date_key, last_seen_date_key, source_file_date_key</w:t>
      </w:r>
    </w:p>
    <w:p>
      <w:pPr>
        <w:pStyle w:val="ListBullet"/>
        <w:spacing w:after="40"/>
      </w:pPr>
      <w:r>
        <w:t>first_seen_at, last_seen_at</w:t>
      </w:r>
    </w:p>
    <w:p>
      <w:pPr>
        <w:pStyle w:val="ListBullet"/>
        <w:spacing w:after="40"/>
      </w:pPr>
      <w:r>
        <w:t>listing_type</w:t>
      </w:r>
    </w:p>
    <w:p>
      <w:pPr>
        <w:pStyle w:val="ListBullet"/>
        <w:spacing w:after="40"/>
      </w:pPr>
      <w:r>
        <w:t>mileage, days_on_market</w:t>
      </w:r>
    </w:p>
    <w:p>
      <w:pPr>
        <w:pStyle w:val="ListBullet"/>
        <w:spacing w:after="40"/>
      </w:pPr>
      <w:r>
        <w:t>kbb_fair_price_low/high</w:t>
      </w:r>
    </w:p>
    <w:p>
      <w:pPr>
        <w:pStyle w:val="ListBullet"/>
        <w:spacing w:after="40"/>
      </w:pPr>
      <w:r>
        <w:t>reference_value_midpoint/spread</w:t>
      </w:r>
    </w:p>
    <w:p>
      <w:pPr>
        <w:pStyle w:val="ListBullet"/>
        <w:spacing w:after="40"/>
      </w:pPr>
      <w:r>
        <w:t>deal_indicator</w:t>
      </w:r>
    </w:p>
    <w:p>
      <w:pPr>
        <w:pStyle w:val="ListBullet"/>
        <w:spacing w:after="40"/>
      </w:pPr>
      <w:r>
        <w:t>colors</w:t>
      </w:r>
    </w:p>
    <w:p>
      <w:pPr>
        <w:pStyle w:val="ListBullet"/>
        <w:spacing w:after="40"/>
      </w:pPr>
      <w:r>
        <w:t>listing flags: hot/newly-listed/reduced/no-haggle/special-offer</w:t>
      </w:r>
    </w:p>
    <w:p>
      <w:pPr>
        <w:pStyle w:val="ListBullet"/>
        <w:spacing w:after="40"/>
      </w:pPr>
      <w:r>
        <w:t>priority, leather flag</w:t>
      </w:r>
    </w:p>
    <w:p>
      <w:pPr>
        <w:pStyle w:val="ListBullet"/>
        <w:spacing w:after="40"/>
      </w:pPr>
      <w:r>
        <w:t>options/images/recall counts where valid</w:t>
      </w:r>
    </w:p>
    <w:p>
      <w:pPr>
        <w:pStyle w:val="ListBullet"/>
        <w:spacing w:after="40"/>
      </w:pPr>
      <w:r>
        <w:t>source_observation_count</w:t>
      </w:r>
    </w:p>
    <w:p>
      <w:pPr>
        <w:pStyle w:val="ListBullet"/>
        <w:spacing w:after="40"/>
      </w:pPr>
      <w:r>
        <w:t>mileage_bucket, days_on_market_bucket, is_market_value_eligible</w:t>
      </w:r>
    </w:p>
    <w:p>
      <w:pPr>
        <w:pStyle w:val="Heading1"/>
      </w:pPr>
      <w:r>
        <w:t>10. Advanced SQL Deliverable</w:t>
      </w:r>
    </w:p>
    <w:p>
      <w:r>
        <w:t>The completion-first revision removes all “Mustafa must write this personally” restrictions. The agent may implement all analytical queries, but each query must be readable, documented, and validated against actual warehouse data. Use PostgreSQL-native techniques where appropriate.</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504"/>
            <w:shd w:fill="17365D"/>
            <w:vAlign w:val="center"/>
            <w:tcMar>
              <w:top w:w="80" w:type="dxa"/>
              <w:start w:w="90" w:type="dxa"/>
              <w:bottom w:w="80" w:type="dxa"/>
              <w:end w:w="90" w:type="dxa"/>
            </w:tcMar>
          </w:tcPr>
          <w:p>
            <w:pPr>
              <w:spacing w:after="0"/>
            </w:pPr>
            <w:r/>
            <w:r>
              <w:rPr>
                <w:rFonts w:ascii="Aptos" w:hAnsi="Aptos"/>
                <w:b/>
                <w:color w:val="FFFFFF"/>
                <w:sz w:val="17"/>
              </w:rPr>
              <w:t>#</w:t>
            </w:r>
          </w:p>
        </w:tc>
        <w:tc>
          <w:tcPr>
            <w:tcW w:type="dxa" w:w="4464"/>
            <w:shd w:fill="17365D"/>
            <w:vAlign w:val="center"/>
            <w:tcMar>
              <w:top w:w="80" w:type="dxa"/>
              <w:start w:w="90" w:type="dxa"/>
              <w:bottom w:w="80" w:type="dxa"/>
              <w:end w:w="90" w:type="dxa"/>
            </w:tcMar>
          </w:tcPr>
          <w:p>
            <w:pPr>
              <w:spacing w:after="0"/>
            </w:pPr>
            <w:r/>
            <w:r>
              <w:rPr>
                <w:rFonts w:ascii="Aptos" w:hAnsi="Aptos"/>
                <w:b/>
                <w:color w:val="FFFFFF"/>
                <w:sz w:val="17"/>
              </w:rPr>
              <w:t>Analysis</w:t>
            </w:r>
          </w:p>
        </w:tc>
        <w:tc>
          <w:tcPr>
            <w:tcW w:type="dxa" w:w="5040"/>
            <w:shd w:fill="17365D"/>
            <w:vAlign w:val="center"/>
            <w:tcMar>
              <w:top w:w="80" w:type="dxa"/>
              <w:start w:w="90" w:type="dxa"/>
              <w:bottom w:w="80" w:type="dxa"/>
              <w:end w:w="90" w:type="dxa"/>
            </w:tcMar>
          </w:tcPr>
          <w:p>
            <w:pPr>
              <w:spacing w:after="0"/>
            </w:pPr>
            <w:r/>
            <w:r>
              <w:rPr>
                <w:rFonts w:ascii="Aptos" w:hAnsi="Aptos"/>
                <w:b/>
                <w:color w:val="FFFFFF"/>
                <w:sz w:val="17"/>
              </w:rPr>
              <w:t>Required techniques</w:t>
            </w:r>
          </w:p>
        </w:tc>
      </w:tr>
      <w:tr>
        <w:trPr>
          <w:cantSplit/>
        </w:trPr>
        <w:tc>
          <w:tcPr>
            <w:tcW w:type="dxa" w:w="504"/>
            <w:vAlign w:val="center"/>
            <w:tcMar>
              <w:top w:w="80" w:type="dxa"/>
              <w:start w:w="90" w:type="dxa"/>
              <w:bottom w:w="80" w:type="dxa"/>
              <w:end w:w="90" w:type="dxa"/>
            </w:tcMar>
          </w:tcPr>
          <w:p>
            <w:pPr>
              <w:spacing w:after="0"/>
            </w:pPr>
            <w:r/>
            <w:r>
              <w:rPr>
                <w:rFonts w:ascii="Aptos" w:hAnsi="Aptos"/>
                <w:b w:val="0"/>
                <w:color w:val="1F2937"/>
                <w:sz w:val="16"/>
              </w:rPr>
              <w:t>1</w:t>
            </w:r>
          </w:p>
        </w:tc>
        <w:tc>
          <w:tcPr>
            <w:tcW w:type="dxa" w:w="4464"/>
            <w:vAlign w:val="center"/>
            <w:tcMar>
              <w:top w:w="80" w:type="dxa"/>
              <w:start w:w="90" w:type="dxa"/>
              <w:bottom w:w="80" w:type="dxa"/>
              <w:end w:w="90" w:type="dxa"/>
            </w:tcMar>
          </w:tcPr>
          <w:p>
            <w:pPr>
              <w:spacing w:after="0"/>
            </w:pPr>
            <w:r/>
            <w:r>
              <w:rPr>
                <w:rFonts w:ascii="Aptos" w:hAnsi="Aptos"/>
                <w:b w:val="0"/>
                <w:color w:val="1F2937"/>
                <w:sz w:val="16"/>
              </w:rPr>
              <w:t>Vehicle reference-value benchmarks</w:t>
            </w:r>
          </w:p>
        </w:tc>
        <w:tc>
          <w:tcPr>
            <w:tcW w:type="dxa" w:w="5040"/>
            <w:vAlign w:val="center"/>
            <w:tcMar>
              <w:top w:w="80" w:type="dxa"/>
              <w:start w:w="90" w:type="dxa"/>
              <w:bottom w:w="80" w:type="dxa"/>
              <w:end w:w="90" w:type="dxa"/>
            </w:tcMar>
          </w:tcPr>
          <w:p>
            <w:pPr>
              <w:spacing w:after="0"/>
            </w:pPr>
            <w:r/>
            <w:r>
              <w:rPr>
                <w:rFonts w:ascii="Aptos" w:hAnsi="Aptos"/>
                <w:b w:val="0"/>
                <w:color w:val="1F2937"/>
                <w:sz w:val="16"/>
              </w:rPr>
              <w:t>CTEs, joins, PERCENTILE_CONT, cohort-size filters.</w:t>
            </w:r>
          </w:p>
        </w:tc>
      </w:tr>
      <w:tr>
        <w:trPr>
          <w:cantSplit/>
        </w:trPr>
        <w:tc>
          <w:tcPr>
            <w:tcW w:type="dxa" w:w="504"/>
            <w:shd w:fill="F3F6F9"/>
            <w:vAlign w:val="center"/>
            <w:tcMar>
              <w:top w:w="80" w:type="dxa"/>
              <w:start w:w="90" w:type="dxa"/>
              <w:bottom w:w="80" w:type="dxa"/>
              <w:end w:w="90" w:type="dxa"/>
            </w:tcMar>
          </w:tcPr>
          <w:p>
            <w:pPr>
              <w:spacing w:after="0"/>
            </w:pPr>
            <w:r/>
            <w:r>
              <w:rPr>
                <w:rFonts w:ascii="Aptos" w:hAnsi="Aptos"/>
                <w:b w:val="0"/>
                <w:color w:val="1F2937"/>
                <w:sz w:val="16"/>
              </w:rPr>
              <w:t>2</w:t>
            </w:r>
          </w:p>
        </w:tc>
        <w:tc>
          <w:tcPr>
            <w:tcW w:type="dxa" w:w="4464"/>
            <w:shd w:fill="F3F6F9"/>
            <w:vAlign w:val="center"/>
            <w:tcMar>
              <w:top w:w="80" w:type="dxa"/>
              <w:start w:w="90" w:type="dxa"/>
              <w:bottom w:w="80" w:type="dxa"/>
              <w:end w:w="90" w:type="dxa"/>
            </w:tcMar>
          </w:tcPr>
          <w:p>
            <w:pPr>
              <w:spacing w:after="0"/>
            </w:pPr>
            <w:r/>
            <w:r>
              <w:rPr>
                <w:rFonts w:ascii="Aptos" w:hAnsi="Aptos"/>
                <w:b w:val="0"/>
                <w:color w:val="1F2937"/>
                <w:sz w:val="16"/>
              </w:rPr>
              <w:t>Trim reference-value premiums</w:t>
            </w:r>
          </w:p>
        </w:tc>
        <w:tc>
          <w:tcPr>
            <w:tcW w:type="dxa" w:w="5040"/>
            <w:shd w:fill="F3F6F9"/>
            <w:vAlign w:val="center"/>
            <w:tcMar>
              <w:top w:w="80" w:type="dxa"/>
              <w:start w:w="90" w:type="dxa"/>
              <w:bottom w:w="80" w:type="dxa"/>
              <w:end w:w="90" w:type="dxa"/>
            </w:tcMar>
          </w:tcPr>
          <w:p>
            <w:pPr>
              <w:spacing w:after="0"/>
            </w:pPr>
            <w:r/>
            <w:r>
              <w:rPr>
                <w:rFonts w:ascii="Aptos" w:hAnsi="Aptos"/>
                <w:b w:val="0"/>
                <w:color w:val="1F2937"/>
                <w:sz w:val="16"/>
              </w:rPr>
              <w:t>Multi-stage CTEs, baselines, percentage deltas, ranking.</w:t>
            </w:r>
          </w:p>
        </w:tc>
      </w:tr>
      <w:tr>
        <w:trPr>
          <w:cantSplit/>
        </w:trPr>
        <w:tc>
          <w:tcPr>
            <w:tcW w:type="dxa" w:w="504"/>
            <w:vAlign w:val="center"/>
            <w:tcMar>
              <w:top w:w="80" w:type="dxa"/>
              <w:start w:w="90" w:type="dxa"/>
              <w:bottom w:w="80" w:type="dxa"/>
              <w:end w:w="90" w:type="dxa"/>
            </w:tcMar>
          </w:tcPr>
          <w:p>
            <w:pPr>
              <w:spacing w:after="0"/>
            </w:pPr>
            <w:r/>
            <w:r>
              <w:rPr>
                <w:rFonts w:ascii="Aptos" w:hAnsi="Aptos"/>
                <w:b w:val="0"/>
                <w:color w:val="1F2937"/>
                <w:sz w:val="16"/>
              </w:rPr>
              <w:t>3</w:t>
            </w:r>
          </w:p>
        </w:tc>
        <w:tc>
          <w:tcPr>
            <w:tcW w:type="dxa" w:w="4464"/>
            <w:vAlign w:val="center"/>
            <w:tcMar>
              <w:top w:w="80" w:type="dxa"/>
              <w:start w:w="90" w:type="dxa"/>
              <w:bottom w:w="80" w:type="dxa"/>
              <w:end w:w="90" w:type="dxa"/>
            </w:tcMar>
          </w:tcPr>
          <w:p>
            <w:pPr>
              <w:spacing w:after="0"/>
            </w:pPr>
            <w:r/>
            <w:r>
              <w:rPr>
                <w:rFonts w:ascii="Aptos" w:hAnsi="Aptos"/>
                <w:b w:val="0"/>
                <w:color w:val="1F2937"/>
                <w:sz w:val="16"/>
              </w:rPr>
              <w:t>Mileage vs. reference value</w:t>
            </w:r>
          </w:p>
        </w:tc>
        <w:tc>
          <w:tcPr>
            <w:tcW w:type="dxa" w:w="5040"/>
            <w:vAlign w:val="center"/>
            <w:tcMar>
              <w:top w:w="80" w:type="dxa"/>
              <w:start w:w="90" w:type="dxa"/>
              <w:bottom w:w="80" w:type="dxa"/>
              <w:end w:w="90" w:type="dxa"/>
            </w:tcMar>
          </w:tcPr>
          <w:p>
            <w:pPr>
              <w:spacing w:after="0"/>
            </w:pPr>
            <w:r/>
            <w:r>
              <w:rPr>
                <w:rFonts w:ascii="Aptos" w:hAnsi="Aptos"/>
                <w:b w:val="0"/>
                <w:color w:val="1F2937"/>
                <w:sz w:val="16"/>
              </w:rPr>
              <w:t>Bucketing, partitions, LAG/window functions; explicitly cross-sectional.</w:t>
            </w:r>
          </w:p>
        </w:tc>
      </w:tr>
      <w:tr>
        <w:trPr>
          <w:cantSplit/>
        </w:trPr>
        <w:tc>
          <w:tcPr>
            <w:tcW w:type="dxa" w:w="504"/>
            <w:shd w:fill="F3F6F9"/>
            <w:vAlign w:val="center"/>
            <w:tcMar>
              <w:top w:w="80" w:type="dxa"/>
              <w:start w:w="90" w:type="dxa"/>
              <w:bottom w:w="80" w:type="dxa"/>
              <w:end w:w="90" w:type="dxa"/>
            </w:tcMar>
          </w:tcPr>
          <w:p>
            <w:pPr>
              <w:spacing w:after="0"/>
            </w:pPr>
            <w:r/>
            <w:r>
              <w:rPr>
                <w:rFonts w:ascii="Aptos" w:hAnsi="Aptos"/>
                <w:b w:val="0"/>
                <w:color w:val="1F2937"/>
                <w:sz w:val="16"/>
              </w:rPr>
              <w:t>4</w:t>
            </w:r>
          </w:p>
        </w:tc>
        <w:tc>
          <w:tcPr>
            <w:tcW w:type="dxa" w:w="4464"/>
            <w:shd w:fill="F3F6F9"/>
            <w:vAlign w:val="center"/>
            <w:tcMar>
              <w:top w:w="80" w:type="dxa"/>
              <w:start w:w="90" w:type="dxa"/>
              <w:bottom w:w="80" w:type="dxa"/>
              <w:end w:w="90" w:type="dxa"/>
            </w:tcMar>
          </w:tcPr>
          <w:p>
            <w:pPr>
              <w:spacing w:after="0"/>
            </w:pPr>
            <w:r/>
            <w:r>
              <w:rPr>
                <w:rFonts w:ascii="Aptos" w:hAnsi="Aptos"/>
                <w:b w:val="0"/>
                <w:color w:val="1F2937"/>
                <w:sz w:val="16"/>
              </w:rPr>
              <w:t>Slow-moving inventory</w:t>
            </w:r>
          </w:p>
        </w:tc>
        <w:tc>
          <w:tcPr>
            <w:tcW w:type="dxa" w:w="5040"/>
            <w:shd w:fill="F3F6F9"/>
            <w:vAlign w:val="center"/>
            <w:tcMar>
              <w:top w:w="80" w:type="dxa"/>
              <w:start w:w="90" w:type="dxa"/>
              <w:bottom w:w="80" w:type="dxa"/>
              <w:end w:w="90" w:type="dxa"/>
            </w:tcMar>
          </w:tcPr>
          <w:p>
            <w:pPr>
              <w:spacing w:after="0"/>
            </w:pPr>
            <w:r/>
            <w:r>
              <w:rPr>
                <w:rFonts w:ascii="Aptos" w:hAnsi="Aptos"/>
                <w:b w:val="0"/>
                <w:color w:val="1F2937"/>
                <w:sz w:val="16"/>
              </w:rPr>
              <w:t>Percentiles, ranking, cohort logic, minimum sample sizes.</w:t>
            </w:r>
          </w:p>
        </w:tc>
      </w:tr>
      <w:tr>
        <w:trPr>
          <w:cantSplit/>
        </w:trPr>
        <w:tc>
          <w:tcPr>
            <w:tcW w:type="dxa" w:w="504"/>
            <w:vAlign w:val="center"/>
            <w:tcMar>
              <w:top w:w="80" w:type="dxa"/>
              <w:start w:w="90" w:type="dxa"/>
              <w:bottom w:w="80" w:type="dxa"/>
              <w:end w:w="90" w:type="dxa"/>
            </w:tcMar>
          </w:tcPr>
          <w:p>
            <w:pPr>
              <w:spacing w:after="0"/>
            </w:pPr>
            <w:r/>
            <w:r>
              <w:rPr>
                <w:rFonts w:ascii="Aptos" w:hAnsi="Aptos"/>
                <w:b w:val="0"/>
                <w:color w:val="1F2937"/>
                <w:sz w:val="16"/>
              </w:rPr>
              <w:t>5</w:t>
            </w:r>
          </w:p>
        </w:tc>
        <w:tc>
          <w:tcPr>
            <w:tcW w:type="dxa" w:w="4464"/>
            <w:vAlign w:val="center"/>
            <w:tcMar>
              <w:top w:w="80" w:type="dxa"/>
              <w:start w:w="90" w:type="dxa"/>
              <w:bottom w:w="80" w:type="dxa"/>
              <w:end w:w="90" w:type="dxa"/>
            </w:tcMar>
          </w:tcPr>
          <w:p>
            <w:pPr>
              <w:spacing w:after="0"/>
            </w:pPr>
            <w:r/>
            <w:r>
              <w:rPr>
                <w:rFonts w:ascii="Aptos" w:hAnsi="Aptos"/>
                <w:b w:val="0"/>
                <w:color w:val="1F2937"/>
                <w:sz w:val="16"/>
              </w:rPr>
              <w:t>Regional reference-value index</w:t>
            </w:r>
          </w:p>
        </w:tc>
        <w:tc>
          <w:tcPr>
            <w:tcW w:type="dxa" w:w="5040"/>
            <w:vAlign w:val="center"/>
            <w:tcMar>
              <w:top w:w="80" w:type="dxa"/>
              <w:start w:w="90" w:type="dxa"/>
              <w:bottom w:w="80" w:type="dxa"/>
              <w:end w:w="90" w:type="dxa"/>
            </w:tcMar>
          </w:tcPr>
          <w:p>
            <w:pPr>
              <w:spacing w:after="0"/>
            </w:pPr>
            <w:r/>
            <w:r>
              <w:rPr>
                <w:rFonts w:ascii="Aptos" w:hAnsi="Aptos"/>
                <w:b w:val="0"/>
                <w:color w:val="1F2937"/>
                <w:sz w:val="16"/>
              </w:rPr>
              <w:t>Mix-adjusted or cohort-normalized comparison using multi-stage CTEs.</w:t>
            </w:r>
          </w:p>
        </w:tc>
      </w:tr>
      <w:tr>
        <w:trPr>
          <w:cantSplit/>
        </w:trPr>
        <w:tc>
          <w:tcPr>
            <w:tcW w:type="dxa" w:w="504"/>
            <w:shd w:fill="F3F6F9"/>
            <w:vAlign w:val="center"/>
            <w:tcMar>
              <w:top w:w="80" w:type="dxa"/>
              <w:start w:w="90" w:type="dxa"/>
              <w:bottom w:w="80" w:type="dxa"/>
              <w:end w:w="90" w:type="dxa"/>
            </w:tcMar>
          </w:tcPr>
          <w:p>
            <w:pPr>
              <w:spacing w:after="0"/>
            </w:pPr>
            <w:r/>
            <w:r>
              <w:rPr>
                <w:rFonts w:ascii="Aptos" w:hAnsi="Aptos"/>
                <w:b w:val="0"/>
                <w:color w:val="1F2937"/>
                <w:sz w:val="16"/>
              </w:rPr>
              <w:t>6</w:t>
            </w:r>
          </w:p>
        </w:tc>
        <w:tc>
          <w:tcPr>
            <w:tcW w:type="dxa" w:w="4464"/>
            <w:shd w:fill="F3F6F9"/>
            <w:vAlign w:val="center"/>
            <w:tcMar>
              <w:top w:w="80" w:type="dxa"/>
              <w:start w:w="90" w:type="dxa"/>
              <w:bottom w:w="80" w:type="dxa"/>
              <w:end w:w="90" w:type="dxa"/>
            </w:tcMar>
          </w:tcPr>
          <w:p>
            <w:pPr>
              <w:spacing w:after="0"/>
            </w:pPr>
            <w:r/>
            <w:r>
              <w:rPr>
                <w:rFonts w:ascii="Aptos" w:hAnsi="Aptos"/>
                <w:b w:val="0"/>
                <w:color w:val="1F2937"/>
                <w:sz w:val="16"/>
              </w:rPr>
              <w:t>Reduced-price listing profile</w:t>
            </w:r>
          </w:p>
        </w:tc>
        <w:tc>
          <w:tcPr>
            <w:tcW w:type="dxa" w:w="5040"/>
            <w:shd w:fill="F3F6F9"/>
            <w:vAlign w:val="center"/>
            <w:tcMar>
              <w:top w:w="80" w:type="dxa"/>
              <w:start w:w="90" w:type="dxa"/>
              <w:bottom w:w="80" w:type="dxa"/>
              <w:end w:w="90" w:type="dxa"/>
            </w:tcMar>
          </w:tcPr>
          <w:p>
            <w:pPr>
              <w:spacing w:after="0"/>
            </w:pPr>
            <w:r/>
            <w:r>
              <w:rPr>
                <w:rFonts w:ascii="Aptos" w:hAnsi="Aptos"/>
                <w:b w:val="0"/>
                <w:color w:val="1F2937"/>
                <w:sz w:val="16"/>
              </w:rPr>
              <w:t>Conditional aggregation/FILTER across mileage, DOM, reference value, age.</w:t>
            </w:r>
          </w:p>
        </w:tc>
      </w:tr>
      <w:tr>
        <w:trPr>
          <w:cantSplit/>
        </w:trPr>
        <w:tc>
          <w:tcPr>
            <w:tcW w:type="dxa" w:w="504"/>
            <w:vAlign w:val="center"/>
            <w:tcMar>
              <w:top w:w="80" w:type="dxa"/>
              <w:start w:w="90" w:type="dxa"/>
              <w:bottom w:w="80" w:type="dxa"/>
              <w:end w:w="90" w:type="dxa"/>
            </w:tcMar>
          </w:tcPr>
          <w:p>
            <w:pPr>
              <w:spacing w:after="0"/>
            </w:pPr>
            <w:r/>
            <w:r>
              <w:rPr>
                <w:rFonts w:ascii="Aptos" w:hAnsi="Aptos"/>
                <w:b w:val="0"/>
                <w:color w:val="1F2937"/>
                <w:sz w:val="16"/>
              </w:rPr>
              <w:t>7</w:t>
            </w:r>
          </w:p>
        </w:tc>
        <w:tc>
          <w:tcPr>
            <w:tcW w:type="dxa" w:w="4464"/>
            <w:vAlign w:val="center"/>
            <w:tcMar>
              <w:top w:w="80" w:type="dxa"/>
              <w:start w:w="90" w:type="dxa"/>
              <w:bottom w:w="80" w:type="dxa"/>
              <w:end w:w="90" w:type="dxa"/>
            </w:tcMar>
          </w:tcPr>
          <w:p>
            <w:pPr>
              <w:spacing w:after="0"/>
            </w:pPr>
            <w:r/>
            <w:r>
              <w:rPr>
                <w:rFonts w:ascii="Aptos" w:hAnsi="Aptos"/>
                <w:b w:val="0"/>
                <w:color w:val="1F2937"/>
                <w:sz w:val="16"/>
              </w:rPr>
              <w:t>Seller concentration by state</w:t>
            </w:r>
          </w:p>
        </w:tc>
        <w:tc>
          <w:tcPr>
            <w:tcW w:type="dxa" w:w="5040"/>
            <w:vAlign w:val="center"/>
            <w:tcMar>
              <w:top w:w="80" w:type="dxa"/>
              <w:start w:w="90" w:type="dxa"/>
              <w:bottom w:w="80" w:type="dxa"/>
              <w:end w:w="90" w:type="dxa"/>
            </w:tcMar>
          </w:tcPr>
          <w:p>
            <w:pPr>
              <w:spacing w:after="0"/>
            </w:pPr>
            <w:r/>
            <w:r>
              <w:rPr>
                <w:rFonts w:ascii="Aptos" w:hAnsi="Aptos"/>
                <w:b w:val="0"/>
                <w:color w:val="1F2937"/>
                <w:sz w:val="16"/>
              </w:rPr>
              <w:t>Seller shares, RANK, cumulative/window sums, top-N concentration.</w:t>
            </w:r>
          </w:p>
        </w:tc>
      </w:tr>
      <w:tr>
        <w:trPr>
          <w:cantSplit/>
        </w:trPr>
        <w:tc>
          <w:tcPr>
            <w:tcW w:type="dxa" w:w="504"/>
            <w:shd w:fill="F3F6F9"/>
            <w:vAlign w:val="center"/>
            <w:tcMar>
              <w:top w:w="80" w:type="dxa"/>
              <w:start w:w="90" w:type="dxa"/>
              <w:bottom w:w="80" w:type="dxa"/>
              <w:end w:w="90" w:type="dxa"/>
            </w:tcMar>
          </w:tcPr>
          <w:p>
            <w:pPr>
              <w:spacing w:after="0"/>
            </w:pPr>
            <w:r/>
            <w:r>
              <w:rPr>
                <w:rFonts w:ascii="Aptos" w:hAnsi="Aptos"/>
                <w:b w:val="0"/>
                <w:color w:val="1F2937"/>
                <w:sz w:val="16"/>
              </w:rPr>
              <w:t>8</w:t>
            </w:r>
          </w:p>
        </w:tc>
        <w:tc>
          <w:tcPr>
            <w:tcW w:type="dxa" w:w="4464"/>
            <w:shd w:fill="F3F6F9"/>
            <w:vAlign w:val="center"/>
            <w:tcMar>
              <w:top w:w="80" w:type="dxa"/>
              <w:start w:w="90" w:type="dxa"/>
              <w:bottom w:w="80" w:type="dxa"/>
              <w:end w:w="90" w:type="dxa"/>
            </w:tcMar>
          </w:tcPr>
          <w:p>
            <w:pPr>
              <w:spacing w:after="0"/>
            </w:pPr>
            <w:r/>
            <w:r>
              <w:rPr>
                <w:rFonts w:ascii="Aptos" w:hAnsi="Aptos"/>
                <w:b w:val="0"/>
                <w:color w:val="1F2937"/>
                <w:sz w:val="16"/>
              </w:rPr>
              <w:t>First-seen cohort trends</w:t>
            </w:r>
          </w:p>
        </w:tc>
        <w:tc>
          <w:tcPr>
            <w:tcW w:type="dxa" w:w="5040"/>
            <w:shd w:fill="F3F6F9"/>
            <w:vAlign w:val="center"/>
            <w:tcMar>
              <w:top w:w="80" w:type="dxa"/>
              <w:start w:w="90" w:type="dxa"/>
              <w:bottom w:w="80" w:type="dxa"/>
              <w:end w:w="90" w:type="dxa"/>
            </w:tcMar>
          </w:tcPr>
          <w:p>
            <w:pPr>
              <w:spacing w:after="0"/>
            </w:pPr>
            <w:r/>
            <w:r>
              <w:rPr>
                <w:rFonts w:ascii="Aptos" w:hAnsi="Aptos"/>
                <w:b w:val="0"/>
                <w:color w:val="1F2937"/>
                <w:sz w:val="16"/>
              </w:rPr>
              <w:t>Date dimension, cohort grouping, conditional aggregation, rolling/windows.</w:t>
            </w:r>
          </w:p>
        </w:tc>
      </w:tr>
    </w:tbl>
    <w:p>
      <w:pPr>
        <w:spacing w:after="20"/>
      </w:pPr>
    </w:p>
    <w:p>
      <w:r>
        <w:t>Each SQL file must start with the business question, why it matters, techniques demonstrated, and data limitations. The agent should also run EXPLAIN (ANALYZE, BUFFERS) on one or two heavier queries and document what PostgreSQL actually chooses rather than inventing performance wins.</w:t>
      </w:r>
    </w:p>
    <w:p>
      <w:pPr>
        <w:pStyle w:val="Heading1"/>
      </w:pPr>
      <w:r>
        <w:t>11. Prefect Orchestration</w:t>
      </w:r>
    </w:p>
    <w:p>
      <w:pPr>
        <w:pStyle w:val="CodeBlock"/>
        <w:keepLines/>
        <w:shd w:fill="F3F6F9"/>
      </w:pPr>
      <w:r>
        <w:rPr>
          <w:rFonts w:ascii="Consolas" w:hAnsi="Consolas"/>
          <w:sz w:val="17"/>
        </w:rPr>
        <w:t>used_car_market_pipeline</w:t>
        <w:br/>
        <w:t xml:space="preserve">  1. discover_source_files</w:t>
        <w:br/>
        <w:t xml:space="preserve">  2. download_changed_files</w:t>
        <w:br/>
        <w:t xml:space="preserve">  3. validate_source_files</w:t>
        <w:br/>
        <w:t xml:space="preserve">  4. load_raw_records</w:t>
        <w:br/>
        <w:t xml:space="preserve">  5. run_dbt_build</w:t>
        <w:br/>
        <w:t xml:space="preserve">  6. run_pipeline_smoke_checks</w:t>
        <w:br/>
        <w:t xml:space="preserve">  7. record_run_summary</w:t>
      </w:r>
    </w:p>
    <w:p>
      <w:r>
        <w:t>Use retries only where they make sense. Network/download tasks may retry twice with a short delay. Data-contract failures, broken SQL, and failed dbt tests should fail visibly rather than loop uselessly. Failed file loads roll back and remain eligible for a corrected rerun.</w:t>
      </w:r>
    </w:p>
    <w:p>
      <w:pPr>
        <w:pStyle w:val="Heading1"/>
      </w:pPr>
      <w:r>
        <w:t>12. Testing and Acceptance</w:t>
      </w:r>
    </w:p>
    <w:p>
      <w:pPr>
        <w:pStyle w:val="Heading2"/>
      </w:pPr>
      <w:r>
        <w:t>Python tests</w:t>
      </w:r>
    </w:p>
    <w:p>
      <w:pPr>
        <w:pStyle w:val="ListBullet"/>
        <w:spacing w:after="40"/>
      </w:pPr>
      <w:r>
        <w:t>Required-column validation</w:t>
      </w:r>
    </w:p>
    <w:p>
      <w:pPr>
        <w:pStyle w:val="ListBullet"/>
        <w:spacing w:after="40"/>
      </w:pPr>
      <w:r>
        <w:t>Optional extra columns allowed</w:t>
      </w:r>
    </w:p>
    <w:p>
      <w:pPr>
        <w:pStyle w:val="ListBullet"/>
        <w:spacing w:after="40"/>
      </w:pPr>
      <w:r>
        <w:t>Missing required column failure</w:t>
      </w:r>
    </w:p>
    <w:p>
      <w:pPr>
        <w:pStyle w:val="ListBullet"/>
        <w:spacing w:after="40"/>
      </w:pPr>
      <w:r>
        <w:t>Record hashing determinism</w:t>
      </w:r>
    </w:p>
    <w:p>
      <w:pPr>
        <w:pStyle w:val="ListBullet"/>
        <w:spacing w:after="40"/>
      </w:pPr>
      <w:r>
        <w:t>Premium-placeholder normalization</w:t>
      </w:r>
    </w:p>
    <w:p>
      <w:pPr>
        <w:pStyle w:val="ListBullet"/>
        <w:spacing w:after="40"/>
      </w:pPr>
      <w:r>
        <w:t>Processed-file checkpoint logic</w:t>
      </w:r>
    </w:p>
    <w:p>
      <w:pPr>
        <w:pStyle w:val="ListBullet"/>
        <w:spacing w:after="40"/>
      </w:pPr>
      <w:r>
        <w:t>Identical-file idempotency</w:t>
      </w:r>
    </w:p>
    <w:p>
      <w:pPr>
        <w:pStyle w:val="ListBullet"/>
        <w:spacing w:after="40"/>
      </w:pPr>
      <w:r>
        <w:t>New-file processing</w:t>
      </w:r>
    </w:p>
    <w:p>
      <w:pPr>
        <w:pStyle w:val="ListBullet"/>
        <w:spacing w:after="40"/>
      </w:pPr>
      <w:r>
        <w:t>Changed-record upsert behavior</w:t>
      </w:r>
    </w:p>
    <w:p>
      <w:pPr>
        <w:pStyle w:val="ListBullet"/>
        <w:spacing w:after="40"/>
      </w:pPr>
      <w:r>
        <w:t>Failed load not marked processed</w:t>
      </w:r>
    </w:p>
    <w:p>
      <w:pPr>
        <w:pStyle w:val="Heading2"/>
      </w:pPr>
      <w:r>
        <w:t>dbt/data-quality tests</w:t>
      </w:r>
    </w:p>
    <w:p>
      <w:pPr>
        <w:pStyle w:val="ListBullet"/>
        <w:spacing w:after="40"/>
      </w:pPr>
      <w:r>
        <w:t>Unique + not-null fact listing_id</w:t>
      </w:r>
    </w:p>
    <w:p>
      <w:pPr>
        <w:pStyle w:val="ListBullet"/>
        <w:spacing w:after="40"/>
      </w:pPr>
      <w:r>
        <w:t>Unique + not-null surrogate dimension keys</w:t>
      </w:r>
    </w:p>
    <w:p>
      <w:pPr>
        <w:pStyle w:val="ListBullet"/>
        <w:spacing w:after="40"/>
      </w:pPr>
      <w:r>
        <w:t>Fact foreign-key relationship tests</w:t>
      </w:r>
    </w:p>
    <w:p>
      <w:pPr>
        <w:pStyle w:val="ListBullet"/>
        <w:spacing w:after="40"/>
      </w:pPr>
      <w:r>
        <w:t>Accepted listing types</w:t>
      </w:r>
    </w:p>
    <w:p>
      <w:pPr>
        <w:pStyle w:val="ListBullet"/>
        <w:spacing w:after="40"/>
      </w:pPr>
      <w:r>
        <w:t>No negative mileage or days_on_market</w:t>
      </w:r>
    </w:p>
    <w:p>
      <w:pPr>
        <w:pStyle w:val="ListBullet"/>
        <w:spacing w:after="40"/>
      </w:pPr>
      <w:r>
        <w:t>No impossible vehicle year</w:t>
      </w:r>
    </w:p>
    <w:p>
      <w:pPr>
        <w:pStyle w:val="ListBullet"/>
        <w:spacing w:after="40"/>
      </w:pPr>
      <w:r>
        <w:t>No low reference value greater than high reference value</w:t>
      </w:r>
    </w:p>
    <w:p>
      <w:pPr>
        <w:pStyle w:val="ListBullet"/>
        <w:spacing w:after="40"/>
      </w:pPr>
      <w:r>
        <w:t>No midpoint outside low/high range</w:t>
      </w:r>
    </w:p>
    <w:p>
      <w:pPr>
        <w:pStyle w:val="ListBullet"/>
        <w:spacing w:after="40"/>
      </w:pPr>
      <w:r>
        <w:t>No orphan fact keys</w:t>
      </w:r>
    </w:p>
    <w:p>
      <w:pPr>
        <w:pStyle w:val="ListBullet"/>
        <w:spacing w:after="40"/>
      </w:pPr>
      <w:r>
        <w:t>Fact-count reconciliation to distinct eligible deduplicated listings</w:t>
      </w:r>
    </w:p>
    <w:p>
      <w:pPr>
        <w:pStyle w:val="Heading2"/>
      </w:pPr>
      <w:r>
        <w:t>Mandatory end-to-end scenarios</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2376"/>
            <w:shd w:fill="17365D"/>
            <w:vAlign w:val="center"/>
            <w:tcMar>
              <w:top w:w="80" w:type="dxa"/>
              <w:start w:w="90" w:type="dxa"/>
              <w:bottom w:w="80" w:type="dxa"/>
              <w:end w:w="90" w:type="dxa"/>
            </w:tcMar>
          </w:tcPr>
          <w:p>
            <w:pPr>
              <w:spacing w:after="0"/>
            </w:pPr>
            <w:r/>
            <w:r>
              <w:rPr>
                <w:rFonts w:ascii="Aptos" w:hAnsi="Aptos"/>
                <w:b/>
                <w:color w:val="FFFFFF"/>
                <w:sz w:val="17"/>
              </w:rPr>
              <w:t>Scenario</w:t>
            </w:r>
          </w:p>
        </w:tc>
        <w:tc>
          <w:tcPr>
            <w:tcW w:type="dxa" w:w="7560"/>
            <w:shd w:fill="17365D"/>
            <w:vAlign w:val="center"/>
            <w:tcMar>
              <w:top w:w="80" w:type="dxa"/>
              <w:start w:w="90" w:type="dxa"/>
              <w:bottom w:w="80" w:type="dxa"/>
              <w:end w:w="90" w:type="dxa"/>
            </w:tcMar>
          </w:tcPr>
          <w:p>
            <w:pPr>
              <w:spacing w:after="0"/>
            </w:pPr>
            <w:r/>
            <w:r>
              <w:rPr>
                <w:rFonts w:ascii="Aptos" w:hAnsi="Aptos"/>
                <w:b/>
                <w:color w:val="FFFFFF"/>
                <w:sz w:val="17"/>
              </w:rPr>
              <w:t>Expected evidence</w:t>
            </w:r>
          </w:p>
        </w:tc>
      </w:tr>
      <w:tr>
        <w:trPr>
          <w:cantSplit/>
        </w:trPr>
        <w:tc>
          <w:tcPr>
            <w:tcW w:type="dxa" w:w="2376"/>
            <w:vAlign w:val="center"/>
            <w:tcMar>
              <w:top w:w="80" w:type="dxa"/>
              <w:start w:w="90" w:type="dxa"/>
              <w:bottom w:w="80" w:type="dxa"/>
              <w:end w:w="90" w:type="dxa"/>
            </w:tcMar>
          </w:tcPr>
          <w:p>
            <w:pPr>
              <w:spacing w:after="0"/>
            </w:pPr>
            <w:r/>
            <w:r>
              <w:rPr>
                <w:rFonts w:ascii="Aptos" w:hAnsi="Aptos"/>
                <w:b w:val="0"/>
                <w:color w:val="1F2937"/>
                <w:sz w:val="16"/>
              </w:rPr>
              <w:t>Clean bootstrap</w:t>
            </w:r>
          </w:p>
        </w:tc>
        <w:tc>
          <w:tcPr>
            <w:tcW w:type="dxa" w:w="7560"/>
            <w:vAlign w:val="center"/>
            <w:tcMar>
              <w:top w:w="80" w:type="dxa"/>
              <w:start w:w="90" w:type="dxa"/>
              <w:bottom w:w="80" w:type="dxa"/>
              <w:end w:w="90" w:type="dxa"/>
            </w:tcMar>
          </w:tcPr>
          <w:p>
            <w:pPr>
              <w:spacing w:after="0"/>
            </w:pPr>
            <w:r/>
            <w:r>
              <w:rPr>
                <w:rFonts w:ascii="Aptos" w:hAnsi="Aptos"/>
                <w:b w:val="0"/>
                <w:color w:val="1F2937"/>
                <w:sz w:val="16"/>
              </w:rPr>
              <w:t>Fresh DB → full pipeline succeeds; warehouse populated; dbt tests pass.</w:t>
            </w:r>
          </w:p>
        </w:tc>
      </w:tr>
      <w:tr>
        <w:trPr>
          <w:cantSplit/>
        </w:trPr>
        <w:tc>
          <w:tcPr>
            <w:tcW w:type="dxa" w:w="2376"/>
            <w:shd w:fill="F3F6F9"/>
            <w:vAlign w:val="center"/>
            <w:tcMar>
              <w:top w:w="80" w:type="dxa"/>
              <w:start w:w="90" w:type="dxa"/>
              <w:bottom w:w="80" w:type="dxa"/>
              <w:end w:w="90" w:type="dxa"/>
            </w:tcMar>
          </w:tcPr>
          <w:p>
            <w:pPr>
              <w:spacing w:after="0"/>
            </w:pPr>
            <w:r/>
            <w:r>
              <w:rPr>
                <w:rFonts w:ascii="Aptos" w:hAnsi="Aptos"/>
                <w:b w:val="0"/>
                <w:color w:val="1F2937"/>
                <w:sz w:val="16"/>
              </w:rPr>
              <w:t>Idempotent rerun</w:t>
            </w:r>
          </w:p>
        </w:tc>
        <w:tc>
          <w:tcPr>
            <w:tcW w:type="dxa" w:w="7560"/>
            <w:shd w:fill="F3F6F9"/>
            <w:vAlign w:val="center"/>
            <w:tcMar>
              <w:top w:w="80" w:type="dxa"/>
              <w:start w:w="90" w:type="dxa"/>
              <w:bottom w:w="80" w:type="dxa"/>
              <w:end w:w="90" w:type="dxa"/>
            </w:tcMar>
          </w:tcPr>
          <w:p>
            <w:pPr>
              <w:spacing w:after="0"/>
            </w:pPr>
            <w:r/>
            <w:r>
              <w:rPr>
                <w:rFonts w:ascii="Aptos" w:hAnsi="Aptos"/>
                <w:b w:val="0"/>
                <w:color w:val="1F2937"/>
                <w:sz w:val="16"/>
              </w:rPr>
              <w:t>No new source → zero duplicates; stable row counts/keys; green tests.</w:t>
            </w:r>
          </w:p>
        </w:tc>
      </w:tr>
      <w:tr>
        <w:trPr>
          <w:cantSplit/>
        </w:trPr>
        <w:tc>
          <w:tcPr>
            <w:tcW w:type="dxa" w:w="2376"/>
            <w:vAlign w:val="center"/>
            <w:tcMar>
              <w:top w:w="80" w:type="dxa"/>
              <w:start w:w="90" w:type="dxa"/>
              <w:bottom w:w="80" w:type="dxa"/>
              <w:end w:w="90" w:type="dxa"/>
            </w:tcMar>
          </w:tcPr>
          <w:p>
            <w:pPr>
              <w:spacing w:after="0"/>
            </w:pPr>
            <w:r/>
            <w:r>
              <w:rPr>
                <w:rFonts w:ascii="Aptos" w:hAnsi="Aptos"/>
                <w:b w:val="0"/>
                <w:color w:val="1F2937"/>
                <w:sz w:val="16"/>
              </w:rPr>
              <w:t>Incremental run</w:t>
            </w:r>
          </w:p>
        </w:tc>
        <w:tc>
          <w:tcPr>
            <w:tcW w:type="dxa" w:w="7560"/>
            <w:vAlign w:val="center"/>
            <w:tcMar>
              <w:top w:w="80" w:type="dxa"/>
              <w:start w:w="90" w:type="dxa"/>
              <w:bottom w:w="80" w:type="dxa"/>
              <w:end w:w="90" w:type="dxa"/>
            </w:tcMar>
          </w:tcPr>
          <w:p>
            <w:pPr>
              <w:spacing w:after="0"/>
            </w:pPr>
            <w:r/>
            <w:r>
              <w:rPr>
                <w:rFonts w:ascii="Aptos" w:hAnsi="Aptos"/>
                <w:b w:val="0"/>
                <w:color w:val="1F2937"/>
                <w:sz w:val="16"/>
              </w:rPr>
              <w:t>Additional legitimate partitions → only new/changed files processed; warehouse grows appropriately.</w:t>
            </w:r>
          </w:p>
        </w:tc>
      </w:tr>
      <w:tr>
        <w:trPr>
          <w:cantSplit/>
        </w:trPr>
        <w:tc>
          <w:tcPr>
            <w:tcW w:type="dxa" w:w="2376"/>
            <w:shd w:fill="F3F6F9"/>
            <w:vAlign w:val="center"/>
            <w:tcMar>
              <w:top w:w="80" w:type="dxa"/>
              <w:start w:w="90" w:type="dxa"/>
              <w:bottom w:w="80" w:type="dxa"/>
              <w:end w:w="90" w:type="dxa"/>
            </w:tcMar>
          </w:tcPr>
          <w:p>
            <w:pPr>
              <w:spacing w:after="0"/>
            </w:pPr>
            <w:r/>
            <w:r>
              <w:rPr>
                <w:rFonts w:ascii="Aptos" w:hAnsi="Aptos"/>
                <w:b w:val="0"/>
                <w:color w:val="1F2937"/>
                <w:sz w:val="16"/>
              </w:rPr>
              <w:t>Invalid schema</w:t>
            </w:r>
          </w:p>
        </w:tc>
        <w:tc>
          <w:tcPr>
            <w:tcW w:type="dxa" w:w="7560"/>
            <w:shd w:fill="F3F6F9"/>
            <w:vAlign w:val="center"/>
            <w:tcMar>
              <w:top w:w="80" w:type="dxa"/>
              <w:start w:w="90" w:type="dxa"/>
              <w:bottom w:w="80" w:type="dxa"/>
              <w:end w:w="90" w:type="dxa"/>
            </w:tcMar>
          </w:tcPr>
          <w:p>
            <w:pPr>
              <w:spacing w:after="0"/>
            </w:pPr>
            <w:r/>
            <w:r>
              <w:rPr>
                <w:rFonts w:ascii="Aptos" w:hAnsi="Aptos"/>
                <w:b w:val="0"/>
                <w:color w:val="1F2937"/>
                <w:sz w:val="16"/>
              </w:rPr>
              <w:t>Synthetic missing-column file → validation fails before raw commit; file not marked success.</w:t>
            </w:r>
          </w:p>
        </w:tc>
      </w:tr>
      <w:tr>
        <w:trPr>
          <w:cantSplit/>
        </w:trPr>
        <w:tc>
          <w:tcPr>
            <w:tcW w:type="dxa" w:w="2376"/>
            <w:vAlign w:val="center"/>
            <w:tcMar>
              <w:top w:w="80" w:type="dxa"/>
              <w:start w:w="90" w:type="dxa"/>
              <w:bottom w:w="80" w:type="dxa"/>
              <w:end w:w="90" w:type="dxa"/>
            </w:tcMar>
          </w:tcPr>
          <w:p>
            <w:pPr>
              <w:spacing w:after="0"/>
            </w:pPr>
            <w:r/>
            <w:r>
              <w:rPr>
                <w:rFonts w:ascii="Aptos" w:hAnsi="Aptos"/>
                <w:b w:val="0"/>
                <w:color w:val="1F2937"/>
                <w:sz w:val="16"/>
              </w:rPr>
              <w:t>Controlled dbt failure</w:t>
            </w:r>
          </w:p>
        </w:tc>
        <w:tc>
          <w:tcPr>
            <w:tcW w:type="dxa" w:w="7560"/>
            <w:vAlign w:val="center"/>
            <w:tcMar>
              <w:top w:w="80" w:type="dxa"/>
              <w:start w:w="90" w:type="dxa"/>
              <w:bottom w:w="80" w:type="dxa"/>
              <w:end w:w="90" w:type="dxa"/>
            </w:tcMar>
          </w:tcPr>
          <w:p>
            <w:pPr>
              <w:spacing w:after="0"/>
            </w:pPr>
            <w:r/>
            <w:r>
              <w:rPr>
                <w:rFonts w:ascii="Aptos" w:hAnsi="Aptos"/>
                <w:b w:val="0"/>
                <w:color w:val="1F2937"/>
                <w:sz w:val="16"/>
              </w:rPr>
              <w:t>Pipeline reports failure; after correction the rerun succeeds.</w:t>
            </w:r>
          </w:p>
        </w:tc>
      </w:tr>
      <w:tr>
        <w:trPr>
          <w:cantSplit/>
        </w:trPr>
        <w:tc>
          <w:tcPr>
            <w:tcW w:type="dxa" w:w="2376"/>
            <w:shd w:fill="F3F6F9"/>
            <w:vAlign w:val="center"/>
            <w:tcMar>
              <w:top w:w="80" w:type="dxa"/>
              <w:start w:w="90" w:type="dxa"/>
              <w:bottom w:w="80" w:type="dxa"/>
              <w:end w:w="90" w:type="dxa"/>
            </w:tcMar>
          </w:tcPr>
          <w:p>
            <w:pPr>
              <w:spacing w:after="0"/>
            </w:pPr>
            <w:r/>
            <w:r>
              <w:rPr>
                <w:rFonts w:ascii="Aptos" w:hAnsi="Aptos"/>
                <w:b w:val="0"/>
                <w:color w:val="1F2937"/>
                <w:sz w:val="16"/>
              </w:rPr>
              <w:t>Power BI refresh</w:t>
            </w:r>
          </w:p>
        </w:tc>
        <w:tc>
          <w:tcPr>
            <w:tcW w:type="dxa" w:w="7560"/>
            <w:shd w:fill="F3F6F9"/>
            <w:vAlign w:val="center"/>
            <w:tcMar>
              <w:top w:w="80" w:type="dxa"/>
              <w:start w:w="90" w:type="dxa"/>
              <w:bottom w:w="80" w:type="dxa"/>
              <w:end w:w="90" w:type="dxa"/>
            </w:tcMar>
          </w:tcPr>
          <w:p>
            <w:pPr>
              <w:spacing w:after="0"/>
            </w:pPr>
            <w:r/>
            <w:r>
              <w:rPr>
                <w:rFonts w:ascii="Aptos" w:hAnsi="Aptos"/>
                <w:b w:val="0"/>
                <w:color w:val="1F2937"/>
                <w:sz w:val="16"/>
              </w:rPr>
              <w:t>Report refreshes successfully from final warehouse only.</w:t>
            </w:r>
          </w:p>
        </w:tc>
      </w:tr>
    </w:tbl>
    <w:p>
      <w:pPr>
        <w:spacing w:after="20"/>
      </w:pPr>
    </w:p>
    <w:p>
      <w:pPr>
        <w:pStyle w:val="Heading1"/>
      </w:pPr>
      <w:r>
        <w:t>13. Power BI Deliverable</w:t>
      </w:r>
    </w:p>
    <w:p>
      <w:r>
        <w:t>Power BI is the one likely GUI boundary. The engineering agent should prepare everything it can: final warehouse, data dictionary, relationship specification, measure formulas, visual specification, and (if practical) scripts/views that simplify report construction. If the agent cannot reliably manipulate Power BI Desktop, the user completes the final report using these prepared assets.</w:t>
      </w:r>
    </w:p>
    <w:p>
      <w:pPr>
        <w:pStyle w:val="Heading2"/>
      </w:pPr>
      <w:r>
        <w:t>Semantic model</w:t>
      </w:r>
    </w:p>
    <w:p>
      <w:pPr>
        <w:pStyle w:val="CodeBlock"/>
        <w:keepLines/>
        <w:shd w:fill="F3F6F9"/>
      </w:pPr>
      <w:r>
        <w:rPr>
          <w:rFonts w:ascii="Consolas" w:hAnsi="Consolas"/>
          <w:sz w:val="17"/>
        </w:rPr>
        <w:t>dim_vehicle    1 ── * fct_listings</w:t>
        <w:br/>
        <w:t>dim_seller     1 ── * fct_listings</w:t>
        <w:br/>
        <w:t>dim_geography  1 ── * fct_listings</w:t>
        <w:br/>
        <w:t>dim_date       1 ── * fct_listings</w:t>
      </w:r>
    </w:p>
    <w:p>
      <w:pPr>
        <w:pStyle w:val="ListBullet"/>
        <w:spacing w:after="40"/>
      </w:pPr>
      <w:r>
        <w:t>Use Import mode unless a local constraint dictates otherwise.</w:t>
      </w:r>
    </w:p>
    <w:p>
      <w:pPr>
        <w:pStyle w:val="ListBullet"/>
        <w:spacing w:after="40"/>
      </w:pPr>
      <w:r>
        <w:t>Single-direction filtering from dimensions to fact.</w:t>
      </w:r>
    </w:p>
    <w:p>
      <w:pPr>
        <w:pStyle w:val="ListBullet"/>
        <w:spacing w:after="40"/>
      </w:pPr>
      <w:r>
        <w:t>Do not import raw/staging tables into the report.</w:t>
      </w:r>
    </w:p>
    <w:p>
      <w:pPr>
        <w:pStyle w:val="ListBullet"/>
        <w:spacing w:after="40"/>
      </w:pPr>
      <w:r>
        <w:t>Primary date relationship uses first_seen_date_key.</w:t>
      </w:r>
    </w:p>
    <w:p>
      <w:pPr>
        <w:pStyle w:val="Heading2"/>
      </w:pPr>
      <w:r>
        <w:t>Core measures</w:t>
      </w:r>
    </w:p>
    <w:p>
      <w:pPr>
        <w:pStyle w:val="ListBullet"/>
        <w:spacing w:after="40"/>
      </w:pPr>
      <w:r>
        <w:t>Listing Count</w:t>
      </w:r>
    </w:p>
    <w:p>
      <w:pPr>
        <w:pStyle w:val="ListBullet"/>
        <w:spacing w:after="40"/>
      </w:pPr>
      <w:r>
        <w:t>Median Reference Value</w:t>
      </w:r>
    </w:p>
    <w:p>
      <w:pPr>
        <w:pStyle w:val="ListBullet"/>
        <w:spacing w:after="40"/>
      </w:pPr>
      <w:r>
        <w:t>Median Mileage</w:t>
      </w:r>
    </w:p>
    <w:p>
      <w:pPr>
        <w:pStyle w:val="ListBullet"/>
        <w:spacing w:after="40"/>
      </w:pPr>
      <w:r>
        <w:t>Median Days on Market</w:t>
      </w:r>
    </w:p>
    <w:p>
      <w:pPr>
        <w:pStyle w:val="ListBullet"/>
        <w:spacing w:after="40"/>
      </w:pPr>
      <w:r>
        <w:t>Reduced Price Rate</w:t>
      </w:r>
    </w:p>
    <w:p>
      <w:pPr>
        <w:pStyle w:val="ListBullet"/>
        <w:spacing w:after="40"/>
      </w:pPr>
      <w:r>
        <w:t>Hot Listing Rate</w:t>
      </w:r>
    </w:p>
    <w:p>
      <w:pPr>
        <w:pStyle w:val="ListBullet"/>
        <w:spacing w:after="40"/>
      </w:pPr>
      <w:r>
        <w:t>Certified Inventory Share</w:t>
      </w:r>
    </w:p>
    <w:p>
      <w:pPr>
        <w:pStyle w:val="ListBullet"/>
        <w:spacing w:after="40"/>
      </w:pPr>
      <w:r>
        <w:t>Median Reference-Value Spread</w:t>
      </w:r>
    </w:p>
    <w:p>
      <w:pPr>
        <w:pStyle w:val="Callout"/>
        <w:shd w:fill="FCE4D6"/>
      </w:pPr>
      <w:r>
        <w:rPr>
          <w:b/>
        </w:rPr>
        <w:t>Never label reference_value_midpoint as “Average Listing Price” or equivalent. It is a derived midpoint of a source-provided KBB reference range.</w:t>
      </w:r>
    </w:p>
    <w:p>
      <w:pPr>
        <w:pStyle w:val="Heading2"/>
      </w:pPr>
      <w:r>
        <w:t>Required pages</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2304"/>
            <w:shd w:fill="17365D"/>
            <w:vAlign w:val="center"/>
            <w:tcMar>
              <w:top w:w="80" w:type="dxa"/>
              <w:start w:w="90" w:type="dxa"/>
              <w:bottom w:w="80" w:type="dxa"/>
              <w:end w:w="90" w:type="dxa"/>
            </w:tcMar>
          </w:tcPr>
          <w:p>
            <w:pPr>
              <w:spacing w:after="0"/>
            </w:pPr>
            <w:r/>
            <w:r>
              <w:rPr>
                <w:rFonts w:ascii="Aptos" w:hAnsi="Aptos"/>
                <w:b/>
                <w:color w:val="FFFFFF"/>
                <w:sz w:val="17"/>
              </w:rPr>
              <w:t>Page</w:t>
            </w:r>
          </w:p>
        </w:tc>
        <w:tc>
          <w:tcPr>
            <w:tcW w:type="dxa" w:w="3240"/>
            <w:shd w:fill="17365D"/>
            <w:vAlign w:val="center"/>
            <w:tcMar>
              <w:top w:w="80" w:type="dxa"/>
              <w:start w:w="90" w:type="dxa"/>
              <w:bottom w:w="80" w:type="dxa"/>
              <w:end w:w="90" w:type="dxa"/>
            </w:tcMar>
          </w:tcPr>
          <w:p>
            <w:pPr>
              <w:spacing w:after="0"/>
            </w:pPr>
            <w:r/>
            <w:r>
              <w:rPr>
                <w:rFonts w:ascii="Aptos" w:hAnsi="Aptos"/>
                <w:b/>
                <w:color w:val="FFFFFF"/>
                <w:sz w:val="17"/>
              </w:rPr>
              <w:t>Purpose</w:t>
            </w:r>
          </w:p>
        </w:tc>
        <w:tc>
          <w:tcPr>
            <w:tcW w:type="dxa" w:w="4464"/>
            <w:shd w:fill="17365D"/>
            <w:vAlign w:val="center"/>
            <w:tcMar>
              <w:top w:w="80" w:type="dxa"/>
              <w:start w:w="90" w:type="dxa"/>
              <w:bottom w:w="80" w:type="dxa"/>
              <w:end w:w="90" w:type="dxa"/>
            </w:tcMar>
          </w:tcPr>
          <w:p>
            <w:pPr>
              <w:spacing w:after="0"/>
            </w:pPr>
            <w:r/>
            <w:r>
              <w:rPr>
                <w:rFonts w:ascii="Aptos" w:hAnsi="Aptos"/>
                <w:b/>
                <w:color w:val="FFFFFF"/>
                <w:sz w:val="17"/>
              </w:rPr>
              <w:t>Core visuals</w:t>
            </w:r>
          </w:p>
        </w:tc>
      </w:tr>
      <w:tr>
        <w:trPr>
          <w:cantSplit/>
        </w:trPr>
        <w:tc>
          <w:tcPr>
            <w:tcW w:type="dxa" w:w="2304"/>
            <w:vAlign w:val="center"/>
            <w:tcMar>
              <w:top w:w="80" w:type="dxa"/>
              <w:start w:w="90" w:type="dxa"/>
              <w:bottom w:w="80" w:type="dxa"/>
              <w:end w:w="90" w:type="dxa"/>
            </w:tcMar>
          </w:tcPr>
          <w:p>
            <w:pPr>
              <w:spacing w:after="0"/>
            </w:pPr>
            <w:r/>
            <w:r>
              <w:rPr>
                <w:rFonts w:ascii="Aptos" w:hAnsi="Aptos"/>
                <w:b w:val="0"/>
                <w:color w:val="1F2937"/>
                <w:sz w:val="16"/>
              </w:rPr>
              <w:t>1. Market Overview</w:t>
            </w:r>
          </w:p>
        </w:tc>
        <w:tc>
          <w:tcPr>
            <w:tcW w:type="dxa" w:w="3240"/>
            <w:vAlign w:val="center"/>
            <w:tcMar>
              <w:top w:w="80" w:type="dxa"/>
              <w:start w:w="90" w:type="dxa"/>
              <w:bottom w:w="80" w:type="dxa"/>
              <w:end w:w="90" w:type="dxa"/>
            </w:tcMar>
          </w:tcPr>
          <w:p>
            <w:pPr>
              <w:spacing w:after="0"/>
            </w:pPr>
            <w:r/>
            <w:r>
              <w:rPr>
                <w:rFonts w:ascii="Aptos" w:hAnsi="Aptos"/>
                <w:b w:val="0"/>
                <w:color w:val="1F2937"/>
                <w:sz w:val="16"/>
              </w:rPr>
              <w:t>Executive view of sampled used-car inventory.</w:t>
            </w:r>
          </w:p>
        </w:tc>
        <w:tc>
          <w:tcPr>
            <w:tcW w:type="dxa" w:w="4464"/>
            <w:vAlign w:val="center"/>
            <w:tcMar>
              <w:top w:w="80" w:type="dxa"/>
              <w:start w:w="90" w:type="dxa"/>
              <w:bottom w:w="80" w:type="dxa"/>
              <w:end w:w="90" w:type="dxa"/>
            </w:tcMar>
          </w:tcPr>
          <w:p>
            <w:pPr>
              <w:spacing w:after="0"/>
            </w:pPr>
            <w:r/>
            <w:r>
              <w:rPr>
                <w:rFonts w:ascii="Aptos" w:hAnsi="Aptos"/>
                <w:b w:val="0"/>
                <w:color w:val="1F2937"/>
                <w:sz w:val="16"/>
              </w:rPr>
              <w:t>KPIs; inventory by state; top makes; body-style mix; reference-value distribution.</w:t>
            </w:r>
          </w:p>
        </w:tc>
      </w:tr>
      <w:tr>
        <w:trPr>
          <w:cantSplit/>
        </w:trPr>
        <w:tc>
          <w:tcPr>
            <w:tcW w:type="dxa" w:w="2304"/>
            <w:shd w:fill="F3F6F9"/>
            <w:vAlign w:val="center"/>
            <w:tcMar>
              <w:top w:w="80" w:type="dxa"/>
              <w:start w:w="90" w:type="dxa"/>
              <w:bottom w:w="80" w:type="dxa"/>
              <w:end w:w="90" w:type="dxa"/>
            </w:tcMar>
          </w:tcPr>
          <w:p>
            <w:pPr>
              <w:spacing w:after="0"/>
            </w:pPr>
            <w:r/>
            <w:r>
              <w:rPr>
                <w:rFonts w:ascii="Aptos" w:hAnsi="Aptos"/>
                <w:b w:val="0"/>
                <w:color w:val="1F2937"/>
                <w:sz w:val="16"/>
              </w:rPr>
              <w:t>2. Vehicle Value &amp; Mileage</w:t>
            </w:r>
          </w:p>
        </w:tc>
        <w:tc>
          <w:tcPr>
            <w:tcW w:type="dxa" w:w="3240"/>
            <w:shd w:fill="F3F6F9"/>
            <w:vAlign w:val="center"/>
            <w:tcMar>
              <w:top w:w="80" w:type="dxa"/>
              <w:start w:w="90" w:type="dxa"/>
              <w:bottom w:w="80" w:type="dxa"/>
              <w:end w:w="90" w:type="dxa"/>
            </w:tcMar>
          </w:tcPr>
          <w:p>
            <w:pPr>
              <w:spacing w:after="0"/>
            </w:pPr>
            <w:r/>
            <w:r>
              <w:rPr>
                <w:rFonts w:ascii="Aptos" w:hAnsi="Aptos"/>
                <w:b w:val="0"/>
                <w:color w:val="1F2937"/>
                <w:sz w:val="16"/>
              </w:rPr>
              <w:t>Segment and configuration differences.</w:t>
            </w:r>
          </w:p>
        </w:tc>
        <w:tc>
          <w:tcPr>
            <w:tcW w:type="dxa" w:w="4464"/>
            <w:shd w:fill="F3F6F9"/>
            <w:vAlign w:val="center"/>
            <w:tcMar>
              <w:top w:w="80" w:type="dxa"/>
              <w:start w:w="90" w:type="dxa"/>
              <w:bottom w:w="80" w:type="dxa"/>
              <w:end w:w="90" w:type="dxa"/>
            </w:tcMar>
          </w:tcPr>
          <w:p>
            <w:pPr>
              <w:spacing w:after="0"/>
            </w:pPr>
            <w:r/>
            <w:r>
              <w:rPr>
                <w:rFonts w:ascii="Aptos" w:hAnsi="Aptos"/>
                <w:b w:val="0"/>
                <w:color w:val="1F2937"/>
                <w:sz w:val="16"/>
              </w:rPr>
              <w:t>Mileage vs reference-value scatter; make/model/trim matrix; trim premium chart; DOM by segment.</w:t>
            </w:r>
          </w:p>
        </w:tc>
      </w:tr>
      <w:tr>
        <w:trPr>
          <w:cantSplit/>
        </w:trPr>
        <w:tc>
          <w:tcPr>
            <w:tcW w:type="dxa" w:w="2304"/>
            <w:vAlign w:val="center"/>
            <w:tcMar>
              <w:top w:w="80" w:type="dxa"/>
              <w:start w:w="90" w:type="dxa"/>
              <w:bottom w:w="80" w:type="dxa"/>
              <w:end w:w="90" w:type="dxa"/>
            </w:tcMar>
          </w:tcPr>
          <w:p>
            <w:pPr>
              <w:spacing w:after="0"/>
            </w:pPr>
            <w:r/>
            <w:r>
              <w:rPr>
                <w:rFonts w:ascii="Aptos" w:hAnsi="Aptos"/>
                <w:b w:val="0"/>
                <w:color w:val="1F2937"/>
                <w:sz w:val="16"/>
              </w:rPr>
              <w:t>3. Market Dynamics &amp; Sellers</w:t>
            </w:r>
          </w:p>
        </w:tc>
        <w:tc>
          <w:tcPr>
            <w:tcW w:type="dxa" w:w="3240"/>
            <w:vAlign w:val="center"/>
            <w:tcMar>
              <w:top w:w="80" w:type="dxa"/>
              <w:start w:w="90" w:type="dxa"/>
              <w:bottom w:w="80" w:type="dxa"/>
              <w:end w:w="90" w:type="dxa"/>
            </w:tcMar>
          </w:tcPr>
          <w:p>
            <w:pPr>
              <w:spacing w:after="0"/>
            </w:pPr>
            <w:r/>
            <w:r>
              <w:rPr>
                <w:rFonts w:ascii="Aptos" w:hAnsi="Aptos"/>
                <w:b w:val="0"/>
                <w:color w:val="1F2937"/>
                <w:sz w:val="16"/>
              </w:rPr>
              <w:t>Listing behavior and market structure.</w:t>
            </w:r>
          </w:p>
        </w:tc>
        <w:tc>
          <w:tcPr>
            <w:tcW w:type="dxa" w:w="4464"/>
            <w:vAlign w:val="center"/>
            <w:tcMar>
              <w:top w:w="80" w:type="dxa"/>
              <w:start w:w="90" w:type="dxa"/>
              <w:bottom w:w="80" w:type="dxa"/>
              <w:end w:w="90" w:type="dxa"/>
            </w:tcMar>
          </w:tcPr>
          <w:p>
            <w:pPr>
              <w:spacing w:after="0"/>
            </w:pPr>
            <w:r/>
            <w:r>
              <w:rPr>
                <w:rFonts w:ascii="Aptos" w:hAnsi="Aptos"/>
                <w:b w:val="0"/>
                <w:color w:val="1F2937"/>
                <w:sz w:val="16"/>
              </w:rPr>
              <w:t>First-seen cohort trend; reduced/non-reduced comparison; seller concentration; slow-moving table.</w:t>
            </w:r>
          </w:p>
        </w:tc>
      </w:tr>
    </w:tbl>
    <w:p>
      <w:pPr>
        <w:spacing w:after="20"/>
      </w:pPr>
    </w:p>
    <w:p>
      <w:pPr>
        <w:pStyle w:val="Heading1"/>
      </w:pPr>
      <w:r>
        <w:t>14. Repository and Documentation</w:t>
      </w:r>
    </w:p>
    <w:p>
      <w:pPr>
        <w:pStyle w:val="CodeBlock"/>
        <w:keepLines/>
        <w:shd w:fill="F3F6F9"/>
      </w:pPr>
      <w:r>
        <w:rPr>
          <w:rFonts w:ascii="Consolas" w:hAnsi="Consolas"/>
          <w:sz w:val="17"/>
        </w:rPr>
        <w:t>used-car-market-intelligence/</w:t>
        <w:br/>
        <w:t>├── README.md</w:t>
        <w:br/>
        <w:t>├── .gitignore</w:t>
        <w:br/>
        <w:t>├── .env.example</w:t>
        <w:br/>
        <w:t>├── docker-compose.yml</w:t>
        <w:br/>
        <w:t>├── requirements.txt or pyproject.toml</w:t>
        <w:br/>
        <w:t>├── src/</w:t>
        <w:br/>
        <w:t>│   ├── db/</w:t>
        <w:br/>
        <w:t>│   ├── ingestion/</w:t>
        <w:br/>
        <w:t>│   └── orchestration/</w:t>
        <w:br/>
        <w:t>├── dbt/</w:t>
        <w:br/>
        <w:t>│   ├── models/</w:t>
        <w:br/>
        <w:t>│   ├── seeds/</w:t>
        <w:br/>
        <w:t>│   └── tests/</w:t>
        <w:br/>
        <w:t>├── sql/</w:t>
        <w:br/>
        <w:t>│   └── 01_... through 08_...</w:t>
        <w:br/>
        <w:t>├── tests/</w:t>
        <w:br/>
        <w:t>│   ├── unit/</w:t>
        <w:br/>
        <w:t>│   ├── integration/</w:t>
        <w:br/>
        <w:t>│   └── fixtures/</w:t>
        <w:br/>
        <w:t>├── powerbi/</w:t>
        <w:br/>
        <w:t>│   └── Used_Car_Market_Intelligence.pbix</w:t>
        <w:br/>
        <w:t>└── docs/</w:t>
        <w:br/>
        <w:t xml:space="preserve">    ├── source_preflight.md</w:t>
        <w:br/>
        <w:t xml:space="preserve">    ├── architecture.md</w:t>
        <w:br/>
        <w:t xml:space="preserve">    ├── data_dictionary.md</w:t>
        <w:br/>
        <w:t xml:space="preserve">    ├── sql_analysis.md</w:t>
        <w:br/>
        <w:t xml:space="preserve">    ├── acceptance_results.md</w:t>
        <w:br/>
        <w:t xml:space="preserve">    └── images/</w:t>
      </w:r>
    </w:p>
    <w:p>
      <w:pPr>
        <w:pStyle w:val="Heading2"/>
      </w:pPr>
      <w:r>
        <w:t>README must include</w:t>
      </w:r>
    </w:p>
    <w:p>
      <w:pPr>
        <w:pStyle w:val="ListBullet"/>
        <w:spacing w:after="40"/>
      </w:pPr>
      <w:r>
        <w:t>Project objective</w:t>
      </w:r>
    </w:p>
    <w:p>
      <w:pPr>
        <w:pStyle w:val="ListBullet"/>
        <w:spacing w:after="40"/>
      </w:pPr>
      <w:r>
        <w:t>Architecture diagram</w:t>
      </w:r>
    </w:p>
    <w:p>
      <w:pPr>
        <w:pStyle w:val="ListBullet"/>
        <w:spacing w:after="40"/>
      </w:pPr>
      <w:r>
        <w:t>Data source and licensing/attribution</w:t>
      </w:r>
    </w:p>
    <w:p>
      <w:pPr>
        <w:pStyle w:val="ListBullet"/>
        <w:spacing w:after="40"/>
      </w:pPr>
      <w:r>
        <w:t>Explicit salePrice/VIN limitation</w:t>
      </w:r>
    </w:p>
    <w:p>
      <w:pPr>
        <w:pStyle w:val="ListBullet"/>
        <w:spacing w:after="40"/>
      </w:pPr>
      <w:r>
        <w:t>Stack</w:t>
      </w:r>
    </w:p>
    <w:p>
      <w:pPr>
        <w:pStyle w:val="ListBullet"/>
        <w:spacing w:after="40"/>
      </w:pPr>
      <w:r>
        <w:t>Warehouse model/grain</w:t>
      </w:r>
    </w:p>
    <w:p>
      <w:pPr>
        <w:pStyle w:val="ListBullet"/>
        <w:spacing w:after="40"/>
      </w:pPr>
      <w:r>
        <w:t>Incremental strategy and second-run behavior</w:t>
      </w:r>
    </w:p>
    <w:p>
      <w:pPr>
        <w:pStyle w:val="ListBullet"/>
        <w:spacing w:after="40"/>
      </w:pPr>
      <w:r>
        <w:t>Data-quality strategy</w:t>
      </w:r>
    </w:p>
    <w:p>
      <w:pPr>
        <w:pStyle w:val="ListBullet"/>
        <w:spacing w:after="40"/>
      </w:pPr>
      <w:r>
        <w:t>Advanced SQL analyses</w:t>
      </w:r>
    </w:p>
    <w:p>
      <w:pPr>
        <w:pStyle w:val="ListBullet"/>
        <w:spacing w:after="40"/>
      </w:pPr>
      <w:r>
        <w:t>Power BI screenshots</w:t>
      </w:r>
    </w:p>
    <w:p>
      <w:pPr>
        <w:pStyle w:val="ListBullet"/>
        <w:spacing w:after="40"/>
      </w:pPr>
      <w:r>
        <w:t>How to run locally</w:t>
      </w:r>
    </w:p>
    <w:p>
      <w:pPr>
        <w:pStyle w:val="ListBullet"/>
        <w:spacing w:after="40"/>
      </w:pPr>
      <w:r>
        <w:t>Tests and acceptance evidence</w:t>
      </w:r>
    </w:p>
    <w:p>
      <w:pPr>
        <w:pStyle w:val="ListBullet"/>
        <w:spacing w:after="40"/>
      </w:pPr>
      <w:r>
        <w:t>Measured scale/results</w:t>
      </w:r>
    </w:p>
    <w:p>
      <w:pPr>
        <w:pStyle w:val="ListBullet"/>
        <w:spacing w:after="40"/>
      </w:pPr>
      <w:r>
        <w:t>Limitations and V2 ideas</w:t>
      </w:r>
    </w:p>
    <w:p>
      <w:r>
        <w:t>Do not commit raw source Parquet files, raw database dumps, real secrets, or unnecessary sensitive seller data. Synthetic fixtures are appropriate for tests.</w:t>
      </w:r>
    </w:p>
    <w:p>
      <w:pPr>
        <w:pStyle w:val="Heading1"/>
      </w:pPr>
      <w:r>
        <w:t>15. Agent Autonomy and Decision Rights</w:t>
      </w:r>
    </w:p>
    <w:p>
      <w:pPr>
        <w:pStyle w:val="Callout"/>
        <w:shd w:fill="E2F0D9"/>
      </w:pPr>
      <w:r>
        <w:rPr>
          <w:b/>
        </w:rPr>
        <w:t>The agent is the primary implementer. It should make routine implementation decisions, execute commands, install project-scoped dependencies, run tests, debug failures, refactor, and continue until acceptance gates are met.</w:t>
      </w:r>
    </w:p>
    <w:p>
      <w:pPr>
        <w:pStyle w:val="Heading2"/>
      </w:pPr>
      <w:r>
        <w:t>Agent may do without asking</w:t>
      </w:r>
    </w:p>
    <w:p>
      <w:pPr>
        <w:pStyle w:val="ListBullet"/>
        <w:spacing w:after="40"/>
      </w:pPr>
      <w:r>
        <w:t>Create/modify files inside the project repository.</w:t>
      </w:r>
    </w:p>
    <w:p>
      <w:pPr>
        <w:pStyle w:val="ListBullet"/>
        <w:spacing w:after="40"/>
      </w:pPr>
      <w:r>
        <w:t>Create virtual environments and project-scoped configuration.</w:t>
      </w:r>
    </w:p>
    <w:p>
      <w:pPr>
        <w:pStyle w:val="ListBullet"/>
        <w:spacing w:after="40"/>
      </w:pPr>
      <w:r>
        <w:t>Install ordinary project dependencies required by this specification.</w:t>
      </w:r>
    </w:p>
    <w:p>
      <w:pPr>
        <w:pStyle w:val="ListBullet"/>
        <w:spacing w:after="40"/>
      </w:pPr>
      <w:r>
        <w:t>Run Docker Compose for the project PostgreSQL service.</w:t>
      </w:r>
    </w:p>
    <w:p>
      <w:pPr>
        <w:pStyle w:val="ListBullet"/>
        <w:spacing w:after="40"/>
      </w:pPr>
      <w:r>
        <w:t>Create/drop/recreate the project database as needed during development.</w:t>
      </w:r>
    </w:p>
    <w:p>
      <w:pPr>
        <w:pStyle w:val="ListBullet"/>
        <w:spacing w:after="40"/>
      </w:pPr>
      <w:r>
        <w:t>Initialize dbt and Prefect configuration.</w:t>
      </w:r>
    </w:p>
    <w:p>
      <w:pPr>
        <w:pStyle w:val="ListBullet"/>
        <w:spacing w:after="40"/>
      </w:pPr>
      <w:r>
        <w:t>Run migrations/DDL, tests, linters, dbt builds, SQL checks, and acceptance scripts.</w:t>
      </w:r>
    </w:p>
    <w:p>
      <w:pPr>
        <w:pStyle w:val="ListBullet"/>
        <w:spacing w:after="40"/>
      </w:pPr>
      <w:r>
        <w:t>Refactor internal code structure while preserving the frozen architecture and business semantics.</w:t>
      </w:r>
    </w:p>
    <w:p>
      <w:pPr>
        <w:pStyle w:val="ListBullet"/>
        <w:spacing w:after="40"/>
      </w:pPr>
      <w:r>
        <w:t>Create synthetic fixtures and test data.</w:t>
      </w:r>
    </w:p>
    <w:p>
      <w:pPr>
        <w:pStyle w:val="ListBullet"/>
        <w:spacing w:after="40"/>
      </w:pPr>
      <w:r>
        <w:t>Generate documentation, diagrams, screenshots of terminal/dbt/Prefect outputs, and final evidence.</w:t>
      </w:r>
    </w:p>
    <w:p>
      <w:pPr>
        <w:pStyle w:val="Heading2"/>
      </w:pPr>
      <w:r>
        <w:t>Agent must not do without explicit authorization</w:t>
      </w:r>
    </w:p>
    <w:p>
      <w:pPr>
        <w:pStyle w:val="ListBullet"/>
        <w:spacing w:after="40"/>
      </w:pPr>
      <w:r>
        <w:t>Access unrelated personal directories, browser profiles, SSH keys, password stores, cloud credentials, or other repositories.</w:t>
      </w:r>
    </w:p>
    <w:p>
      <w:pPr>
        <w:pStyle w:val="ListBullet"/>
        <w:spacing w:after="40"/>
      </w:pPr>
      <w:r>
        <w:t>Use real production credentials or connect to unrelated databases/services.</w:t>
      </w:r>
    </w:p>
    <w:p>
      <w:pPr>
        <w:pStyle w:val="ListBullet"/>
        <w:spacing w:after="40"/>
      </w:pPr>
      <w:r>
        <w:t>Delete or overwrite files outside the project workspace.</w:t>
      </w:r>
    </w:p>
    <w:p>
      <w:pPr>
        <w:pStyle w:val="ListBullet"/>
        <w:spacing w:after="40"/>
      </w:pPr>
      <w:r>
        <w:t>Push forcefully to unrelated remote branches or rewrite external repository history.</w:t>
      </w:r>
    </w:p>
    <w:p>
      <w:pPr>
        <w:pStyle w:val="ListBullet"/>
        <w:spacing w:after="40"/>
      </w:pPr>
      <w:r>
        <w:t>Purchase paid data/API access.</w:t>
      </w:r>
    </w:p>
    <w:p>
      <w:pPr>
        <w:pStyle w:val="ListBullet"/>
        <w:spacing w:after="40"/>
      </w:pPr>
      <w:r>
        <w:t>Broaden V1 into a marketplace, ML product, consumer app, or cloud platform.</w:t>
      </w:r>
    </w:p>
    <w:p>
      <w:pPr>
        <w:pStyle w:val="ListBullet"/>
        <w:spacing w:after="40"/>
      </w:pPr>
      <w:r>
        <w:t>Call redacted reference values actual listing prices or claim VIN enrichment when VIN data is unavailable.</w:t>
      </w:r>
    </w:p>
    <w:p>
      <w:pPr>
        <w:pStyle w:val="ListBullet"/>
        <w:spacing w:after="40"/>
      </w:pPr>
      <w:r>
        <w:t>Declare completion based only on code generation without executing the required verification gates.</w:t>
      </w:r>
    </w:p>
    <w:p>
      <w:pPr>
        <w:pStyle w:val="Heading2"/>
      </w:pPr>
      <w:r>
        <w:t>When the agent should interrupt the user</w:t>
      </w:r>
    </w:p>
    <w:p>
      <w:pPr>
        <w:pStyle w:val="ListBullet"/>
        <w:spacing w:after="40"/>
      </w:pPr>
      <w:r>
        <w:t>Authentication/permission is genuinely required and cannot be handled safely inside the project boundary.</w:t>
      </w:r>
    </w:p>
    <w:p>
      <w:pPr>
        <w:pStyle w:val="ListBullet"/>
        <w:spacing w:after="40"/>
      </w:pPr>
      <w:r>
        <w:t>Power BI Desktop requires a manual GUI action.</w:t>
      </w:r>
    </w:p>
    <w:p>
      <w:pPr>
        <w:pStyle w:val="ListBullet"/>
        <w:spacing w:after="40"/>
      </w:pPr>
      <w:r>
        <w:t>The public source becomes unavailable or changes so fundamentally that the specified business semantics cannot be preserved.</w:t>
      </w:r>
    </w:p>
    <w:p>
      <w:pPr>
        <w:pStyle w:val="ListBullet"/>
        <w:spacing w:after="40"/>
      </w:pPr>
      <w:r>
        <w:t>A decision would materially change the project objective or resume claim.</w:t>
      </w:r>
    </w:p>
    <w:p>
      <w:pPr>
        <w:pStyle w:val="Heading1"/>
      </w:pPr>
      <w:r>
        <w:t>16. Agent-First Execution Phases</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1728"/>
            <w:shd w:fill="17365D"/>
            <w:vAlign w:val="center"/>
            <w:tcMar>
              <w:top w:w="80" w:type="dxa"/>
              <w:start w:w="90" w:type="dxa"/>
              <w:bottom w:w="80" w:type="dxa"/>
              <w:end w:w="90" w:type="dxa"/>
            </w:tcMar>
          </w:tcPr>
          <w:p>
            <w:pPr>
              <w:spacing w:after="0"/>
            </w:pPr>
            <w:r/>
            <w:r>
              <w:rPr>
                <w:rFonts w:ascii="Aptos" w:hAnsi="Aptos"/>
                <w:b/>
                <w:color w:val="FFFFFF"/>
                <w:sz w:val="17"/>
              </w:rPr>
              <w:t>Phase</w:t>
            </w:r>
          </w:p>
        </w:tc>
        <w:tc>
          <w:tcPr>
            <w:tcW w:type="dxa" w:w="4968"/>
            <w:shd w:fill="17365D"/>
            <w:vAlign w:val="center"/>
            <w:tcMar>
              <w:top w:w="80" w:type="dxa"/>
              <w:start w:w="90" w:type="dxa"/>
              <w:bottom w:w="80" w:type="dxa"/>
              <w:end w:w="90" w:type="dxa"/>
            </w:tcMar>
          </w:tcPr>
          <w:p>
            <w:pPr>
              <w:spacing w:after="0"/>
            </w:pPr>
            <w:r/>
            <w:r>
              <w:rPr>
                <w:rFonts w:ascii="Aptos" w:hAnsi="Aptos"/>
                <w:b/>
                <w:color w:val="FFFFFF"/>
                <w:sz w:val="17"/>
              </w:rPr>
              <w:t>Agent objective</w:t>
            </w:r>
          </w:p>
        </w:tc>
        <w:tc>
          <w:tcPr>
            <w:tcW w:type="dxa" w:w="3384"/>
            <w:shd w:fill="17365D"/>
            <w:vAlign w:val="center"/>
            <w:tcMar>
              <w:top w:w="80" w:type="dxa"/>
              <w:start w:w="90" w:type="dxa"/>
              <w:bottom w:w="80" w:type="dxa"/>
              <w:end w:w="90" w:type="dxa"/>
            </w:tcMar>
          </w:tcPr>
          <w:p>
            <w:pPr>
              <w:spacing w:after="0"/>
            </w:pPr>
            <w:r/>
            <w:r>
              <w:rPr>
                <w:rFonts w:ascii="Aptos" w:hAnsi="Aptos"/>
                <w:b/>
                <w:color w:val="FFFFFF"/>
                <w:sz w:val="17"/>
              </w:rPr>
              <w:t>Exit gate</w:t>
            </w:r>
          </w:p>
        </w:tc>
      </w:tr>
      <w:tr>
        <w:trPr>
          <w:cantSplit/>
        </w:trPr>
        <w:tc>
          <w:tcPr>
            <w:tcW w:type="dxa" w:w="1728"/>
            <w:vAlign w:val="center"/>
            <w:tcMar>
              <w:top w:w="80" w:type="dxa"/>
              <w:start w:w="90" w:type="dxa"/>
              <w:bottom w:w="80" w:type="dxa"/>
              <w:end w:w="90" w:type="dxa"/>
            </w:tcMar>
          </w:tcPr>
          <w:p>
            <w:pPr>
              <w:spacing w:after="0"/>
            </w:pPr>
            <w:r/>
            <w:r>
              <w:rPr>
                <w:rFonts w:ascii="Aptos" w:hAnsi="Aptos"/>
                <w:b w:val="0"/>
                <w:color w:val="1F2937"/>
                <w:sz w:val="16"/>
              </w:rPr>
              <w:t>0 — Preflight</w:t>
            </w:r>
          </w:p>
        </w:tc>
        <w:tc>
          <w:tcPr>
            <w:tcW w:type="dxa" w:w="4968"/>
            <w:vAlign w:val="center"/>
            <w:tcMar>
              <w:top w:w="80" w:type="dxa"/>
              <w:start w:w="90" w:type="dxa"/>
              <w:bottom w:w="80" w:type="dxa"/>
              <w:end w:w="90" w:type="dxa"/>
            </w:tcMar>
          </w:tcPr>
          <w:p>
            <w:pPr>
              <w:spacing w:after="0"/>
            </w:pPr>
            <w:r/>
            <w:r>
              <w:rPr>
                <w:rFonts w:ascii="Aptos" w:hAnsi="Aptos"/>
                <w:b w:val="0"/>
                <w:color w:val="1F2937"/>
                <w:sz w:val="16"/>
              </w:rPr>
              <w:t>Inspect source, environment, repo, Docker, Python/Postgres tooling; write source_preflight.md.</w:t>
            </w:r>
          </w:p>
        </w:tc>
        <w:tc>
          <w:tcPr>
            <w:tcW w:type="dxa" w:w="3384"/>
            <w:vAlign w:val="center"/>
            <w:tcMar>
              <w:top w:w="80" w:type="dxa"/>
              <w:start w:w="90" w:type="dxa"/>
              <w:bottom w:w="80" w:type="dxa"/>
              <w:end w:w="90" w:type="dxa"/>
            </w:tcMar>
          </w:tcPr>
          <w:p>
            <w:pPr>
              <w:spacing w:after="0"/>
            </w:pPr>
            <w:r/>
            <w:r>
              <w:rPr>
                <w:rFonts w:ascii="Aptos" w:hAnsi="Aptos"/>
                <w:b w:val="0"/>
                <w:color w:val="1F2937"/>
                <w:sz w:val="16"/>
              </w:rPr>
              <w:t>Source contract and current limitations evidenced.</w:t>
            </w:r>
          </w:p>
        </w:tc>
      </w:tr>
      <w:tr>
        <w:trPr>
          <w:cantSplit/>
        </w:trPr>
        <w:tc>
          <w:tcPr>
            <w:tcW w:type="dxa" w:w="1728"/>
            <w:shd w:fill="F3F6F9"/>
            <w:vAlign w:val="center"/>
            <w:tcMar>
              <w:top w:w="80" w:type="dxa"/>
              <w:start w:w="90" w:type="dxa"/>
              <w:bottom w:w="80" w:type="dxa"/>
              <w:end w:w="90" w:type="dxa"/>
            </w:tcMar>
          </w:tcPr>
          <w:p>
            <w:pPr>
              <w:spacing w:after="0"/>
            </w:pPr>
            <w:r/>
            <w:r>
              <w:rPr>
                <w:rFonts w:ascii="Aptos" w:hAnsi="Aptos"/>
                <w:b w:val="0"/>
                <w:color w:val="1F2937"/>
                <w:sz w:val="16"/>
              </w:rPr>
              <w:t>1 — Foundation</w:t>
            </w:r>
          </w:p>
        </w:tc>
        <w:tc>
          <w:tcPr>
            <w:tcW w:type="dxa" w:w="4968"/>
            <w:shd w:fill="F3F6F9"/>
            <w:vAlign w:val="center"/>
            <w:tcMar>
              <w:top w:w="80" w:type="dxa"/>
              <w:start w:w="90" w:type="dxa"/>
              <w:bottom w:w="80" w:type="dxa"/>
              <w:end w:w="90" w:type="dxa"/>
            </w:tcMar>
          </w:tcPr>
          <w:p>
            <w:pPr>
              <w:spacing w:after="0"/>
            </w:pPr>
            <w:r/>
            <w:r>
              <w:rPr>
                <w:rFonts w:ascii="Aptos" w:hAnsi="Aptos"/>
                <w:b w:val="0"/>
                <w:color w:val="1F2937"/>
                <w:sz w:val="16"/>
              </w:rPr>
              <w:t>Scaffold repo; Docker Postgres; schemas; source discovery; raw/meta loader.</w:t>
            </w:r>
          </w:p>
        </w:tc>
        <w:tc>
          <w:tcPr>
            <w:tcW w:type="dxa" w:w="3384"/>
            <w:shd w:fill="F3F6F9"/>
            <w:vAlign w:val="center"/>
            <w:tcMar>
              <w:top w:w="80" w:type="dxa"/>
              <w:start w:w="90" w:type="dxa"/>
              <w:bottom w:w="80" w:type="dxa"/>
              <w:end w:w="90" w:type="dxa"/>
            </w:tcMar>
          </w:tcPr>
          <w:p>
            <w:pPr>
              <w:spacing w:after="0"/>
            </w:pPr>
            <w:r/>
            <w:r>
              <w:rPr>
                <w:rFonts w:ascii="Aptos" w:hAnsi="Aptos"/>
                <w:b w:val="0"/>
                <w:color w:val="1F2937"/>
                <w:sz w:val="16"/>
              </w:rPr>
              <w:t>Fresh raw ingestion succeeds; unit tests green.</w:t>
            </w:r>
          </w:p>
        </w:tc>
      </w:tr>
      <w:tr>
        <w:trPr>
          <w:cantSplit/>
        </w:trPr>
        <w:tc>
          <w:tcPr>
            <w:tcW w:type="dxa" w:w="1728"/>
            <w:vAlign w:val="center"/>
            <w:tcMar>
              <w:top w:w="80" w:type="dxa"/>
              <w:start w:w="90" w:type="dxa"/>
              <w:bottom w:w="80" w:type="dxa"/>
              <w:end w:w="90" w:type="dxa"/>
            </w:tcMar>
          </w:tcPr>
          <w:p>
            <w:pPr>
              <w:spacing w:after="0"/>
            </w:pPr>
            <w:r/>
            <w:r>
              <w:rPr>
                <w:rFonts w:ascii="Aptos" w:hAnsi="Aptos"/>
                <w:b w:val="0"/>
                <w:color w:val="1F2937"/>
                <w:sz w:val="16"/>
              </w:rPr>
              <w:t>2 — Transform</w:t>
            </w:r>
          </w:p>
        </w:tc>
        <w:tc>
          <w:tcPr>
            <w:tcW w:type="dxa" w:w="4968"/>
            <w:vAlign w:val="center"/>
            <w:tcMar>
              <w:top w:w="80" w:type="dxa"/>
              <w:start w:w="90" w:type="dxa"/>
              <w:bottom w:w="80" w:type="dxa"/>
              <w:end w:w="90" w:type="dxa"/>
            </w:tcMar>
          </w:tcPr>
          <w:p>
            <w:pPr>
              <w:spacing w:after="0"/>
            </w:pPr>
            <w:r/>
            <w:r>
              <w:rPr>
                <w:rFonts w:ascii="Aptos" w:hAnsi="Aptos"/>
                <w:b w:val="0"/>
                <w:color w:val="1F2937"/>
                <w:sz w:val="16"/>
              </w:rPr>
              <w:t>Initialize dbt; staging, dedupe, enrichment, dimensions, fact, tests.</w:t>
            </w:r>
          </w:p>
        </w:tc>
        <w:tc>
          <w:tcPr>
            <w:tcW w:type="dxa" w:w="3384"/>
            <w:vAlign w:val="center"/>
            <w:tcMar>
              <w:top w:w="80" w:type="dxa"/>
              <w:start w:w="90" w:type="dxa"/>
              <w:bottom w:w="80" w:type="dxa"/>
              <w:end w:w="90" w:type="dxa"/>
            </w:tcMar>
          </w:tcPr>
          <w:p>
            <w:pPr>
              <w:spacing w:after="0"/>
            </w:pPr>
            <w:r/>
            <w:r>
              <w:rPr>
                <w:rFonts w:ascii="Aptos" w:hAnsi="Aptos"/>
                <w:b w:val="0"/>
                <w:color w:val="1F2937"/>
                <w:sz w:val="16"/>
              </w:rPr>
              <w:t>dbt build/test green on real ingested data.</w:t>
            </w:r>
          </w:p>
        </w:tc>
      </w:tr>
      <w:tr>
        <w:trPr>
          <w:cantSplit/>
        </w:trPr>
        <w:tc>
          <w:tcPr>
            <w:tcW w:type="dxa" w:w="1728"/>
            <w:shd w:fill="F3F6F9"/>
            <w:vAlign w:val="center"/>
            <w:tcMar>
              <w:top w:w="80" w:type="dxa"/>
              <w:start w:w="90" w:type="dxa"/>
              <w:bottom w:w="80" w:type="dxa"/>
              <w:end w:w="90" w:type="dxa"/>
            </w:tcMar>
          </w:tcPr>
          <w:p>
            <w:pPr>
              <w:spacing w:after="0"/>
            </w:pPr>
            <w:r/>
            <w:r>
              <w:rPr>
                <w:rFonts w:ascii="Aptos" w:hAnsi="Aptos"/>
                <w:b w:val="0"/>
                <w:color w:val="1F2937"/>
                <w:sz w:val="16"/>
              </w:rPr>
              <w:t>3 — Analytics</w:t>
            </w:r>
          </w:p>
        </w:tc>
        <w:tc>
          <w:tcPr>
            <w:tcW w:type="dxa" w:w="4968"/>
            <w:shd w:fill="F3F6F9"/>
            <w:vAlign w:val="center"/>
            <w:tcMar>
              <w:top w:w="80" w:type="dxa"/>
              <w:start w:w="90" w:type="dxa"/>
              <w:bottom w:w="80" w:type="dxa"/>
              <w:end w:w="90" w:type="dxa"/>
            </w:tcMar>
          </w:tcPr>
          <w:p>
            <w:pPr>
              <w:spacing w:after="0"/>
            </w:pPr>
            <w:r/>
            <w:r>
              <w:rPr>
                <w:rFonts w:ascii="Aptos" w:hAnsi="Aptos"/>
                <w:b w:val="0"/>
                <w:color w:val="1F2937"/>
                <w:sz w:val="16"/>
              </w:rPr>
              <w:t>Implement eight SQL analyses; performance notes; validate outputs.</w:t>
            </w:r>
          </w:p>
        </w:tc>
        <w:tc>
          <w:tcPr>
            <w:tcW w:type="dxa" w:w="3384"/>
            <w:shd w:fill="F3F6F9"/>
            <w:vAlign w:val="center"/>
            <w:tcMar>
              <w:top w:w="80" w:type="dxa"/>
              <w:start w:w="90" w:type="dxa"/>
              <w:bottom w:w="80" w:type="dxa"/>
              <w:end w:w="90" w:type="dxa"/>
            </w:tcMar>
          </w:tcPr>
          <w:p>
            <w:pPr>
              <w:spacing w:after="0"/>
            </w:pPr>
            <w:r/>
            <w:r>
              <w:rPr>
                <w:rFonts w:ascii="Aptos" w:hAnsi="Aptos"/>
                <w:b w:val="0"/>
                <w:color w:val="1F2937"/>
                <w:sz w:val="16"/>
              </w:rPr>
              <w:t>All queries execute and produce plausible non-empty results where data supports them.</w:t>
            </w:r>
          </w:p>
        </w:tc>
      </w:tr>
      <w:tr>
        <w:trPr>
          <w:cantSplit/>
        </w:trPr>
        <w:tc>
          <w:tcPr>
            <w:tcW w:type="dxa" w:w="1728"/>
            <w:vAlign w:val="center"/>
            <w:tcMar>
              <w:top w:w="80" w:type="dxa"/>
              <w:start w:w="90" w:type="dxa"/>
              <w:bottom w:w="80" w:type="dxa"/>
              <w:end w:w="90" w:type="dxa"/>
            </w:tcMar>
          </w:tcPr>
          <w:p>
            <w:pPr>
              <w:spacing w:after="0"/>
            </w:pPr>
            <w:r/>
            <w:r>
              <w:rPr>
                <w:rFonts w:ascii="Aptos" w:hAnsi="Aptos"/>
                <w:b w:val="0"/>
                <w:color w:val="1F2937"/>
                <w:sz w:val="16"/>
              </w:rPr>
              <w:t>4 — Orchestrate</w:t>
            </w:r>
          </w:p>
        </w:tc>
        <w:tc>
          <w:tcPr>
            <w:tcW w:type="dxa" w:w="4968"/>
            <w:vAlign w:val="center"/>
            <w:tcMar>
              <w:top w:w="80" w:type="dxa"/>
              <w:start w:w="90" w:type="dxa"/>
              <w:bottom w:w="80" w:type="dxa"/>
              <w:end w:w="90" w:type="dxa"/>
            </w:tcMar>
          </w:tcPr>
          <w:p>
            <w:pPr>
              <w:spacing w:after="0"/>
            </w:pPr>
            <w:r/>
            <w:r>
              <w:rPr>
                <w:rFonts w:ascii="Aptos" w:hAnsi="Aptos"/>
                <w:b w:val="0"/>
                <w:color w:val="1F2937"/>
                <w:sz w:val="16"/>
              </w:rPr>
              <w:t>Wrap workflow in Prefect; retries/failure handling; run metadata.</w:t>
            </w:r>
          </w:p>
        </w:tc>
        <w:tc>
          <w:tcPr>
            <w:tcW w:type="dxa" w:w="3384"/>
            <w:vAlign w:val="center"/>
            <w:tcMar>
              <w:top w:w="80" w:type="dxa"/>
              <w:start w:w="90" w:type="dxa"/>
              <w:bottom w:w="80" w:type="dxa"/>
              <w:end w:w="90" w:type="dxa"/>
            </w:tcMar>
          </w:tcPr>
          <w:p>
            <w:pPr>
              <w:spacing w:after="0"/>
            </w:pPr>
            <w:r/>
            <w:r>
              <w:rPr>
                <w:rFonts w:ascii="Aptos" w:hAnsi="Aptos"/>
                <w:b w:val="0"/>
                <w:color w:val="1F2937"/>
                <w:sz w:val="16"/>
              </w:rPr>
              <w:t>One command/flow executes ingestion → dbt → smoke checks.</w:t>
            </w:r>
          </w:p>
        </w:tc>
      </w:tr>
      <w:tr>
        <w:trPr>
          <w:cantSplit/>
        </w:trPr>
        <w:tc>
          <w:tcPr>
            <w:tcW w:type="dxa" w:w="1728"/>
            <w:shd w:fill="F3F6F9"/>
            <w:vAlign w:val="center"/>
            <w:tcMar>
              <w:top w:w="80" w:type="dxa"/>
              <w:start w:w="90" w:type="dxa"/>
              <w:bottom w:w="80" w:type="dxa"/>
              <w:end w:w="90" w:type="dxa"/>
            </w:tcMar>
          </w:tcPr>
          <w:p>
            <w:pPr>
              <w:spacing w:after="0"/>
            </w:pPr>
            <w:r/>
            <w:r>
              <w:rPr>
                <w:rFonts w:ascii="Aptos" w:hAnsi="Aptos"/>
                <w:b w:val="0"/>
                <w:color w:val="1F2937"/>
                <w:sz w:val="16"/>
              </w:rPr>
              <w:t>5 — Acceptance</w:t>
            </w:r>
          </w:p>
        </w:tc>
        <w:tc>
          <w:tcPr>
            <w:tcW w:type="dxa" w:w="4968"/>
            <w:shd w:fill="F3F6F9"/>
            <w:vAlign w:val="center"/>
            <w:tcMar>
              <w:top w:w="80" w:type="dxa"/>
              <w:start w:w="90" w:type="dxa"/>
              <w:bottom w:w="80" w:type="dxa"/>
              <w:end w:w="90" w:type="dxa"/>
            </w:tcMar>
          </w:tcPr>
          <w:p>
            <w:pPr>
              <w:spacing w:after="0"/>
            </w:pPr>
            <w:r/>
            <w:r>
              <w:rPr>
                <w:rFonts w:ascii="Aptos" w:hAnsi="Aptos"/>
                <w:b w:val="0"/>
                <w:color w:val="1F2937"/>
                <w:sz w:val="16"/>
              </w:rPr>
              <w:t>Run clean bootstrap, idempotent, incremental, invalid-schema, controlled-failure scenarios.</w:t>
            </w:r>
          </w:p>
        </w:tc>
        <w:tc>
          <w:tcPr>
            <w:tcW w:type="dxa" w:w="3384"/>
            <w:shd w:fill="F3F6F9"/>
            <w:vAlign w:val="center"/>
            <w:tcMar>
              <w:top w:w="80" w:type="dxa"/>
              <w:start w:w="90" w:type="dxa"/>
              <w:bottom w:w="80" w:type="dxa"/>
              <w:end w:w="90" w:type="dxa"/>
            </w:tcMar>
          </w:tcPr>
          <w:p>
            <w:pPr>
              <w:spacing w:after="0"/>
            </w:pPr>
            <w:r/>
            <w:r>
              <w:rPr>
                <w:rFonts w:ascii="Aptos" w:hAnsi="Aptos"/>
                <w:b w:val="0"/>
                <w:color w:val="1F2937"/>
                <w:sz w:val="16"/>
              </w:rPr>
              <w:t>acceptance_results.md contains measured evidence.</w:t>
            </w:r>
          </w:p>
        </w:tc>
      </w:tr>
      <w:tr>
        <w:trPr>
          <w:cantSplit/>
        </w:trPr>
        <w:tc>
          <w:tcPr>
            <w:tcW w:type="dxa" w:w="1728"/>
            <w:vAlign w:val="center"/>
            <w:tcMar>
              <w:top w:w="80" w:type="dxa"/>
              <w:start w:w="90" w:type="dxa"/>
              <w:bottom w:w="80" w:type="dxa"/>
              <w:end w:w="90" w:type="dxa"/>
            </w:tcMar>
          </w:tcPr>
          <w:p>
            <w:pPr>
              <w:spacing w:after="0"/>
            </w:pPr>
            <w:r/>
            <w:r>
              <w:rPr>
                <w:rFonts w:ascii="Aptos" w:hAnsi="Aptos"/>
                <w:b w:val="0"/>
                <w:color w:val="1F2937"/>
                <w:sz w:val="16"/>
              </w:rPr>
              <w:t>6 — BI handoff</w:t>
            </w:r>
          </w:p>
        </w:tc>
        <w:tc>
          <w:tcPr>
            <w:tcW w:type="dxa" w:w="4968"/>
            <w:vAlign w:val="center"/>
            <w:tcMar>
              <w:top w:w="80" w:type="dxa"/>
              <w:start w:w="90" w:type="dxa"/>
              <w:bottom w:w="80" w:type="dxa"/>
              <w:end w:w="90" w:type="dxa"/>
            </w:tcMar>
          </w:tcPr>
          <w:p>
            <w:pPr>
              <w:spacing w:after="0"/>
            </w:pPr>
            <w:r/>
            <w:r>
              <w:rPr>
                <w:rFonts w:ascii="Aptos" w:hAnsi="Aptos"/>
                <w:b w:val="0"/>
                <w:color w:val="1F2937"/>
                <w:sz w:val="16"/>
              </w:rPr>
              <w:t>Prepare Power BI model/measures/spec; automate what is feasible; user completes GUI if needed.</w:t>
            </w:r>
          </w:p>
        </w:tc>
        <w:tc>
          <w:tcPr>
            <w:tcW w:type="dxa" w:w="3384"/>
            <w:vAlign w:val="center"/>
            <w:tcMar>
              <w:top w:w="80" w:type="dxa"/>
              <w:start w:w="90" w:type="dxa"/>
              <w:bottom w:w="80" w:type="dxa"/>
              <w:end w:w="90" w:type="dxa"/>
            </w:tcMar>
          </w:tcPr>
          <w:p>
            <w:pPr>
              <w:spacing w:after="0"/>
            </w:pPr>
            <w:r/>
            <w:r>
              <w:rPr>
                <w:rFonts w:ascii="Aptos" w:hAnsi="Aptos"/>
                <w:b w:val="0"/>
                <w:color w:val="1F2937"/>
                <w:sz w:val="16"/>
              </w:rPr>
              <w:t>Three-page report saved and refresh verified.</w:t>
            </w:r>
          </w:p>
        </w:tc>
      </w:tr>
      <w:tr>
        <w:trPr>
          <w:cantSplit/>
        </w:trPr>
        <w:tc>
          <w:tcPr>
            <w:tcW w:type="dxa" w:w="1728"/>
            <w:shd w:fill="F3F6F9"/>
            <w:vAlign w:val="center"/>
            <w:tcMar>
              <w:top w:w="80" w:type="dxa"/>
              <w:start w:w="90" w:type="dxa"/>
              <w:bottom w:w="80" w:type="dxa"/>
              <w:end w:w="90" w:type="dxa"/>
            </w:tcMar>
          </w:tcPr>
          <w:p>
            <w:pPr>
              <w:spacing w:after="0"/>
            </w:pPr>
            <w:r/>
            <w:r>
              <w:rPr>
                <w:rFonts w:ascii="Aptos" w:hAnsi="Aptos"/>
                <w:b w:val="0"/>
                <w:color w:val="1F2937"/>
                <w:sz w:val="16"/>
              </w:rPr>
              <w:t>7 — Portfolio finish</w:t>
            </w:r>
          </w:p>
        </w:tc>
        <w:tc>
          <w:tcPr>
            <w:tcW w:type="dxa" w:w="4968"/>
            <w:shd w:fill="F3F6F9"/>
            <w:vAlign w:val="center"/>
            <w:tcMar>
              <w:top w:w="80" w:type="dxa"/>
              <w:start w:w="90" w:type="dxa"/>
              <w:bottom w:w="80" w:type="dxa"/>
              <w:end w:w="90" w:type="dxa"/>
            </w:tcMar>
          </w:tcPr>
          <w:p>
            <w:pPr>
              <w:spacing w:after="0"/>
            </w:pPr>
            <w:r/>
            <w:r>
              <w:rPr>
                <w:rFonts w:ascii="Aptos" w:hAnsi="Aptos"/>
                <w:b w:val="0"/>
                <w:color w:val="1F2937"/>
                <w:sz w:val="16"/>
              </w:rPr>
              <w:t>README, architecture/data dictionary, screenshots, cleanup, license attribution, actual metrics.</w:t>
            </w:r>
          </w:p>
        </w:tc>
        <w:tc>
          <w:tcPr>
            <w:tcW w:type="dxa" w:w="3384"/>
            <w:shd w:fill="F3F6F9"/>
            <w:vAlign w:val="center"/>
            <w:tcMar>
              <w:top w:w="80" w:type="dxa"/>
              <w:start w:w="90" w:type="dxa"/>
              <w:bottom w:w="80" w:type="dxa"/>
              <w:end w:w="90" w:type="dxa"/>
            </w:tcMar>
          </w:tcPr>
          <w:p>
            <w:pPr>
              <w:spacing w:after="0"/>
            </w:pPr>
            <w:r/>
            <w:r>
              <w:rPr>
                <w:rFonts w:ascii="Aptos" w:hAnsi="Aptos"/>
                <w:b w:val="0"/>
                <w:color w:val="1F2937"/>
                <w:sz w:val="16"/>
              </w:rPr>
              <w:t>Repo is understandable from a fresh clone and resume bullets can be written truthfully.</w:t>
            </w:r>
          </w:p>
        </w:tc>
      </w:tr>
    </w:tbl>
    <w:p>
      <w:pPr>
        <w:spacing w:after="20"/>
      </w:pPr>
    </w:p>
    <w:p>
      <w:pPr>
        <w:pStyle w:val="Heading2"/>
      </w:pPr>
      <w:r>
        <w:t>Recommended autonomy behavior</w:t>
      </w:r>
    </w:p>
    <w:p>
      <w:r>
        <w:t>For long runs, the agent should maintain a short implementation ledger (for example docs/implementation_status.md) that records completed gates, current blocker, commands needed to verify the state, and any design deviations. It should prefer fixing failures over explaining that they exist.</w:t>
      </w:r>
    </w:p>
    <w:p>
      <w:pPr>
        <w:pStyle w:val="Heading1"/>
      </w:pPr>
      <w:r>
        <w:t>17. Final Definition of Done</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2376"/>
            <w:shd w:fill="17365D"/>
            <w:vAlign w:val="center"/>
            <w:tcMar>
              <w:top w:w="80" w:type="dxa"/>
              <w:start w:w="90" w:type="dxa"/>
              <w:bottom w:w="80" w:type="dxa"/>
              <w:end w:w="90" w:type="dxa"/>
            </w:tcMar>
          </w:tcPr>
          <w:p>
            <w:pPr>
              <w:spacing w:after="0"/>
            </w:pPr>
            <w:r/>
            <w:r>
              <w:rPr>
                <w:rFonts w:ascii="Aptos" w:hAnsi="Aptos"/>
                <w:b/>
                <w:color w:val="FFFFFF"/>
                <w:sz w:val="17"/>
              </w:rPr>
              <w:t>Area</w:t>
            </w:r>
          </w:p>
        </w:tc>
        <w:tc>
          <w:tcPr>
            <w:tcW w:type="dxa" w:w="7488"/>
            <w:shd w:fill="17365D"/>
            <w:vAlign w:val="center"/>
            <w:tcMar>
              <w:top w:w="80" w:type="dxa"/>
              <w:start w:w="90" w:type="dxa"/>
              <w:bottom w:w="80" w:type="dxa"/>
              <w:end w:w="90" w:type="dxa"/>
            </w:tcMar>
          </w:tcPr>
          <w:p>
            <w:pPr>
              <w:spacing w:after="0"/>
            </w:pPr>
            <w:r/>
            <w:r>
              <w:rPr>
                <w:rFonts w:ascii="Aptos" w:hAnsi="Aptos"/>
                <w:b/>
                <w:color w:val="FFFFFF"/>
                <w:sz w:val="17"/>
              </w:rPr>
              <w:t>Required completion state</w:t>
            </w:r>
          </w:p>
        </w:tc>
      </w:tr>
      <w:tr>
        <w:trPr>
          <w:cantSplit/>
        </w:trPr>
        <w:tc>
          <w:tcPr>
            <w:tcW w:type="dxa" w:w="2376"/>
            <w:vAlign w:val="center"/>
            <w:tcMar>
              <w:top w:w="80" w:type="dxa"/>
              <w:start w:w="90" w:type="dxa"/>
              <w:bottom w:w="80" w:type="dxa"/>
              <w:end w:w="90" w:type="dxa"/>
            </w:tcMar>
          </w:tcPr>
          <w:p>
            <w:pPr>
              <w:spacing w:after="0"/>
            </w:pPr>
            <w:r/>
            <w:r>
              <w:rPr>
                <w:rFonts w:ascii="Aptos" w:hAnsi="Aptos"/>
                <w:b w:val="0"/>
                <w:color w:val="1F2937"/>
                <w:sz w:val="16"/>
              </w:rPr>
              <w:t>Source</w:t>
            </w:r>
          </w:p>
        </w:tc>
        <w:tc>
          <w:tcPr>
            <w:tcW w:type="dxa" w:w="7488"/>
            <w:vAlign w:val="center"/>
            <w:tcMar>
              <w:top w:w="80" w:type="dxa"/>
              <w:start w:w="90" w:type="dxa"/>
              <w:bottom w:w="80" w:type="dxa"/>
              <w:end w:w="90" w:type="dxa"/>
            </w:tcMar>
          </w:tcPr>
          <w:p>
            <w:pPr>
              <w:spacing w:after="0"/>
            </w:pPr>
            <w:r/>
            <w:r>
              <w:rPr>
                <w:rFonts w:ascii="Aptos" w:hAnsi="Aptos"/>
                <w:b w:val="0"/>
                <w:color w:val="1F2937"/>
                <w:sz w:val="16"/>
              </w:rPr>
              <w:t>Current source schema/license inspected and documented.</w:t>
            </w:r>
          </w:p>
        </w:tc>
      </w:tr>
      <w:tr>
        <w:trPr>
          <w:cantSplit/>
        </w:trPr>
        <w:tc>
          <w:tcPr>
            <w:tcW w:type="dxa" w:w="2376"/>
            <w:shd w:fill="F3F6F9"/>
            <w:vAlign w:val="center"/>
            <w:tcMar>
              <w:top w:w="80" w:type="dxa"/>
              <w:start w:w="90" w:type="dxa"/>
              <w:bottom w:w="80" w:type="dxa"/>
              <w:end w:w="90" w:type="dxa"/>
            </w:tcMar>
          </w:tcPr>
          <w:p>
            <w:pPr>
              <w:spacing w:after="0"/>
            </w:pPr>
            <w:r/>
            <w:r>
              <w:rPr>
                <w:rFonts w:ascii="Aptos" w:hAnsi="Aptos"/>
                <w:b w:val="0"/>
                <w:color w:val="1F2937"/>
                <w:sz w:val="16"/>
              </w:rPr>
              <w:t>Raw</w:t>
            </w:r>
          </w:p>
        </w:tc>
        <w:tc>
          <w:tcPr>
            <w:tcW w:type="dxa" w:w="7488"/>
            <w:shd w:fill="F3F6F9"/>
            <w:vAlign w:val="center"/>
            <w:tcMar>
              <w:top w:w="80" w:type="dxa"/>
              <w:start w:w="90" w:type="dxa"/>
              <w:bottom w:w="80" w:type="dxa"/>
              <w:end w:w="90" w:type="dxa"/>
            </w:tcMar>
          </w:tcPr>
          <w:p>
            <w:pPr>
              <w:spacing w:after="0"/>
            </w:pPr>
            <w:r/>
            <w:r>
              <w:rPr>
                <w:rFonts w:ascii="Aptos" w:hAnsi="Aptos"/>
                <w:b w:val="0"/>
                <w:color w:val="1F2937"/>
                <w:sz w:val="16"/>
              </w:rPr>
              <w:t>Reproducible Parquet discovery/download and raw JSONB ingestion working.</w:t>
            </w:r>
          </w:p>
        </w:tc>
      </w:tr>
      <w:tr>
        <w:trPr>
          <w:cantSplit/>
        </w:trPr>
        <w:tc>
          <w:tcPr>
            <w:tcW w:type="dxa" w:w="2376"/>
            <w:vAlign w:val="center"/>
            <w:tcMar>
              <w:top w:w="80" w:type="dxa"/>
              <w:start w:w="90" w:type="dxa"/>
              <w:bottom w:w="80" w:type="dxa"/>
              <w:end w:w="90" w:type="dxa"/>
            </w:tcMar>
          </w:tcPr>
          <w:p>
            <w:pPr>
              <w:spacing w:after="0"/>
            </w:pPr>
            <w:r/>
            <w:r>
              <w:rPr>
                <w:rFonts w:ascii="Aptos" w:hAnsi="Aptos"/>
                <w:b w:val="0"/>
                <w:color w:val="1F2937"/>
                <w:sz w:val="16"/>
              </w:rPr>
              <w:t>Incremental</w:t>
            </w:r>
          </w:p>
        </w:tc>
        <w:tc>
          <w:tcPr>
            <w:tcW w:type="dxa" w:w="7488"/>
            <w:vAlign w:val="center"/>
            <w:tcMar>
              <w:top w:w="80" w:type="dxa"/>
              <w:start w:w="90" w:type="dxa"/>
              <w:bottom w:w="80" w:type="dxa"/>
              <w:end w:w="90" w:type="dxa"/>
            </w:tcMar>
          </w:tcPr>
          <w:p>
            <w:pPr>
              <w:spacing w:after="0"/>
            </w:pPr>
            <w:r/>
            <w:r>
              <w:rPr>
                <w:rFonts w:ascii="Aptos" w:hAnsi="Aptos"/>
                <w:b w:val="0"/>
                <w:color w:val="1F2937"/>
                <w:sz w:val="16"/>
              </w:rPr>
              <w:t>File checkpointing + record-level upsert working.</w:t>
            </w:r>
          </w:p>
        </w:tc>
      </w:tr>
      <w:tr>
        <w:trPr>
          <w:cantSplit/>
        </w:trPr>
        <w:tc>
          <w:tcPr>
            <w:tcW w:type="dxa" w:w="2376"/>
            <w:shd w:fill="F3F6F9"/>
            <w:vAlign w:val="center"/>
            <w:tcMar>
              <w:top w:w="80" w:type="dxa"/>
              <w:start w:w="90" w:type="dxa"/>
              <w:bottom w:w="80" w:type="dxa"/>
              <w:end w:w="90" w:type="dxa"/>
            </w:tcMar>
          </w:tcPr>
          <w:p>
            <w:pPr>
              <w:spacing w:after="0"/>
            </w:pPr>
            <w:r/>
            <w:r>
              <w:rPr>
                <w:rFonts w:ascii="Aptos" w:hAnsi="Aptos"/>
                <w:b w:val="0"/>
                <w:color w:val="1F2937"/>
                <w:sz w:val="16"/>
              </w:rPr>
              <w:t>Idempotency</w:t>
            </w:r>
          </w:p>
        </w:tc>
        <w:tc>
          <w:tcPr>
            <w:tcW w:type="dxa" w:w="7488"/>
            <w:shd w:fill="F3F6F9"/>
            <w:vAlign w:val="center"/>
            <w:tcMar>
              <w:top w:w="80" w:type="dxa"/>
              <w:start w:w="90" w:type="dxa"/>
              <w:bottom w:w="80" w:type="dxa"/>
              <w:end w:w="90" w:type="dxa"/>
            </w:tcMar>
          </w:tcPr>
          <w:p>
            <w:pPr>
              <w:spacing w:after="0"/>
            </w:pPr>
            <w:r/>
            <w:r>
              <w:rPr>
                <w:rFonts w:ascii="Aptos" w:hAnsi="Aptos"/>
                <w:b w:val="0"/>
                <w:color w:val="1F2937"/>
                <w:sz w:val="16"/>
              </w:rPr>
              <w:t>No-change rerun creates no duplicate files/records/facts.</w:t>
            </w:r>
          </w:p>
        </w:tc>
      </w:tr>
      <w:tr>
        <w:trPr>
          <w:cantSplit/>
        </w:trPr>
        <w:tc>
          <w:tcPr>
            <w:tcW w:type="dxa" w:w="2376"/>
            <w:vAlign w:val="center"/>
            <w:tcMar>
              <w:top w:w="80" w:type="dxa"/>
              <w:start w:w="90" w:type="dxa"/>
              <w:bottom w:w="80" w:type="dxa"/>
              <w:end w:w="90" w:type="dxa"/>
            </w:tcMar>
          </w:tcPr>
          <w:p>
            <w:pPr>
              <w:spacing w:after="0"/>
            </w:pPr>
            <w:r/>
            <w:r>
              <w:rPr>
                <w:rFonts w:ascii="Aptos" w:hAnsi="Aptos"/>
                <w:b w:val="0"/>
                <w:color w:val="1F2937"/>
                <w:sz w:val="16"/>
              </w:rPr>
              <w:t>Metadata</w:t>
            </w:r>
          </w:p>
        </w:tc>
        <w:tc>
          <w:tcPr>
            <w:tcW w:type="dxa" w:w="7488"/>
            <w:vAlign w:val="center"/>
            <w:tcMar>
              <w:top w:w="80" w:type="dxa"/>
              <w:start w:w="90" w:type="dxa"/>
              <w:bottom w:w="80" w:type="dxa"/>
              <w:end w:w="90" w:type="dxa"/>
            </w:tcMar>
          </w:tcPr>
          <w:p>
            <w:pPr>
              <w:spacing w:after="0"/>
            </w:pPr>
            <w:r/>
            <w:r>
              <w:rPr>
                <w:rFonts w:ascii="Aptos" w:hAnsi="Aptos"/>
                <w:b w:val="0"/>
                <w:color w:val="1F2937"/>
                <w:sz w:val="16"/>
              </w:rPr>
              <w:t>Processed files and pipeline runs tracked.</w:t>
            </w:r>
          </w:p>
        </w:tc>
      </w:tr>
      <w:tr>
        <w:trPr>
          <w:cantSplit/>
        </w:trPr>
        <w:tc>
          <w:tcPr>
            <w:tcW w:type="dxa" w:w="2376"/>
            <w:shd w:fill="F3F6F9"/>
            <w:vAlign w:val="center"/>
            <w:tcMar>
              <w:top w:w="80" w:type="dxa"/>
              <w:start w:w="90" w:type="dxa"/>
              <w:bottom w:w="80" w:type="dxa"/>
              <w:end w:w="90" w:type="dxa"/>
            </w:tcMar>
          </w:tcPr>
          <w:p>
            <w:pPr>
              <w:spacing w:after="0"/>
            </w:pPr>
            <w:r/>
            <w:r>
              <w:rPr>
                <w:rFonts w:ascii="Aptos" w:hAnsi="Aptos"/>
                <w:b w:val="0"/>
                <w:color w:val="1F2937"/>
                <w:sz w:val="16"/>
              </w:rPr>
              <w:t>dbt</w:t>
            </w:r>
          </w:p>
        </w:tc>
        <w:tc>
          <w:tcPr>
            <w:tcW w:type="dxa" w:w="7488"/>
            <w:shd w:fill="F3F6F9"/>
            <w:vAlign w:val="center"/>
            <w:tcMar>
              <w:top w:w="80" w:type="dxa"/>
              <w:start w:w="90" w:type="dxa"/>
              <w:bottom w:w="80" w:type="dxa"/>
              <w:end w:w="90" w:type="dxa"/>
            </w:tcMar>
          </w:tcPr>
          <w:p>
            <w:pPr>
              <w:spacing w:after="0"/>
            </w:pPr>
            <w:r/>
            <w:r>
              <w:rPr>
                <w:rFonts w:ascii="Aptos" w:hAnsi="Aptos"/>
                <w:b w:val="0"/>
                <w:color w:val="1F2937"/>
                <w:sz w:val="16"/>
              </w:rPr>
              <w:t>Staging, intermediate, dimensions, and fact models build successfully.</w:t>
            </w:r>
          </w:p>
        </w:tc>
      </w:tr>
      <w:tr>
        <w:trPr>
          <w:cantSplit/>
        </w:trPr>
        <w:tc>
          <w:tcPr>
            <w:tcW w:type="dxa" w:w="2376"/>
            <w:vAlign w:val="center"/>
            <w:tcMar>
              <w:top w:w="80" w:type="dxa"/>
              <w:start w:w="90" w:type="dxa"/>
              <w:bottom w:w="80" w:type="dxa"/>
              <w:end w:w="90" w:type="dxa"/>
            </w:tcMar>
          </w:tcPr>
          <w:p>
            <w:pPr>
              <w:spacing w:after="0"/>
            </w:pPr>
            <w:r/>
            <w:r>
              <w:rPr>
                <w:rFonts w:ascii="Aptos" w:hAnsi="Aptos"/>
                <w:b w:val="0"/>
                <w:color w:val="1F2937"/>
                <w:sz w:val="16"/>
              </w:rPr>
              <w:t>Quality</w:t>
            </w:r>
          </w:p>
        </w:tc>
        <w:tc>
          <w:tcPr>
            <w:tcW w:type="dxa" w:w="7488"/>
            <w:vAlign w:val="center"/>
            <w:tcMar>
              <w:top w:w="80" w:type="dxa"/>
              <w:start w:w="90" w:type="dxa"/>
              <w:bottom w:w="80" w:type="dxa"/>
              <w:end w:w="90" w:type="dxa"/>
            </w:tcMar>
          </w:tcPr>
          <w:p>
            <w:pPr>
              <w:spacing w:after="0"/>
            </w:pPr>
            <w:r/>
            <w:r>
              <w:rPr>
                <w:rFonts w:ascii="Aptos" w:hAnsi="Aptos"/>
                <w:b w:val="0"/>
                <w:color w:val="1F2937"/>
                <w:sz w:val="16"/>
              </w:rPr>
              <w:t>Required dbt and Python tests pass.</w:t>
            </w:r>
          </w:p>
        </w:tc>
      </w:tr>
      <w:tr>
        <w:trPr>
          <w:cantSplit/>
        </w:trPr>
        <w:tc>
          <w:tcPr>
            <w:tcW w:type="dxa" w:w="2376"/>
            <w:shd w:fill="F3F6F9"/>
            <w:vAlign w:val="center"/>
            <w:tcMar>
              <w:top w:w="80" w:type="dxa"/>
              <w:start w:w="90" w:type="dxa"/>
              <w:bottom w:w="80" w:type="dxa"/>
              <w:end w:w="90" w:type="dxa"/>
            </w:tcMar>
          </w:tcPr>
          <w:p>
            <w:pPr>
              <w:spacing w:after="0"/>
            </w:pPr>
            <w:r/>
            <w:r>
              <w:rPr>
                <w:rFonts w:ascii="Aptos" w:hAnsi="Aptos"/>
                <w:b w:val="0"/>
                <w:color w:val="1F2937"/>
                <w:sz w:val="16"/>
              </w:rPr>
              <w:t>Warehouse</w:t>
            </w:r>
          </w:p>
        </w:tc>
        <w:tc>
          <w:tcPr>
            <w:tcW w:type="dxa" w:w="7488"/>
            <w:shd w:fill="F3F6F9"/>
            <w:vAlign w:val="center"/>
            <w:tcMar>
              <w:top w:w="80" w:type="dxa"/>
              <w:start w:w="90" w:type="dxa"/>
              <w:bottom w:w="80" w:type="dxa"/>
              <w:end w:w="90" w:type="dxa"/>
            </w:tcMar>
          </w:tcPr>
          <w:p>
            <w:pPr>
              <w:spacing w:after="0"/>
            </w:pPr>
            <w:r/>
            <w:r>
              <w:rPr>
                <w:rFonts w:ascii="Aptos" w:hAnsi="Aptos"/>
                <w:b w:val="0"/>
                <w:color w:val="1F2937"/>
                <w:sz w:val="16"/>
              </w:rPr>
              <w:t>Four dimensions + one fact with documented grain and keys.</w:t>
            </w:r>
          </w:p>
        </w:tc>
      </w:tr>
      <w:tr>
        <w:trPr>
          <w:cantSplit/>
        </w:trPr>
        <w:tc>
          <w:tcPr>
            <w:tcW w:type="dxa" w:w="2376"/>
            <w:vAlign w:val="center"/>
            <w:tcMar>
              <w:top w:w="80" w:type="dxa"/>
              <w:start w:w="90" w:type="dxa"/>
              <w:bottom w:w="80" w:type="dxa"/>
              <w:end w:w="90" w:type="dxa"/>
            </w:tcMar>
          </w:tcPr>
          <w:p>
            <w:pPr>
              <w:spacing w:after="0"/>
            </w:pPr>
            <w:r/>
            <w:r>
              <w:rPr>
                <w:rFonts w:ascii="Aptos" w:hAnsi="Aptos"/>
                <w:b w:val="0"/>
                <w:color w:val="1F2937"/>
                <w:sz w:val="16"/>
              </w:rPr>
              <w:t>SQL</w:t>
            </w:r>
          </w:p>
        </w:tc>
        <w:tc>
          <w:tcPr>
            <w:tcW w:type="dxa" w:w="7488"/>
            <w:vAlign w:val="center"/>
            <w:tcMar>
              <w:top w:w="80" w:type="dxa"/>
              <w:start w:w="90" w:type="dxa"/>
              <w:bottom w:w="80" w:type="dxa"/>
              <w:end w:w="90" w:type="dxa"/>
            </w:tcMar>
          </w:tcPr>
          <w:p>
            <w:pPr>
              <w:spacing w:after="0"/>
            </w:pPr>
            <w:r/>
            <w:r>
              <w:rPr>
                <w:rFonts w:ascii="Aptos" w:hAnsi="Aptos"/>
                <w:b w:val="0"/>
                <w:color w:val="1F2937"/>
                <w:sz w:val="16"/>
              </w:rPr>
              <w:t>Eight documented advanced analyses execute successfully.</w:t>
            </w:r>
          </w:p>
        </w:tc>
      </w:tr>
      <w:tr>
        <w:trPr>
          <w:cantSplit/>
        </w:trPr>
        <w:tc>
          <w:tcPr>
            <w:tcW w:type="dxa" w:w="2376"/>
            <w:shd w:fill="F3F6F9"/>
            <w:vAlign w:val="center"/>
            <w:tcMar>
              <w:top w:w="80" w:type="dxa"/>
              <w:start w:w="90" w:type="dxa"/>
              <w:bottom w:w="80" w:type="dxa"/>
              <w:end w:w="90" w:type="dxa"/>
            </w:tcMar>
          </w:tcPr>
          <w:p>
            <w:pPr>
              <w:spacing w:after="0"/>
            </w:pPr>
            <w:r/>
            <w:r>
              <w:rPr>
                <w:rFonts w:ascii="Aptos" w:hAnsi="Aptos"/>
                <w:b w:val="0"/>
                <w:color w:val="1F2937"/>
                <w:sz w:val="16"/>
              </w:rPr>
              <w:t>Performance</w:t>
            </w:r>
          </w:p>
        </w:tc>
        <w:tc>
          <w:tcPr>
            <w:tcW w:type="dxa" w:w="7488"/>
            <w:shd w:fill="F3F6F9"/>
            <w:vAlign w:val="center"/>
            <w:tcMar>
              <w:top w:w="80" w:type="dxa"/>
              <w:start w:w="90" w:type="dxa"/>
              <w:bottom w:w="80" w:type="dxa"/>
              <w:end w:w="90" w:type="dxa"/>
            </w:tcMar>
          </w:tcPr>
          <w:p>
            <w:pPr>
              <w:spacing w:after="0"/>
            </w:pPr>
            <w:r/>
            <w:r>
              <w:rPr>
                <w:rFonts w:ascii="Aptos" w:hAnsi="Aptos"/>
                <w:b w:val="0"/>
                <w:color w:val="1F2937"/>
                <w:sz w:val="16"/>
              </w:rPr>
              <w:t>At least one EXPLAIN ANALYZE review documented truthfully.</w:t>
            </w:r>
          </w:p>
        </w:tc>
      </w:tr>
      <w:tr>
        <w:trPr>
          <w:cantSplit/>
        </w:trPr>
        <w:tc>
          <w:tcPr>
            <w:tcW w:type="dxa" w:w="2376"/>
            <w:vAlign w:val="center"/>
            <w:tcMar>
              <w:top w:w="80" w:type="dxa"/>
              <w:start w:w="90" w:type="dxa"/>
              <w:bottom w:w="80" w:type="dxa"/>
              <w:end w:w="90" w:type="dxa"/>
            </w:tcMar>
          </w:tcPr>
          <w:p>
            <w:pPr>
              <w:spacing w:after="0"/>
            </w:pPr>
            <w:r/>
            <w:r>
              <w:rPr>
                <w:rFonts w:ascii="Aptos" w:hAnsi="Aptos"/>
                <w:b w:val="0"/>
                <w:color w:val="1F2937"/>
                <w:sz w:val="16"/>
              </w:rPr>
              <w:t>Orchestration</w:t>
            </w:r>
          </w:p>
        </w:tc>
        <w:tc>
          <w:tcPr>
            <w:tcW w:type="dxa" w:w="7488"/>
            <w:vAlign w:val="center"/>
            <w:tcMar>
              <w:top w:w="80" w:type="dxa"/>
              <w:start w:w="90" w:type="dxa"/>
              <w:bottom w:w="80" w:type="dxa"/>
              <w:end w:w="90" w:type="dxa"/>
            </w:tcMar>
          </w:tcPr>
          <w:p>
            <w:pPr>
              <w:spacing w:after="0"/>
            </w:pPr>
            <w:r/>
            <w:r>
              <w:rPr>
                <w:rFonts w:ascii="Aptos" w:hAnsi="Aptos"/>
                <w:b w:val="0"/>
                <w:color w:val="1F2937"/>
                <w:sz w:val="16"/>
              </w:rPr>
              <w:t>Prefect executes the end-to-end engineering pipeline.</w:t>
            </w:r>
          </w:p>
        </w:tc>
      </w:tr>
      <w:tr>
        <w:trPr>
          <w:cantSplit/>
        </w:trPr>
        <w:tc>
          <w:tcPr>
            <w:tcW w:type="dxa" w:w="2376"/>
            <w:shd w:fill="F3F6F9"/>
            <w:vAlign w:val="center"/>
            <w:tcMar>
              <w:top w:w="80" w:type="dxa"/>
              <w:start w:w="90" w:type="dxa"/>
              <w:bottom w:w="80" w:type="dxa"/>
              <w:end w:w="90" w:type="dxa"/>
            </w:tcMar>
          </w:tcPr>
          <w:p>
            <w:pPr>
              <w:spacing w:after="0"/>
            </w:pPr>
            <w:r/>
            <w:r>
              <w:rPr>
                <w:rFonts w:ascii="Aptos" w:hAnsi="Aptos"/>
                <w:b w:val="0"/>
                <w:color w:val="1F2937"/>
                <w:sz w:val="16"/>
              </w:rPr>
              <w:t>Failure handling</w:t>
            </w:r>
          </w:p>
        </w:tc>
        <w:tc>
          <w:tcPr>
            <w:tcW w:type="dxa" w:w="7488"/>
            <w:shd w:fill="F3F6F9"/>
            <w:vAlign w:val="center"/>
            <w:tcMar>
              <w:top w:w="80" w:type="dxa"/>
              <w:start w:w="90" w:type="dxa"/>
              <w:bottom w:w="80" w:type="dxa"/>
              <w:end w:w="90" w:type="dxa"/>
            </w:tcMar>
          </w:tcPr>
          <w:p>
            <w:pPr>
              <w:spacing w:after="0"/>
            </w:pPr>
            <w:r/>
            <w:r>
              <w:rPr>
                <w:rFonts w:ascii="Aptos" w:hAnsi="Aptos"/>
                <w:b w:val="0"/>
                <w:color w:val="1F2937"/>
                <w:sz w:val="16"/>
              </w:rPr>
              <w:t>At least one controlled validation/dbt failure and corrected rerun evidenced.</w:t>
            </w:r>
          </w:p>
        </w:tc>
      </w:tr>
      <w:tr>
        <w:trPr>
          <w:cantSplit/>
        </w:trPr>
        <w:tc>
          <w:tcPr>
            <w:tcW w:type="dxa" w:w="2376"/>
            <w:vAlign w:val="center"/>
            <w:tcMar>
              <w:top w:w="80" w:type="dxa"/>
              <w:start w:w="90" w:type="dxa"/>
              <w:bottom w:w="80" w:type="dxa"/>
              <w:end w:w="90" w:type="dxa"/>
            </w:tcMar>
          </w:tcPr>
          <w:p>
            <w:pPr>
              <w:spacing w:after="0"/>
            </w:pPr>
            <w:r/>
            <w:r>
              <w:rPr>
                <w:rFonts w:ascii="Aptos" w:hAnsi="Aptos"/>
                <w:b w:val="0"/>
                <w:color w:val="1F2937"/>
                <w:sz w:val="16"/>
              </w:rPr>
              <w:t>BI</w:t>
            </w:r>
          </w:p>
        </w:tc>
        <w:tc>
          <w:tcPr>
            <w:tcW w:type="dxa" w:w="7488"/>
            <w:vAlign w:val="center"/>
            <w:tcMar>
              <w:top w:w="80" w:type="dxa"/>
              <w:start w:w="90" w:type="dxa"/>
              <w:bottom w:w="80" w:type="dxa"/>
              <w:end w:w="90" w:type="dxa"/>
            </w:tcMar>
          </w:tcPr>
          <w:p>
            <w:pPr>
              <w:spacing w:after="0"/>
            </w:pPr>
            <w:r/>
            <w:r>
              <w:rPr>
                <w:rFonts w:ascii="Aptos" w:hAnsi="Aptos"/>
                <w:b w:val="0"/>
                <w:color w:val="1F2937"/>
                <w:sz w:val="16"/>
              </w:rPr>
              <w:t>Three-page Power BI report exists and refreshes from warehouse.</w:t>
            </w:r>
          </w:p>
        </w:tc>
      </w:tr>
      <w:tr>
        <w:trPr>
          <w:cantSplit/>
        </w:trPr>
        <w:tc>
          <w:tcPr>
            <w:tcW w:type="dxa" w:w="2376"/>
            <w:shd w:fill="F3F6F9"/>
            <w:vAlign w:val="center"/>
            <w:tcMar>
              <w:top w:w="80" w:type="dxa"/>
              <w:start w:w="90" w:type="dxa"/>
              <w:bottom w:w="80" w:type="dxa"/>
              <w:end w:w="90" w:type="dxa"/>
            </w:tcMar>
          </w:tcPr>
          <w:p>
            <w:pPr>
              <w:spacing w:after="0"/>
            </w:pPr>
            <w:r/>
            <w:r>
              <w:rPr>
                <w:rFonts w:ascii="Aptos" w:hAnsi="Aptos"/>
                <w:b w:val="0"/>
                <w:color w:val="1F2937"/>
                <w:sz w:val="16"/>
              </w:rPr>
              <w:t>Documentation</w:t>
            </w:r>
          </w:p>
        </w:tc>
        <w:tc>
          <w:tcPr>
            <w:tcW w:type="dxa" w:w="7488"/>
            <w:shd w:fill="F3F6F9"/>
            <w:vAlign w:val="center"/>
            <w:tcMar>
              <w:top w:w="80" w:type="dxa"/>
              <w:start w:w="90" w:type="dxa"/>
              <w:bottom w:w="80" w:type="dxa"/>
              <w:end w:w="90" w:type="dxa"/>
            </w:tcMar>
          </w:tcPr>
          <w:p>
            <w:pPr>
              <w:spacing w:after="0"/>
            </w:pPr>
            <w:r/>
            <w:r>
              <w:rPr>
                <w:rFonts w:ascii="Aptos" w:hAnsi="Aptos"/>
                <w:b w:val="0"/>
                <w:color w:val="1F2937"/>
                <w:sz w:val="16"/>
              </w:rPr>
              <w:t>README, architecture, data dictionary, SQL notes, acceptance results complete.</w:t>
            </w:r>
          </w:p>
        </w:tc>
      </w:tr>
      <w:tr>
        <w:trPr>
          <w:cantSplit/>
        </w:trPr>
        <w:tc>
          <w:tcPr>
            <w:tcW w:type="dxa" w:w="2376"/>
            <w:vAlign w:val="center"/>
            <w:tcMar>
              <w:top w:w="80" w:type="dxa"/>
              <w:start w:w="90" w:type="dxa"/>
              <w:bottom w:w="80" w:type="dxa"/>
              <w:end w:w="90" w:type="dxa"/>
            </w:tcMar>
          </w:tcPr>
          <w:p>
            <w:pPr>
              <w:spacing w:after="0"/>
            </w:pPr>
            <w:r/>
            <w:r>
              <w:rPr>
                <w:rFonts w:ascii="Aptos" w:hAnsi="Aptos"/>
                <w:b w:val="0"/>
                <w:color w:val="1F2937"/>
                <w:sz w:val="16"/>
              </w:rPr>
              <w:t>Licensing</w:t>
            </w:r>
          </w:p>
        </w:tc>
        <w:tc>
          <w:tcPr>
            <w:tcW w:type="dxa" w:w="7488"/>
            <w:vAlign w:val="center"/>
            <w:tcMar>
              <w:top w:w="80" w:type="dxa"/>
              <w:start w:w="90" w:type="dxa"/>
              <w:bottom w:w="80" w:type="dxa"/>
              <w:end w:w="90" w:type="dxa"/>
            </w:tcMar>
          </w:tcPr>
          <w:p>
            <w:pPr>
              <w:spacing w:after="0"/>
            </w:pPr>
            <w:r/>
            <w:r>
              <w:rPr>
                <w:rFonts w:ascii="Aptos" w:hAnsi="Aptos"/>
                <w:b w:val="0"/>
                <w:color w:val="1F2937"/>
                <w:sz w:val="16"/>
              </w:rPr>
              <w:t>Attribution and public-data limitations documented.</w:t>
            </w:r>
          </w:p>
        </w:tc>
      </w:tr>
      <w:tr>
        <w:trPr>
          <w:cantSplit/>
        </w:trPr>
        <w:tc>
          <w:tcPr>
            <w:tcW w:type="dxa" w:w="2376"/>
            <w:shd w:fill="F3F6F9"/>
            <w:vAlign w:val="center"/>
            <w:tcMar>
              <w:top w:w="80" w:type="dxa"/>
              <w:start w:w="90" w:type="dxa"/>
              <w:bottom w:w="80" w:type="dxa"/>
              <w:end w:w="90" w:type="dxa"/>
            </w:tcMar>
          </w:tcPr>
          <w:p>
            <w:pPr>
              <w:spacing w:after="0"/>
            </w:pPr>
            <w:r/>
            <w:r>
              <w:rPr>
                <w:rFonts w:ascii="Aptos" w:hAnsi="Aptos"/>
                <w:b w:val="0"/>
                <w:color w:val="1F2937"/>
                <w:sz w:val="16"/>
              </w:rPr>
              <w:t>Portfolio</w:t>
            </w:r>
          </w:p>
        </w:tc>
        <w:tc>
          <w:tcPr>
            <w:tcW w:type="dxa" w:w="7488"/>
            <w:shd w:fill="F3F6F9"/>
            <w:vAlign w:val="center"/>
            <w:tcMar>
              <w:top w:w="80" w:type="dxa"/>
              <w:start w:w="90" w:type="dxa"/>
              <w:bottom w:w="80" w:type="dxa"/>
              <w:end w:w="90" w:type="dxa"/>
            </w:tcMar>
          </w:tcPr>
          <w:p>
            <w:pPr>
              <w:spacing w:after="0"/>
            </w:pPr>
            <w:r/>
            <w:r>
              <w:rPr>
                <w:rFonts w:ascii="Aptos" w:hAnsi="Aptos"/>
                <w:b w:val="0"/>
                <w:color w:val="1F2937"/>
                <w:sz w:val="16"/>
              </w:rPr>
              <w:t>Screenshots and measured final metrics available; no planned-but-unbuilt claims.</w:t>
            </w:r>
          </w:p>
        </w:tc>
      </w:tr>
    </w:tbl>
    <w:p>
      <w:pPr>
        <w:spacing w:after="20"/>
      </w:pPr>
    </w:p>
    <w:p>
      <w:pPr>
        <w:pStyle w:val="Callout"/>
        <w:shd w:fill="FFF2CC"/>
      </w:pPr>
      <w:r>
        <w:rPr>
          <w:b/>
        </w:rPr>
        <w:t>If one of these gates is not satisfied, the agent should report the project as incomplete or partially complete, not “done.”</w:t>
      </w:r>
    </w:p>
    <w:p>
      <w:pPr>
        <w:pStyle w:val="Heading1"/>
      </w:pPr>
      <w:r>
        <w:t>18. Portfolio and Interview Handoff</w:t>
      </w:r>
    </w:p>
    <w:p>
      <w:r>
        <w:t>After implementation, derive resume bullets from the measured system: actual number of source partitions processed, raw/fact row counts, number of dbt models/tests, number of analytical SQL queries, acceptance results, and dashboard deliverables. Do not hard-code scale numbers in advance.</w:t>
      </w:r>
    </w:p>
    <w:p>
      <w:pPr>
        <w:pStyle w:val="Heading2"/>
      </w:pPr>
      <w:r>
        <w:t>Target interview story</w:t>
      </w:r>
    </w:p>
    <w:p>
      <w:pPr>
        <w:pStyle w:val="Callout"/>
        <w:shd w:fill="D9EAF7"/>
      </w:pPr>
      <w:r>
        <w:rPr>
          <w:b/>
        </w:rPr>
        <w:t>“I built an incremental used-car market analytics pipeline around a rolling external Parquet dataset. Python discovers and validates source partitions and loads them idempotently into PostgreSQL while tracking ingestion state and pipeline runs. dbt cleans, deduplicates, tests, and models the data into a dimensional warehouse. I added advanced PostgreSQL analyses, orchestrated the workflow with Prefect, and built a Power BI report on top of the warehouse. The public data redacted actual asking price and VIN, so I deliberately treated the available KBB range as reference-value data and excluded unsupported VIN enrichment rather than making misleading claims.”</w:t>
      </w:r>
    </w:p>
    <w:p>
      <w:pPr>
        <w:pStyle w:val="Heading2"/>
      </w:pPr>
      <w:r>
        <w:t>Post-build learning pass</w:t>
      </w:r>
    </w:p>
    <w:p>
      <w:r>
        <w:t>Completion is the first priority. Before interviewing, spend a focused 3–5 hours learning the implemented system well enough to answer: grain, fact vs. dimension, JSONB raw design, upsert/idempotency, second-run behavior, dbt lineage/tests, window functions, Prefect retries/failures, reference-value limitation, and Power BI relationships.</w:t>
      </w:r>
    </w:p>
    <w:p>
      <w:r>
        <w:br w:type="page"/>
      </w:r>
    </w:p>
    <w:p>
      <w:pPr>
        <w:pStyle w:val="Heading1"/>
      </w:pPr>
      <w:r>
        <w:t>Appendix A. Agent Kickoff Prompt</w:t>
      </w:r>
    </w:p>
    <w:p>
      <w:pPr>
        <w:pStyle w:val="CodeBlock"/>
        <w:keepLines/>
        <w:shd w:fill="F3F6F9"/>
      </w:pPr>
      <w:r>
        <w:rPr>
          <w:rFonts w:ascii="Consolas" w:hAnsi="Consolas"/>
          <w:sz w:val="17"/>
        </w:rPr>
        <w:t>Read the attached Agent-First V1 Blueprint completely before changing files. You are the primary implementer for this project and have responsibility for carrying the V1 from an empty/new repository to a verified, portfolio-ready state.</w:t>
        <w:br/>
        <w:br/>
        <w:t>Your priorities, in order, are:</w:t>
        <w:br/>
        <w:t>1. Complete the frozen V1 scope accurately.</w:t>
        <w:br/>
        <w:t>2. Verify every major component by executing it; do not equate generated code with completion.</w:t>
        <w:br/>
        <w:t>3. Preserve data honesty and the exact analytical semantics in the specification.</w:t>
        <w:br/>
        <w:t>4. Keep the implementation simple enough to finish quickly; do not add scope for its own sake.</w:t>
        <w:br/>
        <w:br/>
        <w:t>Begin with Phase 0 source/environment preflight. Inspect the current public source, confirm its license/file layout/schema and the status of salePrice/VIN redaction, then write docs/source_preflight.md. After that, proceed through the execution phases without asking me for routine implementation decisions.</w:t>
        <w:br/>
        <w:br/>
        <w:t>You may create and modify any files inside this project repository, install normal project-scoped dependencies, run Docker Compose for the project PostgreSQL service, create/recreate the project database, initialize dbt/Prefect, run tests and commands, refactor internal implementation details, and debug your own failures.</w:t>
        <w:br/>
        <w:br/>
        <w:t>Do not access unrelated files, credentials, repos, or services. Do not purchase data. Do not broaden the product scope. Do not represent KBB reference values as actual listing prices. Do not claim VIN enrichment unless usable legitimate VIN data actually exists.</w:t>
        <w:br/>
        <w:br/>
        <w:t>Maintain docs/implementation_status.md as you work. For each phase record what is complete, the verification command/result, any deviation from the blueprint, and the next gate. Continue until the Final Definition of Done is satisfied or you encounter a blocker that truly requires my action.</w:t>
        <w:br/>
        <w:br/>
        <w:t>When you believe the engineering portion is complete, run the full acceptance suite from a clean state and produce docs/acceptance_results.md with actual row counts, test counts, pipeline results, and any limitations. Then prepare everything needed for the Power BI handoff. If you can safely complete Power BI in the available environment, do so; otherwise give me an exact step-by-step GUI handoff using the final warehouse and measures you prepared.</w:t>
        <w:br/>
        <w:br/>
        <w:t>Do not stop merely to tell me what you would do. Implement, run, verify, fix, and continue.</w:t>
      </w:r>
    </w:p>
    <w:p>
      <w:pPr>
        <w:pStyle w:val="Heading1"/>
      </w:pPr>
      <w:r>
        <w:t>Appendix B. Source Notes</w:t>
      </w:r>
    </w:p>
    <w:p>
      <w:r>
        <w:t>The implementation agent should re-check source terms and schema at Phase 0. The following were the planning references used for this blueprint:</w:t>
      </w:r>
    </w:p>
    <w:p>
      <w:pPr>
        <w:pStyle w:val="ListBullet"/>
        <w:spacing w:after="40"/>
      </w:pPr>
      <w:r>
        <w:t>Rebrowser AutoTrader dataset: https://huggingface.co/datasets/rebrowser/autotrader-dataset</w:t>
      </w:r>
    </w:p>
    <w:p>
      <w:pPr>
        <w:pStyle w:val="ListBullet"/>
        <w:spacing w:after="40"/>
      </w:pPr>
      <w:r>
        <w:t>NHTSA vPIC API (V2 reference only unless VIN becomes legitimate/available): https://vpic.nhtsa.dot.gov/api/</w:t>
      </w:r>
    </w:p>
    <w:p>
      <w:pPr>
        <w:pStyle w:val="ListBullet"/>
        <w:spacing w:after="40"/>
      </w:pPr>
      <w:r>
        <w:t>Original project handoff: Used_Car_Market_Intelligence_Project_Handoff(2).docx</w:t>
      </w:r>
    </w:p>
    <w:p>
      <w:r>
        <w:t>Architecture note: the original handoff correctly set the project objective around Data Engineering, advanced SQL, warehousing, orchestration, data quality, and BI, while intentionally leaving exact V1 design open. This document freezes that design in a completion-first form and preserves the original nine-day scope ceiling.</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5"/>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B6573"/>
        <w:sz w:val="15"/>
      </w:rPr>
      <w:t>USED-CAR MARKET INTELLIGENCE  |  AGENT-FIRST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00"/>
      <w:ind w:left="259" w:right="259"/>
    </w:pPr>
    <w:rPr>
      <w:rFonts w:ascii="Consolas" w:hAnsi="Consolas"/>
      <w:color w:val="1F2937"/>
      <w:sz w:val="17"/>
    </w:rPr>
  </w:style>
  <w:style w:type="paragraph" w:customStyle="1" w:styleId="Callout">
    <w:name w:val="Callout"/>
    <w:pPr>
      <w:spacing w:before="120" w:after="120"/>
      <w:ind w:left="259" w:right="259"/>
    </w:pPr>
    <w:rPr>
      <w:rFonts w:ascii="Aptos" w:hAnsi="Aptos"/>
      <w:b/>
      <w:color w:val="17365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