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5179" w14:textId="77777777" w:rsidR="00205C07" w:rsidRPr="00AE5E60" w:rsidRDefault="00000000">
      <w:pPr>
        <w:spacing w:after="0"/>
        <w:rPr>
          <w:lang w:val="es-AR"/>
        </w:rPr>
      </w:pPr>
      <w:r w:rsidRPr="00AE5E60">
        <w:rPr>
          <w:b/>
          <w:sz w:val="36"/>
          <w:lang w:val="es-AR"/>
        </w:rPr>
        <w:t>NEXO RETAIL</w:t>
      </w:r>
    </w:p>
    <w:p w14:paraId="3D1C52C5" w14:textId="77777777" w:rsidR="00205C07" w:rsidRDefault="00000000">
      <w:pPr>
        <w:spacing w:after="140"/>
        <w:rPr>
          <w:color w:val="087E83"/>
          <w:sz w:val="26"/>
          <w:lang w:val="es-AR"/>
        </w:rPr>
      </w:pPr>
      <w:r w:rsidRPr="00AE5E60">
        <w:rPr>
          <w:color w:val="087E83"/>
          <w:sz w:val="26"/>
          <w:lang w:val="es-AR"/>
        </w:rPr>
        <w:t>Diseño de solución · Ingeniería de Datos</w:t>
      </w:r>
    </w:p>
    <w:p w14:paraId="0ADC958A" w14:textId="6CD90F4A" w:rsidR="00AE5E60" w:rsidRDefault="00AE5E60">
      <w:pPr>
        <w:spacing w:after="140"/>
        <w:rPr>
          <w:color w:val="087E83"/>
          <w:sz w:val="26"/>
          <w:lang w:val="es-AR"/>
        </w:rPr>
      </w:pPr>
      <w:r>
        <w:rPr>
          <w:color w:val="087E83"/>
          <w:sz w:val="26"/>
          <w:lang w:val="es-AR"/>
        </w:rPr>
        <w:t xml:space="preserve">Ingeniero de </w:t>
      </w:r>
      <w:r w:rsidR="007958ED">
        <w:rPr>
          <w:color w:val="087E83"/>
          <w:sz w:val="26"/>
          <w:lang w:val="es-AR"/>
        </w:rPr>
        <w:t>datos Carlos</w:t>
      </w:r>
      <w:r w:rsidRPr="00AE5E60">
        <w:rPr>
          <w:color w:val="087E83"/>
          <w:sz w:val="26"/>
          <w:lang w:val="es-AR"/>
        </w:rPr>
        <w:t xml:space="preserve"> Jose Gonzalez</w:t>
      </w:r>
      <w:r>
        <w:rPr>
          <w:color w:val="087E83"/>
          <w:sz w:val="26"/>
          <w:lang w:val="es-AR"/>
        </w:rPr>
        <w:t xml:space="preserve"> Arenas</w:t>
      </w:r>
    </w:p>
    <w:tbl>
      <w:tblPr>
        <w:tblpPr w:leftFromText="141" w:rightFromText="141" w:vertAnchor="page" w:horzAnchor="margin" w:tblpY="2456"/>
        <w:tblW w:w="10165" w:type="dxa"/>
        <w:tblLayout w:type="fixed"/>
        <w:tblLook w:val="04A0" w:firstRow="1" w:lastRow="0" w:firstColumn="1" w:lastColumn="0" w:noHBand="0" w:noVBand="1"/>
      </w:tblPr>
      <w:tblGrid>
        <w:gridCol w:w="2078"/>
        <w:gridCol w:w="8087"/>
      </w:tblGrid>
      <w:tr w:rsidR="00E21D22" w14:paraId="2CF6262F" w14:textId="77777777" w:rsidTr="00E21D22">
        <w:trPr>
          <w:trHeight w:val="184"/>
        </w:trPr>
        <w:tc>
          <w:tcPr>
            <w:tcW w:w="2078" w:type="dxa"/>
            <w:shd w:val="clear" w:color="auto" w:fill="14223B"/>
            <w:tcMar>
              <w:top w:w="72" w:type="dxa"/>
              <w:left w:w="85" w:type="dxa"/>
              <w:bottom w:w="72" w:type="dxa"/>
              <w:right w:w="85" w:type="dxa"/>
            </w:tcMar>
            <w:vAlign w:val="center"/>
          </w:tcPr>
          <w:p w14:paraId="3FAED41A" w14:textId="77777777" w:rsidR="00E21D22" w:rsidRDefault="00E21D22" w:rsidP="00E21D22">
            <w:pPr>
              <w:spacing w:after="0"/>
            </w:pPr>
            <w:r>
              <w:rPr>
                <w:b/>
                <w:color w:val="FFFFFF"/>
                <w:sz w:val="16"/>
              </w:rPr>
              <w:t>Decisión</w:t>
            </w:r>
          </w:p>
        </w:tc>
        <w:tc>
          <w:tcPr>
            <w:tcW w:w="8087" w:type="dxa"/>
            <w:shd w:val="clear" w:color="auto" w:fill="14223B"/>
            <w:tcMar>
              <w:top w:w="72" w:type="dxa"/>
              <w:left w:w="85" w:type="dxa"/>
              <w:bottom w:w="72" w:type="dxa"/>
              <w:right w:w="85" w:type="dxa"/>
            </w:tcMar>
            <w:vAlign w:val="center"/>
          </w:tcPr>
          <w:p w14:paraId="310BCE4D" w14:textId="77777777" w:rsidR="00E21D22" w:rsidRDefault="00E21D22" w:rsidP="00E21D22">
            <w:pPr>
              <w:spacing w:after="0"/>
            </w:pPr>
            <w:r>
              <w:rPr>
                <w:b/>
                <w:color w:val="FFFFFF"/>
                <w:sz w:val="16"/>
              </w:rPr>
              <w:t>Justificación y criterio</w:t>
            </w:r>
          </w:p>
        </w:tc>
      </w:tr>
      <w:tr w:rsidR="00E21D22" w:rsidRPr="003D33CF" w14:paraId="1A7CC79E" w14:textId="77777777" w:rsidTr="00E21D22">
        <w:trPr>
          <w:trHeight w:val="184"/>
        </w:trPr>
        <w:tc>
          <w:tcPr>
            <w:tcW w:w="2078"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A23941D" w14:textId="77777777" w:rsidR="00E21D22" w:rsidRPr="00AE5E60" w:rsidRDefault="00E21D22" w:rsidP="00E21D22">
            <w:pPr>
              <w:spacing w:after="0"/>
              <w:rPr>
                <w:lang w:val="es-AR"/>
              </w:rPr>
            </w:pPr>
            <w:r w:rsidRPr="00AE5E60">
              <w:rPr>
                <w:sz w:val="16"/>
                <w:lang w:val="es-AR"/>
              </w:rPr>
              <w:t>Origen: SQL Server en Docker</w:t>
            </w:r>
          </w:p>
        </w:tc>
        <w:tc>
          <w:tcPr>
            <w:tcW w:w="8087"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41F621D5" w14:textId="77777777" w:rsidR="00E21D22" w:rsidRPr="00AE5E60" w:rsidRDefault="00E21D22" w:rsidP="00E21D22">
            <w:pPr>
              <w:spacing w:after="0"/>
              <w:rPr>
                <w:lang w:val="es-AR"/>
              </w:rPr>
            </w:pPr>
            <w:r w:rsidRPr="00AE5E60">
              <w:rPr>
                <w:sz w:val="16"/>
                <w:lang w:val="es-AR"/>
              </w:rPr>
              <w:t>Modelo ERP simulado, con datos de los CSV entregados; conservar copia original para verificación.</w:t>
            </w:r>
          </w:p>
        </w:tc>
      </w:tr>
      <w:tr w:rsidR="00E21D22" w:rsidRPr="003D33CF" w14:paraId="73F7554A" w14:textId="77777777" w:rsidTr="00E21D22">
        <w:trPr>
          <w:trHeight w:val="184"/>
        </w:trPr>
        <w:tc>
          <w:tcPr>
            <w:tcW w:w="2078"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4002A6B4" w14:textId="77777777" w:rsidR="00E21D22" w:rsidRDefault="00E21D22" w:rsidP="00E21D22">
            <w:pPr>
              <w:spacing w:after="0"/>
            </w:pPr>
            <w:r>
              <w:rPr>
                <w:sz w:val="16"/>
              </w:rPr>
              <w:t>Fabric + Data Gateway</w:t>
            </w:r>
          </w:p>
        </w:tc>
        <w:tc>
          <w:tcPr>
            <w:tcW w:w="8087"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40C22AF8" w14:textId="77777777" w:rsidR="00E21D22" w:rsidRPr="00AE5E60" w:rsidRDefault="00E21D22" w:rsidP="00E21D22">
            <w:pPr>
              <w:spacing w:after="0"/>
              <w:rPr>
                <w:lang w:val="es-AR"/>
              </w:rPr>
            </w:pPr>
            <w:r w:rsidRPr="00AE5E60">
              <w:rPr>
                <w:sz w:val="16"/>
                <w:lang w:val="es-AR"/>
              </w:rPr>
              <w:t>Puente controlado desde Docker hacia un Lakehouse; trazabilidad de extracción por lote.</w:t>
            </w:r>
          </w:p>
        </w:tc>
      </w:tr>
      <w:tr w:rsidR="00E21D22" w:rsidRPr="003D33CF" w14:paraId="44C06AC8" w14:textId="77777777" w:rsidTr="00E21D22">
        <w:trPr>
          <w:trHeight w:val="184"/>
        </w:trPr>
        <w:tc>
          <w:tcPr>
            <w:tcW w:w="2078"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28FF8FB" w14:textId="77777777" w:rsidR="00E21D22" w:rsidRDefault="00E21D22" w:rsidP="00E21D22">
            <w:pPr>
              <w:spacing w:after="0"/>
            </w:pPr>
            <w:r>
              <w:rPr>
                <w:sz w:val="16"/>
              </w:rPr>
              <w:t>Bronze → Silver → Gold</w:t>
            </w:r>
          </w:p>
        </w:tc>
        <w:tc>
          <w:tcPr>
            <w:tcW w:w="8087"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184FB431" w14:textId="77777777" w:rsidR="00E21D22" w:rsidRPr="00AE5E60" w:rsidRDefault="00E21D22" w:rsidP="00E21D22">
            <w:pPr>
              <w:spacing w:after="0"/>
              <w:rPr>
                <w:lang w:val="es-AR"/>
              </w:rPr>
            </w:pPr>
            <w:r w:rsidRPr="00AE5E60">
              <w:rPr>
                <w:sz w:val="16"/>
                <w:lang w:val="es-AR"/>
              </w:rPr>
              <w:t>Bronze fiel a origen; Silver valida reglas y claves; Gold publica hechos, dimensiones y FX.</w:t>
            </w:r>
          </w:p>
        </w:tc>
      </w:tr>
      <w:tr w:rsidR="00E21D22" w:rsidRPr="003D33CF" w14:paraId="4A8113D2" w14:textId="77777777" w:rsidTr="00E21D22">
        <w:trPr>
          <w:trHeight w:val="198"/>
        </w:trPr>
        <w:tc>
          <w:tcPr>
            <w:tcW w:w="2078"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24CD503A" w14:textId="77777777" w:rsidR="00E21D22" w:rsidRDefault="00E21D22" w:rsidP="00E21D22">
            <w:pPr>
              <w:spacing w:after="0"/>
            </w:pPr>
            <w:r>
              <w:rPr>
                <w:sz w:val="16"/>
              </w:rPr>
              <w:t>Dos pipelines</w:t>
            </w:r>
          </w:p>
        </w:tc>
        <w:tc>
          <w:tcPr>
            <w:tcW w:w="8087"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738B852D" w14:textId="77777777" w:rsidR="00E21D22" w:rsidRPr="00AE5E60" w:rsidRDefault="00E21D22" w:rsidP="00E21D22">
            <w:pPr>
              <w:spacing w:after="0"/>
              <w:rPr>
                <w:lang w:val="es-AR"/>
              </w:rPr>
            </w:pPr>
            <w:r w:rsidRPr="00AE5E60">
              <w:rPr>
                <w:sz w:val="16"/>
                <w:lang w:val="es-AR"/>
              </w:rPr>
              <w:t>Backfill de 2024–2025 independiente de los lotes mensuales; evita reingestas completas.</w:t>
            </w:r>
          </w:p>
        </w:tc>
      </w:tr>
      <w:tr w:rsidR="00E21D22" w:rsidRPr="003D33CF" w14:paraId="480D8CE9" w14:textId="77777777" w:rsidTr="00E21D22">
        <w:trPr>
          <w:trHeight w:val="169"/>
        </w:trPr>
        <w:tc>
          <w:tcPr>
            <w:tcW w:w="2078"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54E23E86" w14:textId="77777777" w:rsidR="00E21D22" w:rsidRDefault="00E21D22" w:rsidP="00E21D22">
            <w:pPr>
              <w:spacing w:after="0"/>
            </w:pPr>
            <w:r>
              <w:rPr>
                <w:sz w:val="16"/>
              </w:rPr>
              <w:t>Delta + MERGE</w:t>
            </w:r>
          </w:p>
        </w:tc>
        <w:tc>
          <w:tcPr>
            <w:tcW w:w="8087"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06856F5A" w14:textId="77777777" w:rsidR="00E21D22" w:rsidRPr="00AE5E60" w:rsidRDefault="00E21D22" w:rsidP="00E21D22">
            <w:pPr>
              <w:spacing w:after="0"/>
              <w:rPr>
                <w:lang w:val="es-AR"/>
              </w:rPr>
            </w:pPr>
            <w:r w:rsidRPr="00AE5E60">
              <w:rPr>
                <w:sz w:val="16"/>
                <w:lang w:val="es-AR"/>
              </w:rPr>
              <w:t>Persistencia idempotente por claves de negocio, sin asumir unicidad técnica de ERP_RowID.</w:t>
            </w:r>
          </w:p>
        </w:tc>
      </w:tr>
    </w:tbl>
    <w:p w14:paraId="7583875D" w14:textId="77777777" w:rsidR="00AE5E60" w:rsidRDefault="00AE5E60">
      <w:pPr>
        <w:spacing w:after="140"/>
        <w:rPr>
          <w:color w:val="087E83"/>
          <w:sz w:val="26"/>
          <w:lang w:val="es-AR"/>
        </w:rPr>
      </w:pPr>
    </w:p>
    <w:p w14:paraId="07241E9A" w14:textId="77777777" w:rsidR="00AE5E60" w:rsidRPr="00AE5E60" w:rsidRDefault="00AE5E60">
      <w:pPr>
        <w:spacing w:after="140"/>
        <w:rPr>
          <w:lang w:val="es-AR"/>
        </w:rPr>
      </w:pPr>
    </w:p>
    <w:p w14:paraId="02A011CF" w14:textId="77777777" w:rsidR="00205C07" w:rsidRPr="00AE5E60" w:rsidRDefault="00000000">
      <w:pPr>
        <w:pStyle w:val="ITSmall"/>
        <w:spacing w:after="160"/>
        <w:rPr>
          <w:lang w:val="es-AR"/>
        </w:rPr>
      </w:pPr>
      <w:r w:rsidRPr="00AE5E60">
        <w:rPr>
          <w:lang w:val="es-AR"/>
        </w:rPr>
        <w:t>IT4W Challenge  |  Octubre de 2026  |  Versión de trabajo — completar evidencias antes del envío</w:t>
      </w:r>
    </w:p>
    <w:tbl>
      <w:tblPr>
        <w:tblW w:w="0" w:type="auto"/>
        <w:tblLook w:val="04A0" w:firstRow="1" w:lastRow="0" w:firstColumn="1" w:lastColumn="0" w:noHBand="0" w:noVBand="1"/>
      </w:tblPr>
      <w:tblGrid>
        <w:gridCol w:w="10282"/>
      </w:tblGrid>
      <w:tr w:rsidR="00205C07" w:rsidRPr="003D33CF" w14:paraId="601A8BF9" w14:textId="77777777">
        <w:tc>
          <w:tcPr>
            <w:tcW w:w="10282" w:type="dxa"/>
            <w:tcBorders>
              <w:top w:val="single" w:sz="5" w:space="0" w:color="C7D7E6"/>
              <w:left w:val="single" w:sz="5" w:space="0" w:color="C7D7E6"/>
              <w:bottom w:val="single" w:sz="5" w:space="0" w:color="C7D7E6"/>
              <w:right w:val="single" w:sz="5" w:space="0" w:color="C7D7E6"/>
            </w:tcBorders>
            <w:shd w:val="clear" w:color="auto" w:fill="EFF5FA"/>
            <w:vAlign w:val="center"/>
          </w:tcPr>
          <w:p w14:paraId="51D7D531" w14:textId="77777777" w:rsidR="00205C07" w:rsidRPr="00AE5E60" w:rsidRDefault="00000000">
            <w:pPr>
              <w:spacing w:after="0"/>
              <w:rPr>
                <w:lang w:val="es-AR"/>
              </w:rPr>
            </w:pPr>
            <w:r w:rsidRPr="00AE5E60">
              <w:rPr>
                <w:sz w:val="16"/>
                <w:lang w:val="es-AR"/>
              </w:rPr>
              <w:t>ALCANCE  ·  Histórico 2024–2025 + lote enero 2026  ·  5 fuentes + FX  ·  Fabric Medallion</w:t>
            </w:r>
          </w:p>
        </w:tc>
      </w:tr>
    </w:tbl>
    <w:p w14:paraId="7578B1C3" w14:textId="77777777" w:rsidR="00205C07" w:rsidRPr="00AE5E60" w:rsidRDefault="00205C07">
      <w:pPr>
        <w:spacing w:after="0"/>
        <w:rPr>
          <w:lang w:val="es-AR"/>
        </w:rPr>
      </w:pPr>
    </w:p>
    <w:p w14:paraId="32486BAB" w14:textId="77777777" w:rsidR="00205C07" w:rsidRPr="00AE5E60" w:rsidRDefault="00000000">
      <w:pPr>
        <w:pStyle w:val="ITHeading"/>
        <w:rPr>
          <w:lang w:val="es-AR"/>
        </w:rPr>
      </w:pPr>
      <w:r w:rsidRPr="00AE5E60">
        <w:rPr>
          <w:lang w:val="es-AR"/>
        </w:rPr>
        <w:t>01  Contexto, alcance y decisiones</w:t>
      </w:r>
    </w:p>
    <w:p w14:paraId="1F575345" w14:textId="77777777" w:rsidR="00205C07" w:rsidRPr="00AE5E60" w:rsidRDefault="00000000">
      <w:pPr>
        <w:rPr>
          <w:lang w:val="es-AR"/>
        </w:rPr>
      </w:pPr>
      <w:r w:rsidRPr="00AE5E60">
        <w:rPr>
          <w:lang w:val="es-AR"/>
        </w:rPr>
        <w:t>Se construye una base analítica confiable para Nexo Retail, con ventas, devoluciones, precios, costos y objetivos; cálculo en USD y moneda de cada tienda (MXN, BRL, EUR), trazabilidad de errores y reproceso seguro. La solución reproduce las exportaciones del challenge en un SQL Server dentro de Docker, preservando el contenido de los CSV originales. Este origen simulado aumenta el realismo sin modificar las reglas del negocio.</w:t>
      </w:r>
    </w:p>
    <w:p w14:paraId="78712E80" w14:textId="77777777" w:rsidR="00205C07" w:rsidRPr="00AE5E60" w:rsidRDefault="00205C07">
      <w:pPr>
        <w:spacing w:after="0"/>
        <w:rPr>
          <w:lang w:val="es-AR"/>
        </w:rPr>
      </w:pPr>
    </w:p>
    <w:p w14:paraId="2911D87E" w14:textId="77777777" w:rsidR="00205C07" w:rsidRDefault="00000000">
      <w:pPr>
        <w:pStyle w:val="ITHeading"/>
      </w:pPr>
      <w:r>
        <w:t>02  Respuesta Parte 1 · Ingesta y procesamiento</w:t>
      </w:r>
    </w:p>
    <w:tbl>
      <w:tblPr>
        <w:tblW w:w="9355" w:type="dxa"/>
        <w:tblLayout w:type="fixed"/>
        <w:tblLook w:val="04A0" w:firstRow="1" w:lastRow="0" w:firstColumn="1" w:lastColumn="0" w:noHBand="0" w:noVBand="1"/>
      </w:tblPr>
      <w:tblGrid>
        <w:gridCol w:w="2155"/>
        <w:gridCol w:w="7200"/>
      </w:tblGrid>
      <w:tr w:rsidR="00205C07" w14:paraId="74F84210" w14:textId="77777777" w:rsidTr="00AE5E60">
        <w:trPr>
          <w:trHeight w:val="195"/>
        </w:trPr>
        <w:tc>
          <w:tcPr>
            <w:tcW w:w="2155" w:type="dxa"/>
            <w:shd w:val="clear" w:color="auto" w:fill="14223B"/>
            <w:tcMar>
              <w:top w:w="72" w:type="dxa"/>
              <w:left w:w="85" w:type="dxa"/>
              <w:bottom w:w="72" w:type="dxa"/>
              <w:right w:w="85" w:type="dxa"/>
            </w:tcMar>
            <w:vAlign w:val="center"/>
          </w:tcPr>
          <w:p w14:paraId="2CAB1425" w14:textId="77777777" w:rsidR="00205C07" w:rsidRDefault="00000000">
            <w:pPr>
              <w:spacing w:after="0"/>
            </w:pPr>
            <w:r>
              <w:rPr>
                <w:b/>
                <w:color w:val="FFFFFF"/>
                <w:sz w:val="16"/>
              </w:rPr>
              <w:t>Entrada</w:t>
            </w:r>
          </w:p>
        </w:tc>
        <w:tc>
          <w:tcPr>
            <w:tcW w:w="7200" w:type="dxa"/>
            <w:shd w:val="clear" w:color="auto" w:fill="14223B"/>
            <w:tcMar>
              <w:top w:w="72" w:type="dxa"/>
              <w:left w:w="85" w:type="dxa"/>
              <w:bottom w:w="72" w:type="dxa"/>
              <w:right w:w="85" w:type="dxa"/>
            </w:tcMar>
            <w:vAlign w:val="center"/>
          </w:tcPr>
          <w:p w14:paraId="3A309606" w14:textId="77777777" w:rsidR="00205C07" w:rsidRDefault="00000000">
            <w:pPr>
              <w:spacing w:after="0"/>
            </w:pPr>
            <w:r>
              <w:rPr>
                <w:b/>
                <w:color w:val="FFFFFF"/>
                <w:sz w:val="16"/>
              </w:rPr>
              <w:t>Tratamiento diseñado</w:t>
            </w:r>
          </w:p>
        </w:tc>
      </w:tr>
      <w:tr w:rsidR="00205C07" w:rsidRPr="003D33CF" w14:paraId="1BB244BA" w14:textId="77777777" w:rsidTr="00AE5E60">
        <w:trPr>
          <w:trHeight w:val="178"/>
        </w:trPr>
        <w:tc>
          <w:tcPr>
            <w:tcW w:w="2155"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30B5080" w14:textId="77777777" w:rsidR="00205C07" w:rsidRDefault="00000000">
            <w:pPr>
              <w:spacing w:after="0"/>
            </w:pPr>
            <w:r>
              <w:rPr>
                <w:sz w:val="16"/>
              </w:rPr>
              <w:t>Ventas y devoluciones</w:t>
            </w:r>
          </w:p>
        </w:tc>
        <w:tc>
          <w:tcPr>
            <w:tcW w:w="7200"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141C45E6" w14:textId="77777777" w:rsidR="00205C07" w:rsidRPr="00AE5E60" w:rsidRDefault="00000000">
            <w:pPr>
              <w:spacing w:after="0"/>
              <w:rPr>
                <w:lang w:val="es-AR"/>
              </w:rPr>
            </w:pPr>
            <w:r w:rsidRPr="00AE5E60">
              <w:rPr>
                <w:sz w:val="16"/>
                <w:lang w:val="es-AR"/>
              </w:rPr>
              <w:t>Extraer desde SQL, landing Parquet y contratos Bronze; USD de origen, tasa del mes de movimiento.</w:t>
            </w:r>
          </w:p>
        </w:tc>
      </w:tr>
      <w:tr w:rsidR="00205C07" w:rsidRPr="003D33CF" w14:paraId="78BAFF46" w14:textId="77777777" w:rsidTr="00AE5E60">
        <w:trPr>
          <w:trHeight w:val="186"/>
        </w:trPr>
        <w:tc>
          <w:tcPr>
            <w:tcW w:w="2155"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21034194" w14:textId="77777777" w:rsidR="00205C07" w:rsidRDefault="00000000">
            <w:pPr>
              <w:spacing w:after="0"/>
            </w:pPr>
            <w:r>
              <w:rPr>
                <w:sz w:val="16"/>
              </w:rPr>
              <w:t>Precios, costos y objetivos</w:t>
            </w:r>
          </w:p>
        </w:tc>
        <w:tc>
          <w:tcPr>
            <w:tcW w:w="7200"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14F7927A" w14:textId="77777777" w:rsidR="00205C07" w:rsidRPr="00AE5E60" w:rsidRDefault="00000000">
            <w:pPr>
              <w:spacing w:after="0"/>
              <w:rPr>
                <w:lang w:val="es-AR"/>
              </w:rPr>
            </w:pPr>
            <w:r w:rsidRPr="00AE5E60">
              <w:rPr>
                <w:sz w:val="16"/>
                <w:lang w:val="es-AR"/>
              </w:rPr>
              <w:t>Claves: producto + vigencia, producto + período y tienda + período; respetar versiones/meses.</w:t>
            </w:r>
          </w:p>
        </w:tc>
      </w:tr>
      <w:tr w:rsidR="00205C07" w:rsidRPr="003D33CF" w14:paraId="069356D1" w14:textId="77777777" w:rsidTr="00AE5E60">
        <w:trPr>
          <w:trHeight w:val="186"/>
        </w:trPr>
        <w:tc>
          <w:tcPr>
            <w:tcW w:w="2155"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38E02009" w14:textId="77777777" w:rsidR="00205C07" w:rsidRDefault="00000000">
            <w:pPr>
              <w:spacing w:after="0"/>
            </w:pPr>
            <w:r>
              <w:rPr>
                <w:sz w:val="16"/>
              </w:rPr>
              <w:t>Enero 2026</w:t>
            </w:r>
          </w:p>
        </w:tc>
        <w:tc>
          <w:tcPr>
            <w:tcW w:w="7200"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0939B9A3" w14:textId="77777777" w:rsidR="00205C07" w:rsidRPr="00AE5E60" w:rsidRDefault="00000000">
            <w:pPr>
              <w:spacing w:after="0"/>
              <w:rPr>
                <w:lang w:val="es-AR"/>
              </w:rPr>
            </w:pPr>
            <w:r w:rsidRPr="00AE5E60">
              <w:rPr>
                <w:sz w:val="16"/>
                <w:lang w:val="es-AR"/>
              </w:rPr>
              <w:t>Filtrar por período y run_id, ejecutar pipeline mensual; Objetivos es opcional si no llegó archivo.</w:t>
            </w:r>
          </w:p>
        </w:tc>
      </w:tr>
      <w:tr w:rsidR="00205C07" w:rsidRPr="003D33CF" w14:paraId="305BE31A" w14:textId="77777777" w:rsidTr="00AE5E60">
        <w:trPr>
          <w:trHeight w:val="178"/>
        </w:trPr>
        <w:tc>
          <w:tcPr>
            <w:tcW w:w="2155"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5D765708" w14:textId="77777777" w:rsidR="00205C07" w:rsidRDefault="00000000">
            <w:pPr>
              <w:spacing w:after="0"/>
            </w:pPr>
            <w:r>
              <w:rPr>
                <w:sz w:val="16"/>
              </w:rPr>
              <w:t>API Frankfurter</w:t>
            </w:r>
          </w:p>
        </w:tc>
        <w:tc>
          <w:tcPr>
            <w:tcW w:w="7200"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1FF5B635" w14:textId="77777777" w:rsidR="00205C07" w:rsidRPr="00AE5E60" w:rsidRDefault="00000000">
            <w:pPr>
              <w:spacing w:after="0"/>
              <w:rPr>
                <w:lang w:val="es-AR"/>
              </w:rPr>
            </w:pPr>
            <w:r w:rsidRPr="00AE5E60">
              <w:rPr>
                <w:sz w:val="16"/>
                <w:lang w:val="es-AR"/>
              </w:rPr>
              <w:t>Cotización USD→MXN/BRL/EUR del último día disponible del mes, guardada en gold.fx_mensual.</w:t>
            </w:r>
          </w:p>
        </w:tc>
      </w:tr>
    </w:tbl>
    <w:p w14:paraId="502419BC" w14:textId="77777777" w:rsidR="00205C07" w:rsidRPr="00AE5E60" w:rsidRDefault="00205C07">
      <w:pPr>
        <w:spacing w:after="0"/>
        <w:rPr>
          <w:lang w:val="es-AR"/>
        </w:rPr>
      </w:pPr>
    </w:p>
    <w:p w14:paraId="13FC3178" w14:textId="77777777" w:rsidR="00205C07" w:rsidRPr="00AE5E60" w:rsidRDefault="00000000">
      <w:pPr>
        <w:rPr>
          <w:lang w:val="es-AR"/>
        </w:rPr>
      </w:pPr>
      <w:r w:rsidRPr="00AE5E60">
        <w:rPr>
          <w:sz w:val="16"/>
          <w:lang w:val="es-AR"/>
        </w:rPr>
        <w:t>Criterio de conversión: Venta_Bruta_USD = Cantidad × Precio_Unitario. La venta local multiplica por Tasa_USD_Local del mes; las devoluciones usan su propia fecha. El país sale de la ubicación de la tienda, nunca del cliente. Precio_Unitario es importe cobrado, distinto del precio de lista.</w:t>
      </w:r>
    </w:p>
    <w:p w14:paraId="4D0278D9" w14:textId="77777777" w:rsidR="00205C07" w:rsidRPr="00AE5E60" w:rsidRDefault="00000000">
      <w:pPr>
        <w:rPr>
          <w:lang w:val="es-AR"/>
        </w:rPr>
      </w:pPr>
      <w:r w:rsidRPr="00AE5E60">
        <w:rPr>
          <w:lang w:val="es-AR"/>
        </w:rPr>
        <w:br w:type="page"/>
      </w:r>
    </w:p>
    <w:p w14:paraId="72E2F5C5" w14:textId="77777777" w:rsidR="00205C07" w:rsidRPr="00AE5E60" w:rsidRDefault="00000000">
      <w:pPr>
        <w:pStyle w:val="ITHeading"/>
        <w:rPr>
          <w:lang w:val="es-AR"/>
        </w:rPr>
      </w:pPr>
      <w:r w:rsidRPr="00AE5E60">
        <w:rPr>
          <w:lang w:val="es-AR"/>
        </w:rPr>
        <w:lastRenderedPageBreak/>
        <w:t>03  Calidad, registros observados e idempotencia</w:t>
      </w:r>
    </w:p>
    <w:p w14:paraId="07FB77B6" w14:textId="77777777" w:rsidR="00205C07" w:rsidRPr="00AE5E60" w:rsidRDefault="00000000">
      <w:pPr>
        <w:rPr>
          <w:lang w:val="es-AR"/>
        </w:rPr>
      </w:pPr>
      <w:r w:rsidRPr="00AE5E60">
        <w:rPr>
          <w:lang w:val="es-AR"/>
        </w:rPr>
        <w:t>Se conservan los datos de origen. Cada fila que incumple reglas queda trazada junto con su motivo; las filas válidas alimentan Silver. La expresión funcional “registros observados” evita ocultar datos problemáticos y distingue el circuito de revisión de la ingesta operativa.</w:t>
      </w:r>
    </w:p>
    <w:tbl>
      <w:tblPr>
        <w:tblW w:w="7920" w:type="dxa"/>
        <w:jc w:val="center"/>
        <w:tblLayout w:type="fixed"/>
        <w:tblLook w:val="04A0" w:firstRow="1" w:lastRow="0" w:firstColumn="1" w:lastColumn="0" w:noHBand="0" w:noVBand="1"/>
      </w:tblPr>
      <w:tblGrid>
        <w:gridCol w:w="2599"/>
        <w:gridCol w:w="5321"/>
      </w:tblGrid>
      <w:tr w:rsidR="00205C07" w14:paraId="1561A07A" w14:textId="77777777" w:rsidTr="00E21D22">
        <w:trPr>
          <w:trHeight w:val="178"/>
          <w:jc w:val="center"/>
        </w:trPr>
        <w:tc>
          <w:tcPr>
            <w:tcW w:w="2599" w:type="dxa"/>
            <w:shd w:val="clear" w:color="auto" w:fill="14223B"/>
            <w:tcMar>
              <w:top w:w="72" w:type="dxa"/>
              <w:left w:w="85" w:type="dxa"/>
              <w:bottom w:w="72" w:type="dxa"/>
              <w:right w:w="85" w:type="dxa"/>
            </w:tcMar>
            <w:vAlign w:val="center"/>
          </w:tcPr>
          <w:p w14:paraId="552C3F62" w14:textId="77777777" w:rsidR="00205C07" w:rsidRDefault="00000000">
            <w:pPr>
              <w:spacing w:after="0"/>
            </w:pPr>
            <w:r>
              <w:rPr>
                <w:b/>
                <w:color w:val="FFFFFF"/>
                <w:sz w:val="16"/>
              </w:rPr>
              <w:t>Regla/observación</w:t>
            </w:r>
          </w:p>
        </w:tc>
        <w:tc>
          <w:tcPr>
            <w:tcW w:w="5321" w:type="dxa"/>
            <w:shd w:val="clear" w:color="auto" w:fill="14223B"/>
            <w:tcMar>
              <w:top w:w="72" w:type="dxa"/>
              <w:left w:w="85" w:type="dxa"/>
              <w:bottom w:w="72" w:type="dxa"/>
              <w:right w:w="85" w:type="dxa"/>
            </w:tcMar>
            <w:vAlign w:val="center"/>
          </w:tcPr>
          <w:p w14:paraId="1D886A45" w14:textId="77777777" w:rsidR="00205C07" w:rsidRDefault="00000000">
            <w:pPr>
              <w:spacing w:after="0"/>
            </w:pPr>
            <w:r>
              <w:rPr>
                <w:b/>
                <w:color w:val="FFFFFF"/>
                <w:sz w:val="16"/>
              </w:rPr>
              <w:t>Decisión documentada</w:t>
            </w:r>
          </w:p>
        </w:tc>
      </w:tr>
      <w:tr w:rsidR="00205C07" w:rsidRPr="003D33CF" w14:paraId="3EBDE840" w14:textId="77777777" w:rsidTr="00E21D22">
        <w:trPr>
          <w:trHeight w:val="178"/>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5D561FC4" w14:textId="77777777" w:rsidR="00205C07" w:rsidRDefault="00000000">
            <w:pPr>
              <w:spacing w:after="0"/>
            </w:pPr>
            <w:r>
              <w:rPr>
                <w:sz w:val="16"/>
              </w:rPr>
              <w:t>Claves nulas o duplicadas</w:t>
            </w:r>
          </w:p>
        </w:tc>
        <w:tc>
          <w:tcPr>
            <w:tcW w:w="5321"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4C0D8BED" w14:textId="77777777" w:rsidR="00205C07" w:rsidRPr="00AE5E60" w:rsidRDefault="00000000">
            <w:pPr>
              <w:spacing w:after="0"/>
              <w:rPr>
                <w:lang w:val="es-AR"/>
              </w:rPr>
            </w:pPr>
            <w:r w:rsidRPr="00AE5E60">
              <w:rPr>
                <w:sz w:val="16"/>
                <w:lang w:val="es-AR"/>
              </w:rPr>
              <w:t>ID_Venta / ID_Devolución y claves compuestas; no elegir un ganador arbitrario.</w:t>
            </w:r>
          </w:p>
        </w:tc>
      </w:tr>
      <w:tr w:rsidR="00205C07" w:rsidRPr="003D33CF" w14:paraId="30515AE8" w14:textId="77777777" w:rsidTr="00E21D22">
        <w:trPr>
          <w:trHeight w:val="178"/>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1683C156" w14:textId="77777777" w:rsidR="00205C07" w:rsidRDefault="00000000">
            <w:pPr>
              <w:spacing w:after="0"/>
            </w:pPr>
            <w:r>
              <w:rPr>
                <w:sz w:val="16"/>
              </w:rPr>
              <w:t>Fechas y período inválidos</w:t>
            </w:r>
          </w:p>
        </w:tc>
        <w:tc>
          <w:tcPr>
            <w:tcW w:w="5321"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579CAACD" w14:textId="77777777" w:rsidR="00205C07" w:rsidRPr="00AE5E60" w:rsidRDefault="00000000">
            <w:pPr>
              <w:spacing w:after="0"/>
              <w:rPr>
                <w:lang w:val="es-AR"/>
              </w:rPr>
            </w:pPr>
            <w:r w:rsidRPr="00AE5E60">
              <w:rPr>
                <w:sz w:val="16"/>
                <w:lang w:val="es-AR"/>
              </w:rPr>
              <w:t>Rechazar en Silver con código explícito y guardar payload de origen.</w:t>
            </w:r>
          </w:p>
        </w:tc>
      </w:tr>
      <w:tr w:rsidR="00205C07" w:rsidRPr="003D33CF" w14:paraId="31CDF302" w14:textId="77777777" w:rsidTr="00E21D22">
        <w:trPr>
          <w:trHeight w:val="178"/>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3C19475B" w14:textId="77777777" w:rsidR="00205C07" w:rsidRDefault="00000000">
            <w:pPr>
              <w:spacing w:after="0"/>
            </w:pPr>
            <w:r>
              <w:rPr>
                <w:sz w:val="16"/>
              </w:rPr>
              <w:t>Cantidad ≤ 0 / precio negativo</w:t>
            </w:r>
          </w:p>
        </w:tc>
        <w:tc>
          <w:tcPr>
            <w:tcW w:w="5321"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30D33611" w14:textId="77777777" w:rsidR="00205C07" w:rsidRPr="00AE5E60" w:rsidRDefault="00000000">
            <w:pPr>
              <w:spacing w:after="0"/>
              <w:rPr>
                <w:lang w:val="es-AR"/>
              </w:rPr>
            </w:pPr>
            <w:r w:rsidRPr="00AE5E60">
              <w:rPr>
                <w:sz w:val="16"/>
                <w:lang w:val="es-AR"/>
              </w:rPr>
              <w:t>No incorporar a Gold; registrar regla y fuente afectada.</w:t>
            </w:r>
          </w:p>
        </w:tc>
      </w:tr>
      <w:tr w:rsidR="00205C07" w:rsidRPr="003D33CF" w14:paraId="54F751A6" w14:textId="77777777" w:rsidTr="00E21D22">
        <w:trPr>
          <w:trHeight w:val="192"/>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44F05C7B" w14:textId="77777777" w:rsidR="00205C07" w:rsidRDefault="00000000">
            <w:pPr>
              <w:spacing w:after="0"/>
            </w:pPr>
            <w:r>
              <w:rPr>
                <w:sz w:val="16"/>
              </w:rPr>
              <w:t>País de tienda desconocido</w:t>
            </w:r>
          </w:p>
        </w:tc>
        <w:tc>
          <w:tcPr>
            <w:tcW w:w="5321"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5418C2D5" w14:textId="77777777" w:rsidR="00205C07" w:rsidRPr="00AE5E60" w:rsidRDefault="00000000">
            <w:pPr>
              <w:spacing w:after="0"/>
              <w:rPr>
                <w:lang w:val="es-AR"/>
              </w:rPr>
            </w:pPr>
            <w:r w:rsidRPr="00AE5E60">
              <w:rPr>
                <w:sz w:val="16"/>
                <w:lang w:val="es-AR"/>
              </w:rPr>
              <w:t>No inferir moneda; conservar evidencia para revisión.</w:t>
            </w:r>
          </w:p>
        </w:tc>
      </w:tr>
      <w:tr w:rsidR="00205C07" w:rsidRPr="003D33CF" w14:paraId="0EE24994" w14:textId="77777777" w:rsidTr="00E21D22">
        <w:trPr>
          <w:trHeight w:val="178"/>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2F043934" w14:textId="77777777" w:rsidR="00205C07" w:rsidRDefault="00000000">
            <w:pPr>
              <w:spacing w:after="0"/>
            </w:pPr>
            <w:r>
              <w:rPr>
                <w:sz w:val="16"/>
              </w:rPr>
              <w:t>Costo mensual ausente</w:t>
            </w:r>
          </w:p>
        </w:tc>
        <w:tc>
          <w:tcPr>
            <w:tcW w:w="5321"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501348F2" w14:textId="77777777" w:rsidR="00205C07" w:rsidRPr="00AE5E60" w:rsidRDefault="00000000">
            <w:pPr>
              <w:spacing w:after="0"/>
              <w:rPr>
                <w:lang w:val="es-AR"/>
              </w:rPr>
            </w:pPr>
            <w:r w:rsidRPr="00AE5E60">
              <w:rPr>
                <w:sz w:val="16"/>
                <w:lang w:val="es-AR"/>
              </w:rPr>
              <w:t>Conservar venta en Gold con costo y margen NULL; reportar cobertura.</w:t>
            </w:r>
          </w:p>
        </w:tc>
      </w:tr>
      <w:tr w:rsidR="00205C07" w:rsidRPr="003D33CF" w14:paraId="195E5AB7" w14:textId="77777777" w:rsidTr="00E21D22">
        <w:trPr>
          <w:trHeight w:val="178"/>
          <w:jc w:val="center"/>
        </w:trPr>
        <w:tc>
          <w:tcPr>
            <w:tcW w:w="2599"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1A2D6831" w14:textId="77777777" w:rsidR="00205C07" w:rsidRDefault="00000000">
            <w:pPr>
              <w:spacing w:after="0"/>
            </w:pPr>
            <w:r>
              <w:rPr>
                <w:sz w:val="16"/>
              </w:rPr>
              <w:t>Objetivos sin país verificable</w:t>
            </w:r>
          </w:p>
        </w:tc>
        <w:tc>
          <w:tcPr>
            <w:tcW w:w="5321"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5B02E6D5" w14:textId="77777777" w:rsidR="00205C07" w:rsidRPr="00AE5E60" w:rsidRDefault="00000000">
            <w:pPr>
              <w:spacing w:after="0"/>
              <w:rPr>
                <w:lang w:val="es-AR"/>
              </w:rPr>
            </w:pPr>
            <w:r w:rsidRPr="00AE5E60">
              <w:rPr>
                <w:sz w:val="16"/>
                <w:lang w:val="es-AR"/>
              </w:rPr>
              <w:t>Preservar objetivo USD; dejar conversión local pendiente con incidencia.</w:t>
            </w:r>
          </w:p>
        </w:tc>
      </w:tr>
    </w:tbl>
    <w:p w14:paraId="53CAD015" w14:textId="77777777" w:rsidR="00205C07" w:rsidRPr="00AE5E60" w:rsidRDefault="00205C07">
      <w:pPr>
        <w:spacing w:after="0"/>
        <w:rPr>
          <w:lang w:val="es-AR"/>
        </w:rPr>
      </w:pPr>
    </w:p>
    <w:p w14:paraId="269D98E9" w14:textId="77777777" w:rsidR="00205C07" w:rsidRPr="00AE5E60" w:rsidRDefault="00000000">
      <w:pPr>
        <w:pStyle w:val="ITSmall"/>
        <w:spacing w:after="100"/>
        <w:rPr>
          <w:lang w:val="es-AR"/>
        </w:rPr>
      </w:pPr>
      <w:r w:rsidRPr="00AE5E60">
        <w:rPr>
          <w:lang w:val="es-AR"/>
        </w:rPr>
        <w:t>Nomenclatura física por reconciliar: el inicializador usa quarantine.rejected_rows; el Silver actual usa dq_exceptions.records. Antes de publicar, unificar el contrato/tabla de destino y actualizar notebooks/diagrama. El diagrama refleja el destino consumido por Silver.</w:t>
      </w:r>
    </w:p>
    <w:p w14:paraId="06FFEFF9" w14:textId="77777777" w:rsidR="00205C07" w:rsidRPr="00AE5E60" w:rsidRDefault="00000000">
      <w:pPr>
        <w:pStyle w:val="ITHeading"/>
        <w:rPr>
          <w:lang w:val="es-AR"/>
        </w:rPr>
      </w:pPr>
      <w:r w:rsidRPr="00AE5E60">
        <w:rPr>
          <w:lang w:val="es-AR"/>
        </w:rPr>
        <w:t>04  Ejecución, evidencia operativa y pruebas</w:t>
      </w:r>
    </w:p>
    <w:p w14:paraId="23A5E851" w14:textId="5DF8626E" w:rsidR="00205C07" w:rsidRPr="00AE5E60" w:rsidRDefault="00E21D22">
      <w:pPr>
        <w:pStyle w:val="ITBullet"/>
        <w:rPr>
          <w:lang w:val="es-AR"/>
        </w:rPr>
      </w:pPr>
      <w:r w:rsidRPr="00AE5E60">
        <w:rPr>
          <w:b/>
          <w:lang w:val="es-AR"/>
        </w:rPr>
        <w:t xml:space="preserve">Idempotencia  </w:t>
      </w:r>
      <w:r w:rsidRPr="00AE5E60">
        <w:rPr>
          <w:lang w:val="es-AR"/>
        </w:rPr>
        <w:t>Histórico e incremental se identifican por batch_id/run_id; Bronze conserva trazabilidad y Silver/Gold usan MERGE por claves de negocio. Se comparan los recuentos en dos corridas.</w:t>
      </w:r>
    </w:p>
    <w:p w14:paraId="2ECE427E" w14:textId="77777777" w:rsidR="00205C07" w:rsidRPr="00AE5E60" w:rsidRDefault="00000000">
      <w:pPr>
        <w:pStyle w:val="ITBullet"/>
        <w:rPr>
          <w:lang w:val="es-AR"/>
        </w:rPr>
      </w:pPr>
      <w:r w:rsidRPr="00AE5E60">
        <w:rPr>
          <w:b/>
          <w:lang w:val="es-AR"/>
        </w:rPr>
        <w:t xml:space="preserve">Auditabilidad  </w:t>
      </w:r>
      <w:r w:rsidRPr="00AE5E60">
        <w:rPr>
          <w:lang w:val="es-AR"/>
        </w:rPr>
        <w:t>audit.ingestion_runs registra estados y recuentos por fuente; audit.batch_registry identifica lotes. Los datos observados y sus motivos se guardan en dq_exceptions.records.</w:t>
      </w:r>
    </w:p>
    <w:p w14:paraId="39D9B829" w14:textId="77777777" w:rsidR="00205C07" w:rsidRPr="00AE5E60" w:rsidRDefault="00000000">
      <w:pPr>
        <w:pStyle w:val="ITBullet"/>
        <w:rPr>
          <w:lang w:val="es-AR"/>
        </w:rPr>
      </w:pPr>
      <w:r w:rsidRPr="00AE5E60">
        <w:rPr>
          <w:b/>
          <w:lang w:val="es-AR"/>
        </w:rPr>
        <w:t xml:space="preserve">Alertas  </w:t>
      </w:r>
      <w:r w:rsidRPr="00AE5E60">
        <w:rPr>
          <w:lang w:val="es-AR"/>
        </w:rPr>
        <w:t>Fallas de pipeline, ausencia de FX o divergencias de cardinalidad se hacen visibles en la ejecución. Los notebooks emiten avisos de calidad; una notificación externa automática no se declara como implementada.</w:t>
      </w:r>
    </w:p>
    <w:p w14:paraId="707AD54F" w14:textId="77777777" w:rsidR="00205C07" w:rsidRPr="00AE5E60" w:rsidRDefault="00000000">
      <w:pPr>
        <w:pStyle w:val="ITBullet"/>
        <w:rPr>
          <w:lang w:val="es-AR"/>
        </w:rPr>
      </w:pPr>
      <w:r w:rsidRPr="00AE5E60">
        <w:rPr>
          <w:b/>
          <w:lang w:val="es-AR"/>
        </w:rPr>
        <w:t xml:space="preserve">Pruebas  </w:t>
      </w:r>
      <w:r w:rsidRPr="00AE5E60">
        <w:rPr>
          <w:lang w:val="es-AR"/>
        </w:rPr>
        <w:t>Validaciones integradas de contratos, claves, duplicados, cardinalidad de joins, tasas FX y conciliación Silver/Gold. Para acreditar la idempotencia se comparan los recuentos de dos corridas del mismo lote.</w:t>
      </w:r>
    </w:p>
    <w:p w14:paraId="26D9B010" w14:textId="77777777" w:rsidR="00205C07" w:rsidRDefault="00205C07">
      <w:pPr>
        <w:spacing w:after="0"/>
        <w:rPr>
          <w:lang w:val="es-AR"/>
        </w:rPr>
      </w:pPr>
    </w:p>
    <w:p w14:paraId="37DFF361" w14:textId="77777777" w:rsidR="009946DF" w:rsidRDefault="009946DF">
      <w:pPr>
        <w:pStyle w:val="ITHeading"/>
        <w:rPr>
          <w:lang w:val="es-AR"/>
        </w:rPr>
      </w:pPr>
    </w:p>
    <w:p w14:paraId="051D0806" w14:textId="77777777" w:rsidR="009946DF" w:rsidRDefault="009946DF">
      <w:pPr>
        <w:pStyle w:val="ITHeading"/>
        <w:rPr>
          <w:lang w:val="es-AR"/>
        </w:rPr>
      </w:pPr>
    </w:p>
    <w:p w14:paraId="5B9D1CF0" w14:textId="77777777" w:rsidR="009946DF" w:rsidRDefault="009946DF">
      <w:pPr>
        <w:pStyle w:val="ITHeading"/>
        <w:rPr>
          <w:lang w:val="es-AR"/>
        </w:rPr>
      </w:pPr>
    </w:p>
    <w:p w14:paraId="0E437FC6" w14:textId="77777777" w:rsidR="009946DF" w:rsidRDefault="009946DF">
      <w:pPr>
        <w:pStyle w:val="ITHeading"/>
        <w:rPr>
          <w:lang w:val="es-AR"/>
        </w:rPr>
      </w:pPr>
    </w:p>
    <w:p w14:paraId="0DA73296" w14:textId="77777777" w:rsidR="009946DF" w:rsidRDefault="009946DF">
      <w:pPr>
        <w:pStyle w:val="ITHeading"/>
        <w:rPr>
          <w:lang w:val="es-AR"/>
        </w:rPr>
      </w:pPr>
    </w:p>
    <w:p w14:paraId="23BE0EF4" w14:textId="77777777" w:rsidR="009946DF" w:rsidRDefault="009946DF">
      <w:pPr>
        <w:pStyle w:val="ITHeading"/>
        <w:rPr>
          <w:lang w:val="es-AR"/>
        </w:rPr>
      </w:pPr>
    </w:p>
    <w:p w14:paraId="1F0E1D87" w14:textId="77777777" w:rsidR="009946DF" w:rsidRDefault="009946DF">
      <w:pPr>
        <w:pStyle w:val="ITHeading"/>
        <w:rPr>
          <w:lang w:val="es-AR"/>
        </w:rPr>
      </w:pPr>
    </w:p>
    <w:p w14:paraId="4E80A618" w14:textId="77777777" w:rsidR="009946DF" w:rsidRDefault="009946DF">
      <w:pPr>
        <w:pStyle w:val="ITHeading"/>
        <w:rPr>
          <w:lang w:val="es-AR"/>
        </w:rPr>
      </w:pPr>
    </w:p>
    <w:p w14:paraId="58E87C00" w14:textId="77777777" w:rsidR="009946DF" w:rsidRDefault="009946DF">
      <w:pPr>
        <w:pStyle w:val="ITHeading"/>
        <w:rPr>
          <w:lang w:val="es-AR"/>
        </w:rPr>
      </w:pPr>
    </w:p>
    <w:p w14:paraId="4D067C12" w14:textId="77777777" w:rsidR="009946DF" w:rsidRDefault="009946DF">
      <w:pPr>
        <w:pStyle w:val="ITHeading"/>
        <w:rPr>
          <w:lang w:val="es-AR"/>
        </w:rPr>
      </w:pPr>
    </w:p>
    <w:p w14:paraId="06888EC7" w14:textId="77777777" w:rsidR="009946DF" w:rsidRDefault="009946DF">
      <w:pPr>
        <w:pStyle w:val="ITHeading"/>
        <w:rPr>
          <w:lang w:val="es-AR"/>
        </w:rPr>
      </w:pPr>
    </w:p>
    <w:p w14:paraId="2AD303FC" w14:textId="77777777" w:rsidR="009946DF" w:rsidRDefault="009946DF">
      <w:pPr>
        <w:pStyle w:val="ITHeading"/>
        <w:rPr>
          <w:lang w:val="es-AR"/>
        </w:rPr>
      </w:pPr>
    </w:p>
    <w:p w14:paraId="23F09FD0" w14:textId="77777777" w:rsidR="009946DF" w:rsidRDefault="009946DF">
      <w:pPr>
        <w:pStyle w:val="ITHeading"/>
        <w:rPr>
          <w:lang w:val="es-AR"/>
        </w:rPr>
      </w:pPr>
    </w:p>
    <w:p w14:paraId="7FB7F9A4" w14:textId="77777777" w:rsidR="009946DF" w:rsidRDefault="009946DF">
      <w:pPr>
        <w:pStyle w:val="ITHeading"/>
        <w:rPr>
          <w:lang w:val="es-AR"/>
        </w:rPr>
      </w:pPr>
    </w:p>
    <w:p w14:paraId="6B6983BB" w14:textId="77777777" w:rsidR="009946DF" w:rsidRDefault="009946DF">
      <w:pPr>
        <w:pStyle w:val="ITHeading"/>
        <w:rPr>
          <w:lang w:val="es-AR"/>
        </w:rPr>
      </w:pPr>
    </w:p>
    <w:p w14:paraId="2C843C32" w14:textId="4FF0FEBD" w:rsidR="00205C07" w:rsidRPr="00AE5E60" w:rsidRDefault="00000000">
      <w:pPr>
        <w:pStyle w:val="ITHeading"/>
        <w:rPr>
          <w:lang w:val="es-AR"/>
        </w:rPr>
      </w:pPr>
      <w:r w:rsidRPr="00AE5E60">
        <w:rPr>
          <w:lang w:val="es-AR"/>
        </w:rPr>
        <w:t>05  Parte 2 · Consultas de control y evidencia</w:t>
      </w:r>
    </w:p>
    <w:p w14:paraId="680622A7" w14:textId="77777777" w:rsidR="00205C07" w:rsidRPr="00AE5E60" w:rsidRDefault="00000000">
      <w:pPr>
        <w:rPr>
          <w:lang w:val="es-AR"/>
        </w:rPr>
      </w:pPr>
      <w:r w:rsidRPr="00AE5E60">
        <w:rPr>
          <w:lang w:val="es-AR"/>
        </w:rPr>
        <w:t>Los valores deben capturarse luego de cargar histórico + enero 2026 en Gold. La SQL ejecutable se entrega en IT4W_Consultas_Control.sql (Spark SQL). Aquí no se colocan cifras ilustrativas para evitar confundir supuestos con resultados medidos.</w:t>
      </w:r>
    </w:p>
    <w:p w14:paraId="614FD323" w14:textId="2A9FE6C3" w:rsidR="009946DF" w:rsidRDefault="009946DF">
      <w:pPr>
        <w:spacing w:after="0"/>
        <w:rPr>
          <w:lang w:val="es-AR"/>
        </w:rPr>
      </w:pPr>
      <w:r>
        <w:rPr>
          <w:lang w:val="es-AR"/>
        </w:rPr>
        <w:t xml:space="preserve"> Se encuentran en este link:</w:t>
      </w:r>
    </w:p>
    <w:p w14:paraId="66CEF8B1" w14:textId="77777777" w:rsidR="009946DF" w:rsidRDefault="009946DF">
      <w:pPr>
        <w:spacing w:after="0"/>
        <w:rPr>
          <w:lang w:val="es-AR"/>
        </w:rPr>
      </w:pPr>
    </w:p>
    <w:p w14:paraId="621EDDEB" w14:textId="54AE2CBE" w:rsidR="009946DF" w:rsidRDefault="009946DF">
      <w:pPr>
        <w:spacing w:after="0"/>
        <w:rPr>
          <w:lang w:val="es-AR"/>
        </w:rPr>
      </w:pPr>
      <w:hyperlink r:id="rId8" w:history="1">
        <w:r w:rsidRPr="009946DF">
          <w:rPr>
            <w:rStyle w:val="Hyperlink"/>
            <w:lang w:val="es-AR"/>
          </w:rPr>
          <w:t>https://github.com/makaco10/IT4W-Fabric-Challenge/blob/3ac806e23bb1f97f87800b78bc25e465c47b4973/fabric/NB_Consultas_Control.Notebook/notebook-content.sql</w:t>
        </w:r>
      </w:hyperlink>
    </w:p>
    <w:p w14:paraId="467C92B3" w14:textId="77777777" w:rsidR="009946DF" w:rsidRPr="009946DF" w:rsidRDefault="009946DF">
      <w:pPr>
        <w:spacing w:after="0"/>
        <w:rPr>
          <w:lang w:val="es-AR"/>
        </w:rPr>
      </w:pPr>
    </w:p>
    <w:p w14:paraId="7E582E3E" w14:textId="1799468B" w:rsidR="009946DF" w:rsidRDefault="009946DF">
      <w:pPr>
        <w:spacing w:after="0"/>
        <w:rPr>
          <w:lang w:val="es-AR"/>
        </w:rPr>
      </w:pPr>
      <w:r w:rsidRPr="009946DF">
        <w:rPr>
          <w:noProof/>
          <w:lang w:val="es-AR"/>
        </w:rPr>
        <w:drawing>
          <wp:inline distT="0" distB="0" distL="0" distR="0" wp14:anchorId="6E33F96B" wp14:editId="76BD4DF5">
            <wp:extent cx="6529070" cy="2163445"/>
            <wp:effectExtent l="0" t="0" r="5080" b="8255"/>
            <wp:docPr id="17630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9663" name=""/>
                    <pic:cNvPicPr/>
                  </pic:nvPicPr>
                  <pic:blipFill>
                    <a:blip r:embed="rId9"/>
                    <a:stretch>
                      <a:fillRect/>
                    </a:stretch>
                  </pic:blipFill>
                  <pic:spPr>
                    <a:xfrm>
                      <a:off x="0" y="0"/>
                      <a:ext cx="6529070" cy="2163445"/>
                    </a:xfrm>
                    <a:prstGeom prst="rect">
                      <a:avLst/>
                    </a:prstGeom>
                  </pic:spPr>
                </pic:pic>
              </a:graphicData>
            </a:graphic>
          </wp:inline>
        </w:drawing>
      </w:r>
    </w:p>
    <w:p w14:paraId="4E04E4C6" w14:textId="4D39A1F7" w:rsidR="009946DF" w:rsidRDefault="009946DF">
      <w:pPr>
        <w:spacing w:after="0"/>
        <w:rPr>
          <w:lang w:val="es-AR"/>
        </w:rPr>
      </w:pPr>
      <w:r w:rsidRPr="009946DF">
        <w:rPr>
          <w:noProof/>
          <w:lang w:val="es-AR"/>
        </w:rPr>
        <w:drawing>
          <wp:inline distT="0" distB="0" distL="0" distR="0" wp14:anchorId="370760B7" wp14:editId="07AB7480">
            <wp:extent cx="6529070" cy="4463415"/>
            <wp:effectExtent l="0" t="0" r="5080" b="0"/>
            <wp:docPr id="14479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5253" name=""/>
                    <pic:cNvPicPr/>
                  </pic:nvPicPr>
                  <pic:blipFill>
                    <a:blip r:embed="rId10"/>
                    <a:stretch>
                      <a:fillRect/>
                    </a:stretch>
                  </pic:blipFill>
                  <pic:spPr>
                    <a:xfrm>
                      <a:off x="0" y="0"/>
                      <a:ext cx="6529070" cy="4463415"/>
                    </a:xfrm>
                    <a:prstGeom prst="rect">
                      <a:avLst/>
                    </a:prstGeom>
                  </pic:spPr>
                </pic:pic>
              </a:graphicData>
            </a:graphic>
          </wp:inline>
        </w:drawing>
      </w:r>
    </w:p>
    <w:p w14:paraId="58830D13" w14:textId="1F58BD2C" w:rsidR="009946DF" w:rsidRDefault="009946DF">
      <w:pPr>
        <w:spacing w:after="0"/>
        <w:rPr>
          <w:lang w:val="es-AR"/>
        </w:rPr>
      </w:pPr>
      <w:r w:rsidRPr="009946DF">
        <w:rPr>
          <w:noProof/>
          <w:lang w:val="es-AR"/>
        </w:rPr>
        <w:lastRenderedPageBreak/>
        <w:drawing>
          <wp:inline distT="0" distB="0" distL="0" distR="0" wp14:anchorId="2A5DF450" wp14:editId="1CEF757A">
            <wp:extent cx="5222738" cy="3105604"/>
            <wp:effectExtent l="0" t="0" r="0" b="0"/>
            <wp:docPr id="48429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1173" name=""/>
                    <pic:cNvPicPr/>
                  </pic:nvPicPr>
                  <pic:blipFill>
                    <a:blip r:embed="rId11"/>
                    <a:stretch>
                      <a:fillRect/>
                    </a:stretch>
                  </pic:blipFill>
                  <pic:spPr>
                    <a:xfrm>
                      <a:off x="0" y="0"/>
                      <a:ext cx="5232038" cy="3111134"/>
                    </a:xfrm>
                    <a:prstGeom prst="rect">
                      <a:avLst/>
                    </a:prstGeom>
                  </pic:spPr>
                </pic:pic>
              </a:graphicData>
            </a:graphic>
          </wp:inline>
        </w:drawing>
      </w:r>
    </w:p>
    <w:p w14:paraId="5E038DE5" w14:textId="33554610" w:rsidR="009946DF" w:rsidRDefault="009946DF">
      <w:pPr>
        <w:spacing w:after="0"/>
        <w:rPr>
          <w:lang w:val="es-AR"/>
        </w:rPr>
      </w:pPr>
      <w:r w:rsidRPr="009946DF">
        <w:rPr>
          <w:noProof/>
          <w:lang w:val="es-AR"/>
        </w:rPr>
        <w:drawing>
          <wp:inline distT="0" distB="0" distL="0" distR="0" wp14:anchorId="696DA51C" wp14:editId="607C9F11">
            <wp:extent cx="4684196" cy="3373058"/>
            <wp:effectExtent l="0" t="0" r="2540" b="0"/>
            <wp:docPr id="12577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81245" name=""/>
                    <pic:cNvPicPr/>
                  </pic:nvPicPr>
                  <pic:blipFill>
                    <a:blip r:embed="rId12"/>
                    <a:stretch>
                      <a:fillRect/>
                    </a:stretch>
                  </pic:blipFill>
                  <pic:spPr>
                    <a:xfrm>
                      <a:off x="0" y="0"/>
                      <a:ext cx="4690970" cy="3377936"/>
                    </a:xfrm>
                    <a:prstGeom prst="rect">
                      <a:avLst/>
                    </a:prstGeom>
                  </pic:spPr>
                </pic:pic>
              </a:graphicData>
            </a:graphic>
          </wp:inline>
        </w:drawing>
      </w:r>
    </w:p>
    <w:p w14:paraId="210D41B3" w14:textId="61AA5A2C" w:rsidR="009946DF" w:rsidRDefault="009946DF">
      <w:pPr>
        <w:spacing w:after="0"/>
        <w:rPr>
          <w:lang w:val="es-AR"/>
        </w:rPr>
      </w:pPr>
      <w:r w:rsidRPr="009946DF">
        <w:rPr>
          <w:noProof/>
          <w:lang w:val="es-AR"/>
        </w:rPr>
        <w:lastRenderedPageBreak/>
        <w:drawing>
          <wp:inline distT="0" distB="0" distL="0" distR="0" wp14:anchorId="5F522492" wp14:editId="7462CCF2">
            <wp:extent cx="4297119" cy="4070273"/>
            <wp:effectExtent l="0" t="0" r="8255" b="6985"/>
            <wp:docPr id="99720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6805" name=""/>
                    <pic:cNvPicPr/>
                  </pic:nvPicPr>
                  <pic:blipFill>
                    <a:blip r:embed="rId13"/>
                    <a:stretch>
                      <a:fillRect/>
                    </a:stretch>
                  </pic:blipFill>
                  <pic:spPr>
                    <a:xfrm>
                      <a:off x="0" y="0"/>
                      <a:ext cx="4318408" cy="4090438"/>
                    </a:xfrm>
                    <a:prstGeom prst="rect">
                      <a:avLst/>
                    </a:prstGeom>
                  </pic:spPr>
                </pic:pic>
              </a:graphicData>
            </a:graphic>
          </wp:inline>
        </w:drawing>
      </w:r>
    </w:p>
    <w:p w14:paraId="528DAD06" w14:textId="20A883AE" w:rsidR="009946DF" w:rsidRPr="009946DF" w:rsidRDefault="009946DF">
      <w:pPr>
        <w:spacing w:after="0"/>
        <w:rPr>
          <w:lang w:val="es-AR"/>
        </w:rPr>
      </w:pPr>
      <w:r w:rsidRPr="009946DF">
        <w:rPr>
          <w:noProof/>
          <w:lang w:val="es-AR"/>
        </w:rPr>
        <w:drawing>
          <wp:inline distT="0" distB="0" distL="0" distR="0" wp14:anchorId="0FFC364F" wp14:editId="1D5D5592">
            <wp:extent cx="3646380" cy="2374082"/>
            <wp:effectExtent l="0" t="0" r="0" b="7620"/>
            <wp:docPr id="16673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0012" name=""/>
                    <pic:cNvPicPr/>
                  </pic:nvPicPr>
                  <pic:blipFill>
                    <a:blip r:embed="rId14"/>
                    <a:stretch>
                      <a:fillRect/>
                    </a:stretch>
                  </pic:blipFill>
                  <pic:spPr>
                    <a:xfrm>
                      <a:off x="0" y="0"/>
                      <a:ext cx="3656049" cy="2380377"/>
                    </a:xfrm>
                    <a:prstGeom prst="rect">
                      <a:avLst/>
                    </a:prstGeom>
                  </pic:spPr>
                </pic:pic>
              </a:graphicData>
            </a:graphic>
          </wp:inline>
        </w:drawing>
      </w:r>
      <w:r>
        <w:rPr>
          <w:lang w:val="es-AR"/>
        </w:rPr>
        <w:t xml:space="preserve"> </w:t>
      </w:r>
    </w:p>
    <w:p w14:paraId="1BE68CF0" w14:textId="77777777" w:rsidR="00205C07" w:rsidRPr="00AE5E60" w:rsidRDefault="00000000">
      <w:pPr>
        <w:pStyle w:val="ITHeading"/>
        <w:rPr>
          <w:lang w:val="es-AR"/>
        </w:rPr>
      </w:pPr>
      <w:r w:rsidRPr="00AE5E60">
        <w:rPr>
          <w:lang w:val="es-AR"/>
        </w:rPr>
        <w:t>06  Control de consistencia para defender resultados</w:t>
      </w:r>
    </w:p>
    <w:p w14:paraId="76B99C3D" w14:textId="77777777" w:rsidR="00205C07" w:rsidRPr="00AE5E60" w:rsidRDefault="00000000">
      <w:pPr>
        <w:pStyle w:val="ITBullet"/>
        <w:rPr>
          <w:lang w:val="es-AR"/>
        </w:rPr>
      </w:pPr>
      <w:r w:rsidRPr="00AE5E60">
        <w:rPr>
          <w:b/>
          <w:lang w:val="es-AR"/>
        </w:rPr>
        <w:t xml:space="preserve">Interpretación  </w:t>
      </w:r>
      <w:r w:rsidRPr="00AE5E60">
        <w:rPr>
          <w:lang w:val="es-AR"/>
        </w:rPr>
        <w:t>Venta bruta = Cantidad × Precio_Unitario; no equivale a venta neta y no descuenta devoluciones. La conversión a moneda local usa la última tasa disponible del mes y el país de la tienda.</w:t>
      </w:r>
    </w:p>
    <w:p w14:paraId="49ABD42F" w14:textId="77777777" w:rsidR="00205C07" w:rsidRPr="00AE5E60" w:rsidRDefault="00000000">
      <w:pPr>
        <w:pStyle w:val="ITBullet"/>
        <w:rPr>
          <w:lang w:val="es-AR"/>
        </w:rPr>
      </w:pPr>
      <w:r w:rsidRPr="00AE5E60">
        <w:rPr>
          <w:b/>
          <w:lang w:val="es-AR"/>
        </w:rPr>
        <w:t xml:space="preserve">Margen  </w:t>
      </w:r>
      <w:r w:rsidRPr="00AE5E60">
        <w:rPr>
          <w:lang w:val="es-AR"/>
        </w:rPr>
        <w:t>Las ventas sin costo mensual se conservan con margen NULL. El porcentaje se calcula sobre las ventas con costo disponible, informando aparte las líneas sin costo por categoría.</w:t>
      </w:r>
    </w:p>
    <w:p w14:paraId="5FF7EB02" w14:textId="77777777" w:rsidR="00205C07" w:rsidRPr="00AE5E60" w:rsidRDefault="00000000">
      <w:pPr>
        <w:pStyle w:val="ITBullet"/>
        <w:rPr>
          <w:lang w:val="es-AR"/>
        </w:rPr>
      </w:pPr>
      <w:r w:rsidRPr="00AE5E60">
        <w:rPr>
          <w:b/>
          <w:lang w:val="es-AR"/>
        </w:rPr>
        <w:t xml:space="preserve">Precio vigente  </w:t>
      </w:r>
      <w:r w:rsidRPr="00AE5E60">
        <w:rPr>
          <w:lang w:val="es-AR"/>
        </w:rPr>
        <w:t>Para Smart TV 55” al 20/01/2026 se toma el precio de lista con la mayor Vigencia_Desde no posterior a esa fecha; no se utiliza el precio efectivamente cobrado.</w:t>
      </w:r>
    </w:p>
    <w:p w14:paraId="44FFA70F" w14:textId="77777777" w:rsidR="00205C07" w:rsidRPr="00AE5E60" w:rsidRDefault="00000000">
      <w:pPr>
        <w:pStyle w:val="ITBullet"/>
        <w:rPr>
          <w:lang w:val="es-AR"/>
        </w:rPr>
      </w:pPr>
      <w:r w:rsidRPr="00AE5E60">
        <w:rPr>
          <w:b/>
          <w:lang w:val="es-AR"/>
        </w:rPr>
        <w:t xml:space="preserve">Prueba de repetición  </w:t>
      </w:r>
      <w:r w:rsidRPr="00AE5E60">
        <w:rPr>
          <w:lang w:val="es-AR"/>
        </w:rPr>
        <w:t>Comparar COUNT(*) tras la primera y segunda ejecución del mismo lote y exigir COUNT(DISTINCT ID_Venta) = COUNT(*) en Gold. Una sola captura con cero duplicados prueba unicidad, pero no por sí sola la repetición.</w:t>
      </w:r>
    </w:p>
    <w:p w14:paraId="681DEB92" w14:textId="77777777" w:rsidR="00205C07" w:rsidRPr="00AE5E60" w:rsidRDefault="00205C07">
      <w:pPr>
        <w:spacing w:after="0"/>
        <w:rPr>
          <w:lang w:val="es-AR"/>
        </w:rPr>
      </w:pPr>
    </w:p>
    <w:p w14:paraId="5EE32830" w14:textId="77777777" w:rsidR="00205C07" w:rsidRPr="00AE5E60" w:rsidRDefault="00000000">
      <w:pPr>
        <w:pStyle w:val="ITSmall"/>
        <w:rPr>
          <w:lang w:val="es-AR"/>
        </w:rPr>
      </w:pPr>
      <w:r w:rsidRPr="00AE5E60">
        <w:rPr>
          <w:lang w:val="es-AR"/>
        </w:rPr>
        <w:t>Evidencia: las seis consultas, las capturas de resultados y el enlace al SQL de GitHub se presentan en la sección 05. La prueba de idempotencia requiere comparar los recuentos registrados tras dos ejecuciones del mismo lote.</w:t>
      </w:r>
    </w:p>
    <w:p w14:paraId="4B89A5B5" w14:textId="77777777" w:rsidR="00205C07" w:rsidRPr="00AE5E60" w:rsidRDefault="00000000">
      <w:pPr>
        <w:rPr>
          <w:lang w:val="es-AR"/>
        </w:rPr>
      </w:pPr>
      <w:r w:rsidRPr="00AE5E60">
        <w:rPr>
          <w:lang w:val="es-AR"/>
        </w:rPr>
        <w:br w:type="page"/>
      </w:r>
    </w:p>
    <w:p w14:paraId="7AA6FCA6" w14:textId="77777777" w:rsidR="00205C07" w:rsidRPr="00AE5E60" w:rsidRDefault="00000000">
      <w:pPr>
        <w:pStyle w:val="ITHeading"/>
        <w:rPr>
          <w:lang w:val="es-AR"/>
        </w:rPr>
      </w:pPr>
      <w:r w:rsidRPr="00AE5E60">
        <w:rPr>
          <w:lang w:val="es-AR"/>
        </w:rPr>
        <w:lastRenderedPageBreak/>
        <w:t>07  Parte 3 · Arquitectura cloud (1/2)</w:t>
      </w:r>
    </w:p>
    <w:p w14:paraId="73375BB8" w14:textId="77777777" w:rsidR="00205C07" w:rsidRPr="00AE5E60" w:rsidRDefault="00000000">
      <w:pPr>
        <w:rPr>
          <w:lang w:val="es-AR"/>
        </w:rPr>
      </w:pPr>
      <w:r w:rsidRPr="00AE5E60">
        <w:rPr>
          <w:lang w:val="es-AR"/>
        </w:rPr>
        <w:t>Arquitectura propuesta e implementada parcialmente en Microsoft Fabric. Data Factory orquesta SQL Server vía Gateway, deja Parquet en Files/Landing y ejecuta notebooks PySpark para Bronze, Silver y Gold; la FX se resuelve desde Frankfurter. Las tablas Gold quedan consultables desde el SQL Endpoint / herramientas BI.</w:t>
      </w:r>
    </w:p>
    <w:p w14:paraId="2DC6A5F2" w14:textId="77777777" w:rsidR="00205C07" w:rsidRDefault="00000000">
      <w:pPr>
        <w:spacing w:after="100"/>
        <w:jc w:val="center"/>
      </w:pPr>
      <w:r>
        <w:rPr>
          <w:noProof/>
        </w:rPr>
        <w:drawing>
          <wp:inline distT="0" distB="0" distL="0" distR="0" wp14:anchorId="7EBBF2B0" wp14:editId="0B5A3683">
            <wp:extent cx="6556248" cy="2928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4W_Arquitectura.png"/>
                    <pic:cNvPicPr/>
                  </pic:nvPicPr>
                  <pic:blipFill>
                    <a:blip r:embed="rId15"/>
                    <a:stretch>
                      <a:fillRect/>
                    </a:stretch>
                  </pic:blipFill>
                  <pic:spPr>
                    <a:xfrm>
                      <a:off x="0" y="0"/>
                      <a:ext cx="6556248" cy="2928618"/>
                    </a:xfrm>
                    <a:prstGeom prst="rect">
                      <a:avLst/>
                    </a:prstGeom>
                  </pic:spPr>
                </pic:pic>
              </a:graphicData>
            </a:graphic>
          </wp:inline>
        </w:drawing>
      </w:r>
    </w:p>
    <w:p w14:paraId="38D8F162" w14:textId="77777777" w:rsidR="00205C07" w:rsidRPr="00AE5E60" w:rsidRDefault="00000000">
      <w:pPr>
        <w:pStyle w:val="ITSmall"/>
        <w:spacing w:after="180"/>
        <w:rPr>
          <w:lang w:val="es-AR"/>
        </w:rPr>
      </w:pPr>
      <w:r w:rsidRPr="00AE5E60">
        <w:rPr>
          <w:lang w:val="es-AR"/>
        </w:rPr>
        <w:t>Figura 1. Flujo lógico de extremo a extremo. Edición: IT4W_Arquitectura.drawio; también disponible en SVG.</w:t>
      </w:r>
    </w:p>
    <w:p w14:paraId="75B1067A" w14:textId="77777777" w:rsidR="00205C07" w:rsidRPr="00AE5E60" w:rsidRDefault="00000000">
      <w:pPr>
        <w:pStyle w:val="ITHeading"/>
        <w:rPr>
          <w:lang w:val="es-AR"/>
        </w:rPr>
      </w:pPr>
      <w:r w:rsidRPr="00AE5E60">
        <w:rPr>
          <w:lang w:val="es-AR"/>
        </w:rPr>
        <w:t>08  Comportamiento mensual, reprocesos y tardíos</w:t>
      </w:r>
    </w:p>
    <w:p w14:paraId="23527A45" w14:textId="77777777" w:rsidR="00205C07" w:rsidRPr="00AE5E60" w:rsidRDefault="00000000">
      <w:pPr>
        <w:pStyle w:val="ITBullet"/>
        <w:rPr>
          <w:lang w:val="es-AR"/>
        </w:rPr>
      </w:pPr>
      <w:r w:rsidRPr="00AE5E60">
        <w:rPr>
          <w:b/>
          <w:lang w:val="es-AR"/>
        </w:rPr>
        <w:t xml:space="preserve">Histórico  </w:t>
      </w:r>
      <w:r w:rsidRPr="00AE5E60">
        <w:rPr>
          <w:lang w:val="es-AR"/>
        </w:rPr>
        <w:t>PL_IT4W_Backfill_Historico procesa 2024–2025 para establecer línea base y controles; se ejecuta bajo demanda.</w:t>
      </w:r>
    </w:p>
    <w:p w14:paraId="2E297DF6" w14:textId="77777777" w:rsidR="00205C07" w:rsidRPr="00AE5E60" w:rsidRDefault="00000000">
      <w:pPr>
        <w:pStyle w:val="ITBullet"/>
        <w:rPr>
          <w:lang w:val="es-AR"/>
        </w:rPr>
      </w:pPr>
      <w:r w:rsidRPr="00AE5E60">
        <w:rPr>
          <w:b/>
          <w:lang w:val="es-AR"/>
        </w:rPr>
        <w:t xml:space="preserve">Mensual  </w:t>
      </w:r>
      <w:r w:rsidRPr="00AE5E60">
        <w:rPr>
          <w:lang w:val="es-AR"/>
        </w:rPr>
        <w:t>PL_IT4W_Incremental_Mensual pasa período, batch_id y run_id; Landing particiona por origen, período y corrida.</w:t>
      </w:r>
    </w:p>
    <w:p w14:paraId="08D2187E" w14:textId="77777777" w:rsidR="00205C07" w:rsidRPr="00AE5E60" w:rsidRDefault="00000000">
      <w:pPr>
        <w:pStyle w:val="ITBullet"/>
        <w:rPr>
          <w:lang w:val="es-AR"/>
        </w:rPr>
      </w:pPr>
      <w:r w:rsidRPr="00AE5E60">
        <w:rPr>
          <w:b/>
          <w:lang w:val="es-AR"/>
        </w:rPr>
        <w:t xml:space="preserve">Idempotencia  </w:t>
      </w:r>
      <w:r w:rsidRPr="00AE5E60">
        <w:rPr>
          <w:lang w:val="es-AR"/>
        </w:rPr>
        <w:t>Bronze conserva trazabilidad técnica, Silver aplica las claves de negocio y Gold MERGE por ID/clave compuesta; se valida cardinalidad.</w:t>
      </w:r>
    </w:p>
    <w:p w14:paraId="7F02503E" w14:textId="77777777" w:rsidR="00205C07" w:rsidRPr="00AE5E60" w:rsidRDefault="00000000">
      <w:pPr>
        <w:pStyle w:val="ITBullet"/>
        <w:rPr>
          <w:lang w:val="es-AR"/>
        </w:rPr>
      </w:pPr>
      <w:r w:rsidRPr="00AE5E60">
        <w:rPr>
          <w:b/>
          <w:lang w:val="es-AR"/>
        </w:rPr>
        <w:t xml:space="preserve">Llegadas tardías  </w:t>
      </w:r>
      <w:r w:rsidRPr="00AE5E60">
        <w:rPr>
          <w:lang w:val="es-AR"/>
        </w:rPr>
        <w:t>Permitir reprocesar el período afectado con lote identificable, actualizar particiones/hechos bajo política de corrección aprobada y recalcular agregados dependientes sin borrar histórico.</w:t>
      </w:r>
    </w:p>
    <w:p w14:paraId="16CD5CC0" w14:textId="77777777" w:rsidR="00205C07" w:rsidRPr="00AE5E60" w:rsidRDefault="00000000">
      <w:pPr>
        <w:pStyle w:val="ITSmall"/>
        <w:rPr>
          <w:lang w:val="es-AR"/>
        </w:rPr>
      </w:pPr>
      <w:r w:rsidRPr="00AE5E60">
        <w:rPr>
          <w:lang w:val="es-AR"/>
        </w:rPr>
        <w:t>Frontera de responsabilidades: GitHub versiona notebooks, SQL, scripts, contratos y README; Fabric mantiene datos, pipelines y operaciones. Publicar únicamente el repositorio del challenge con permisos de lectura.</w:t>
      </w:r>
    </w:p>
    <w:p w14:paraId="5F6BFFE6" w14:textId="77777777" w:rsidR="00205C07" w:rsidRPr="00AE5E60" w:rsidRDefault="00000000">
      <w:pPr>
        <w:rPr>
          <w:lang w:val="es-AR"/>
        </w:rPr>
      </w:pPr>
      <w:r w:rsidRPr="00AE5E60">
        <w:rPr>
          <w:lang w:val="es-AR"/>
        </w:rPr>
        <w:br w:type="page"/>
      </w:r>
    </w:p>
    <w:p w14:paraId="4D4505B4" w14:textId="77777777" w:rsidR="00205C07" w:rsidRPr="00AE5E60" w:rsidRDefault="00000000">
      <w:pPr>
        <w:pStyle w:val="ITHeading"/>
        <w:rPr>
          <w:lang w:val="es-AR"/>
        </w:rPr>
      </w:pPr>
      <w:r w:rsidRPr="00AE5E60">
        <w:rPr>
          <w:lang w:val="es-AR"/>
        </w:rPr>
        <w:lastRenderedPageBreak/>
        <w:t>09  Parte 3 · Resiliencia y costo cloud (2/2)</w:t>
      </w:r>
    </w:p>
    <w:p w14:paraId="6BF89A7D" w14:textId="77777777" w:rsidR="00205C07" w:rsidRPr="00AE5E60" w:rsidRDefault="00000000">
      <w:pPr>
        <w:pStyle w:val="ITBullet"/>
        <w:rPr>
          <w:lang w:val="es-AR"/>
        </w:rPr>
      </w:pPr>
      <w:r w:rsidRPr="00AE5E60">
        <w:rPr>
          <w:b/>
          <w:lang w:val="es-AR"/>
        </w:rPr>
        <w:t xml:space="preserve">API inaccesible  </w:t>
      </w:r>
      <w:r w:rsidRPr="00AE5E60">
        <w:rPr>
          <w:lang w:val="es-AR"/>
        </w:rPr>
        <w:t>Reintentos acotados con backoff y timeout; leer cotización cacheada sólo si corresponde al mes/moneda solicitados. De lo contrario detener Gold, conservar Bronze/Silver y alertar. Nunca asumir tasa=1.</w:t>
      </w:r>
    </w:p>
    <w:p w14:paraId="3B4B8DEB" w14:textId="77777777" w:rsidR="00205C07" w:rsidRPr="00AE5E60" w:rsidRDefault="00000000">
      <w:pPr>
        <w:pStyle w:val="ITBullet"/>
        <w:rPr>
          <w:lang w:val="es-AR"/>
        </w:rPr>
      </w:pPr>
      <w:r w:rsidRPr="00AE5E60">
        <w:rPr>
          <w:b/>
          <w:lang w:val="es-AR"/>
        </w:rPr>
        <w:t xml:space="preserve">Presupuesto  </w:t>
      </w:r>
      <w:r w:rsidRPr="00AE5E60">
        <w:rPr>
          <w:lang w:val="es-AR"/>
        </w:rPr>
        <w:t>Ejemplo F2 bajo consumo: referencia pública US West 2 ≈ USD 0,36/h; 20 h activas/mes ≈ USD 7,20 de capacidad frente a ≈ USD 262,80 encendida 730 h, más OneLake/otros cargos. Estimación ilustrativa, no cotización local.</w:t>
      </w:r>
    </w:p>
    <w:p w14:paraId="5C904869" w14:textId="77777777" w:rsidR="00205C07" w:rsidRPr="00AE5E60" w:rsidRDefault="00000000">
      <w:pPr>
        <w:pStyle w:val="ITBullet"/>
        <w:rPr>
          <w:lang w:val="es-AR"/>
        </w:rPr>
      </w:pPr>
      <w:r w:rsidRPr="00AE5E60">
        <w:rPr>
          <w:b/>
          <w:lang w:val="es-AR"/>
        </w:rPr>
        <w:t xml:space="preserve">Control  </w:t>
      </w:r>
      <w:r w:rsidRPr="00AE5E60">
        <w:rPr>
          <w:lang w:val="es-AR"/>
        </w:rPr>
        <w:t>Usar calculadora de Azure con región y SKU reales; Capacity Metrics + Azure Cost Management; alertas de gasto, límites de reintentos y pausa de capacidad F SKU cuando no opere.</w:t>
      </w:r>
    </w:p>
    <w:p w14:paraId="2636CE65" w14:textId="77777777" w:rsidR="00205C07" w:rsidRPr="00AE5E60" w:rsidRDefault="00000000">
      <w:pPr>
        <w:pStyle w:val="ITHeading"/>
        <w:rPr>
          <w:lang w:val="es-AR"/>
        </w:rPr>
      </w:pPr>
      <w:r w:rsidRPr="00AE5E60">
        <w:rPr>
          <w:lang w:val="es-AR"/>
        </w:rPr>
        <w:t>10  Parte 4 · Uso de IA y revisión independiente</w:t>
      </w:r>
    </w:p>
    <w:tbl>
      <w:tblPr>
        <w:tblW w:w="0" w:type="auto"/>
        <w:jc w:val="center"/>
        <w:tblLayout w:type="fixed"/>
        <w:tblLook w:val="04A0" w:firstRow="1" w:lastRow="0" w:firstColumn="1" w:lastColumn="0" w:noHBand="0" w:noVBand="1"/>
      </w:tblPr>
      <w:tblGrid>
        <w:gridCol w:w="2353"/>
        <w:gridCol w:w="7414"/>
      </w:tblGrid>
      <w:tr w:rsidR="00205C07" w14:paraId="12A86DEE" w14:textId="77777777" w:rsidTr="003D33CF">
        <w:trPr>
          <w:trHeight w:val="186"/>
          <w:jc w:val="center"/>
        </w:trPr>
        <w:tc>
          <w:tcPr>
            <w:tcW w:w="2353" w:type="dxa"/>
            <w:shd w:val="clear" w:color="auto" w:fill="14223B"/>
            <w:tcMar>
              <w:top w:w="72" w:type="dxa"/>
              <w:left w:w="85" w:type="dxa"/>
              <w:bottom w:w="72" w:type="dxa"/>
              <w:right w:w="85" w:type="dxa"/>
            </w:tcMar>
            <w:vAlign w:val="center"/>
          </w:tcPr>
          <w:p w14:paraId="1F98C1E6" w14:textId="77777777" w:rsidR="00205C07" w:rsidRDefault="00000000">
            <w:pPr>
              <w:spacing w:after="0"/>
            </w:pPr>
            <w:r>
              <w:rPr>
                <w:b/>
                <w:color w:val="FFFFFF"/>
                <w:sz w:val="16"/>
              </w:rPr>
              <w:t>Pregunta IT4W</w:t>
            </w:r>
          </w:p>
        </w:tc>
        <w:tc>
          <w:tcPr>
            <w:tcW w:w="7414" w:type="dxa"/>
            <w:shd w:val="clear" w:color="auto" w:fill="14223B"/>
            <w:tcMar>
              <w:top w:w="72" w:type="dxa"/>
              <w:left w:w="85" w:type="dxa"/>
              <w:bottom w:w="72" w:type="dxa"/>
              <w:right w:w="85" w:type="dxa"/>
            </w:tcMar>
            <w:vAlign w:val="center"/>
          </w:tcPr>
          <w:p w14:paraId="425359CA" w14:textId="77777777" w:rsidR="00205C07" w:rsidRDefault="00000000">
            <w:pPr>
              <w:spacing w:after="0"/>
            </w:pPr>
            <w:r>
              <w:rPr>
                <w:b/>
                <w:color w:val="FFFFFF"/>
                <w:sz w:val="16"/>
              </w:rPr>
              <w:t>Respuesta para declarar</w:t>
            </w:r>
          </w:p>
        </w:tc>
      </w:tr>
      <w:tr w:rsidR="00205C07" w:rsidRPr="003D33CF" w14:paraId="3034B7AF" w14:textId="77777777" w:rsidTr="003D33CF">
        <w:trPr>
          <w:trHeight w:val="387"/>
          <w:jc w:val="center"/>
        </w:trPr>
        <w:tc>
          <w:tcPr>
            <w:tcW w:w="2353"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628E0B3E" w14:textId="77777777" w:rsidR="00205C07" w:rsidRDefault="00000000">
            <w:pPr>
              <w:spacing w:after="0"/>
            </w:pPr>
            <w:r>
              <w:rPr>
                <w:sz w:val="16"/>
              </w:rPr>
              <w:t>¿Qué IA se utilizó?</w:t>
            </w:r>
          </w:p>
        </w:tc>
        <w:tc>
          <w:tcPr>
            <w:tcW w:w="7414"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E5223CF" w14:textId="6FC8203C" w:rsidR="00205C07" w:rsidRPr="003D33CF" w:rsidRDefault="00000000">
            <w:pPr>
              <w:spacing w:after="0"/>
              <w:rPr>
                <w:lang w:val="es-AR"/>
              </w:rPr>
            </w:pPr>
            <w:r w:rsidRPr="00AE5E60">
              <w:rPr>
                <w:sz w:val="16"/>
                <w:lang w:val="es-AR"/>
              </w:rPr>
              <w:t>ChatGPT para, redacción, revisión  y estructura documental</w:t>
            </w:r>
          </w:p>
        </w:tc>
      </w:tr>
      <w:tr w:rsidR="00205C07" w:rsidRPr="003D33CF" w14:paraId="4782A4FD" w14:textId="77777777" w:rsidTr="003D33CF">
        <w:trPr>
          <w:trHeight w:val="387"/>
          <w:jc w:val="center"/>
        </w:trPr>
        <w:tc>
          <w:tcPr>
            <w:tcW w:w="2353"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7177753C" w14:textId="77777777" w:rsidR="00205C07" w:rsidRDefault="00000000">
            <w:pPr>
              <w:spacing w:after="0"/>
            </w:pPr>
            <w:r>
              <w:rPr>
                <w:sz w:val="16"/>
              </w:rPr>
              <w:t>¿Qué se verificó?</w:t>
            </w:r>
          </w:p>
        </w:tc>
        <w:tc>
          <w:tcPr>
            <w:tcW w:w="7414" w:type="dxa"/>
            <w:tcBorders>
              <w:top w:val="single" w:sz="5" w:space="0" w:color="CBD5E1"/>
              <w:left w:val="single" w:sz="5" w:space="0" w:color="CBD5E1"/>
              <w:bottom w:val="single" w:sz="5" w:space="0" w:color="CBD5E1"/>
              <w:right w:val="single" w:sz="5" w:space="0" w:color="CBD5E1"/>
            </w:tcBorders>
            <w:shd w:val="clear" w:color="auto" w:fill="FFFFFF"/>
            <w:tcMar>
              <w:top w:w="72" w:type="dxa"/>
              <w:left w:w="85" w:type="dxa"/>
              <w:bottom w:w="72" w:type="dxa"/>
              <w:right w:w="85" w:type="dxa"/>
            </w:tcMar>
            <w:vAlign w:val="center"/>
          </w:tcPr>
          <w:p w14:paraId="0ED975A3" w14:textId="6B8982F3" w:rsidR="00205C07" w:rsidRPr="00AE5E60" w:rsidRDefault="00000000">
            <w:pPr>
              <w:spacing w:after="0"/>
              <w:rPr>
                <w:lang w:val="es-AR"/>
              </w:rPr>
            </w:pPr>
            <w:r w:rsidRPr="00AE5E60">
              <w:rPr>
                <w:sz w:val="16"/>
                <w:lang w:val="es-AR"/>
              </w:rPr>
              <w:t xml:space="preserve">reglas DQ, recuentos y </w:t>
            </w:r>
            <w:r w:rsidR="003D33CF">
              <w:rPr>
                <w:sz w:val="16"/>
                <w:lang w:val="es-AR"/>
              </w:rPr>
              <w:t>pruebas de calidad</w:t>
            </w:r>
          </w:p>
        </w:tc>
      </w:tr>
      <w:tr w:rsidR="00205C07" w:rsidRPr="003D33CF" w14:paraId="6C0D750D" w14:textId="77777777" w:rsidTr="003D33CF">
        <w:trPr>
          <w:trHeight w:val="372"/>
          <w:jc w:val="center"/>
        </w:trPr>
        <w:tc>
          <w:tcPr>
            <w:tcW w:w="2353"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A004F47" w14:textId="77777777" w:rsidR="00205C07" w:rsidRDefault="00000000">
            <w:pPr>
              <w:spacing w:after="0"/>
            </w:pPr>
            <w:r>
              <w:rPr>
                <w:sz w:val="16"/>
              </w:rPr>
              <w:t>¿Qué corrigió el ingeniero?</w:t>
            </w:r>
          </w:p>
        </w:tc>
        <w:tc>
          <w:tcPr>
            <w:tcW w:w="7414" w:type="dxa"/>
            <w:tcBorders>
              <w:top w:val="single" w:sz="5" w:space="0" w:color="CBD5E1"/>
              <w:left w:val="single" w:sz="5" w:space="0" w:color="CBD5E1"/>
              <w:bottom w:val="single" w:sz="5" w:space="0" w:color="CBD5E1"/>
              <w:right w:val="single" w:sz="5" w:space="0" w:color="CBD5E1"/>
            </w:tcBorders>
            <w:shd w:val="clear" w:color="auto" w:fill="F3F7FA"/>
            <w:tcMar>
              <w:top w:w="72" w:type="dxa"/>
              <w:left w:w="85" w:type="dxa"/>
              <w:bottom w:w="72" w:type="dxa"/>
              <w:right w:w="85" w:type="dxa"/>
            </w:tcMar>
            <w:vAlign w:val="center"/>
          </w:tcPr>
          <w:p w14:paraId="78EE6108" w14:textId="0FF24365" w:rsidR="00205C07" w:rsidRPr="00AE5E60" w:rsidRDefault="003D33CF">
            <w:pPr>
              <w:spacing w:after="0"/>
              <w:rPr>
                <w:lang w:val="es-AR"/>
              </w:rPr>
            </w:pPr>
            <w:r>
              <w:rPr>
                <w:sz w:val="16"/>
                <w:lang w:val="es-AR"/>
              </w:rPr>
              <w:t xml:space="preserve">algunas issues relacionado errores al reutilizar el pipeline del histórico al pipeline convencional </w:t>
            </w:r>
            <w:r w:rsidR="00EA36CE" w:rsidRPr="00EA36CE">
              <w:rPr>
                <w:sz w:val="16"/>
                <w:lang w:val="es-AR"/>
              </w:rPr>
              <w:t>PL_IT4W_Incremental_Mensual</w:t>
            </w:r>
            <w:r w:rsidR="00EA36CE">
              <w:rPr>
                <w:sz w:val="16"/>
                <w:lang w:val="es-AR"/>
              </w:rPr>
              <w:t xml:space="preserve">  </w:t>
            </w:r>
            <w:r>
              <w:rPr>
                <w:sz w:val="16"/>
                <w:lang w:val="es-AR"/>
              </w:rPr>
              <w:t xml:space="preserve">que iba usarse para la cargar mensual, puntualmente enero 2026, porque la notebook y el pipeline requerían una tabla de objetivos que ya no se requeria en el pipeline </w:t>
            </w:r>
            <w:r w:rsidR="00EA36CE" w:rsidRPr="00EA36CE">
              <w:rPr>
                <w:sz w:val="16"/>
                <w:lang w:val="es-AR"/>
              </w:rPr>
              <w:t>PL_IT4W_</w:t>
            </w:r>
            <w:r w:rsidR="00EA36CE">
              <w:rPr>
                <w:sz w:val="16"/>
                <w:lang w:val="es-AR"/>
              </w:rPr>
              <w:t>Backfill_historico. Al igual con la corrección de algunos parámetros por lo que paradójicamente cuando realizo pruebas y depuraciones las hago paso a paso, y en ocasiones requiere parámetros y variables que no se alcanza a pasar. Porque no todas son globales.</w:t>
            </w:r>
          </w:p>
        </w:tc>
      </w:tr>
    </w:tbl>
    <w:p w14:paraId="5B506B62" w14:textId="77777777" w:rsidR="00205C07" w:rsidRPr="00AE5E60" w:rsidRDefault="00205C07">
      <w:pPr>
        <w:spacing w:after="0"/>
        <w:rPr>
          <w:lang w:val="es-AR"/>
        </w:rPr>
      </w:pPr>
    </w:p>
    <w:p w14:paraId="37346B97" w14:textId="0F8BDC7B" w:rsidR="00205C07" w:rsidRDefault="00000000">
      <w:pPr>
        <w:pStyle w:val="ITHeading"/>
        <w:rPr>
          <w:lang w:val="es-AR"/>
        </w:rPr>
      </w:pPr>
      <w:r w:rsidRPr="00AE5E60">
        <w:rPr>
          <w:lang w:val="es-AR"/>
        </w:rPr>
        <w:t>11  Entrega</w:t>
      </w:r>
      <w:r w:rsidR="00EA36CE">
        <w:rPr>
          <w:lang w:val="es-AR"/>
        </w:rPr>
        <w:t xml:space="preserve">, </w:t>
      </w:r>
      <w:r w:rsidRPr="00AE5E60">
        <w:rPr>
          <w:lang w:val="es-AR"/>
        </w:rPr>
        <w:t>enlaces</w:t>
      </w:r>
      <w:r w:rsidR="00EA36CE">
        <w:rPr>
          <w:lang w:val="es-AR"/>
        </w:rPr>
        <w:t xml:space="preserve"> y evidencia. </w:t>
      </w:r>
    </w:p>
    <w:p w14:paraId="19BDBDEF" w14:textId="77777777" w:rsidR="00E35B71" w:rsidRPr="00E35B71" w:rsidRDefault="00E35B71" w:rsidP="00E35B71">
      <w:r w:rsidRPr="00E35B71">
        <w:t>Tenant Microsoft Entra ID</w:t>
      </w:r>
    </w:p>
    <w:p w14:paraId="11CDFBC4" w14:textId="1F2C28E2" w:rsidR="00E35B71" w:rsidRDefault="00E35B71" w:rsidP="00E35B71">
      <w:r w:rsidRPr="00E35B71">
        <w:t>upenglishacademylab.onmicrosoft.com</w:t>
      </w:r>
    </w:p>
    <w:p w14:paraId="34CE3F92" w14:textId="177E14E4" w:rsidR="00E35B71" w:rsidRPr="00E35B71" w:rsidRDefault="00E35B71" w:rsidP="00E35B71">
      <w:pPr>
        <w:rPr>
          <w:lang w:val="es-AR"/>
        </w:rPr>
      </w:pPr>
      <w:r w:rsidRPr="00E35B71">
        <w:rPr>
          <w:lang w:val="es-AR"/>
        </w:rPr>
        <w:t>Cuenta para Fabric</w:t>
      </w:r>
    </w:p>
    <w:p w14:paraId="5A6D2BD0" w14:textId="51A59FA8" w:rsidR="00E35B71" w:rsidRPr="00E35B71" w:rsidRDefault="00E35B71" w:rsidP="00E35B71">
      <w:pPr>
        <w:rPr>
          <w:lang w:val="es-AR"/>
        </w:rPr>
      </w:pPr>
      <w:r w:rsidRPr="00E35B71">
        <w:rPr>
          <w:lang w:val="es-AR"/>
        </w:rPr>
        <w:t>fabricchallenge@upenglishacademylab.onmicrosoft.com</w:t>
      </w:r>
    </w:p>
    <w:p w14:paraId="7110434A" w14:textId="65DEA920" w:rsidR="00205C07" w:rsidRPr="00E35B71" w:rsidRDefault="003D33CF">
      <w:hyperlink r:id="rId16" w:history="1">
        <w:r w:rsidRPr="00E35B71">
          <w:rPr>
            <w:rStyle w:val="Hyperlink"/>
            <w:rFonts w:ascii="Arial" w:hAnsi="Arial" w:cs="Arial"/>
            <w:color w:val="1155CC"/>
            <w:shd w:val="clear" w:color="auto" w:fill="FFFFFF"/>
          </w:rPr>
          <w:t>https://github.com/makaco10/IT4W-Fabric-Challenge</w:t>
        </w:r>
      </w:hyperlink>
    </w:p>
    <w:p w14:paraId="11F3F269" w14:textId="270266BD" w:rsidR="003D33CF" w:rsidRDefault="003D33CF">
      <w:pPr>
        <w:rPr>
          <w:lang w:val="es-AR"/>
        </w:rPr>
      </w:pPr>
    </w:p>
    <w:p w14:paraId="5F2DC1B2" w14:textId="77777777" w:rsidR="00EA36CE" w:rsidRDefault="00EA36CE">
      <w:pPr>
        <w:rPr>
          <w:lang w:val="es-AR"/>
        </w:rPr>
      </w:pPr>
    </w:p>
    <w:p w14:paraId="5C753333" w14:textId="77777777" w:rsidR="00EA36CE" w:rsidRDefault="00EA36CE">
      <w:pPr>
        <w:rPr>
          <w:lang w:val="es-AR"/>
        </w:rPr>
      </w:pPr>
    </w:p>
    <w:p w14:paraId="2876B29D" w14:textId="77777777" w:rsidR="00EA36CE" w:rsidRDefault="00EA36CE">
      <w:pPr>
        <w:rPr>
          <w:lang w:val="es-AR"/>
        </w:rPr>
      </w:pPr>
    </w:p>
    <w:p w14:paraId="1149D02C" w14:textId="77777777" w:rsidR="00EA36CE" w:rsidRDefault="00EA36CE">
      <w:pPr>
        <w:rPr>
          <w:lang w:val="es-AR"/>
        </w:rPr>
      </w:pPr>
    </w:p>
    <w:p w14:paraId="1114808A" w14:textId="77777777" w:rsidR="00EA36CE" w:rsidRDefault="00EA36CE">
      <w:pPr>
        <w:rPr>
          <w:lang w:val="es-AR"/>
        </w:rPr>
      </w:pPr>
    </w:p>
    <w:p w14:paraId="794B0C6C" w14:textId="77777777" w:rsidR="00EA36CE" w:rsidRDefault="00EA36CE">
      <w:pPr>
        <w:rPr>
          <w:lang w:val="es-AR"/>
        </w:rPr>
      </w:pPr>
    </w:p>
    <w:p w14:paraId="61631A78" w14:textId="77777777" w:rsidR="00EA36CE" w:rsidRDefault="00EA36CE">
      <w:pPr>
        <w:rPr>
          <w:lang w:val="es-AR"/>
        </w:rPr>
      </w:pPr>
    </w:p>
    <w:p w14:paraId="101B5D0F" w14:textId="77777777" w:rsidR="00EA36CE" w:rsidRDefault="00EA36CE">
      <w:pPr>
        <w:rPr>
          <w:lang w:val="es-AR"/>
        </w:rPr>
      </w:pPr>
    </w:p>
    <w:p w14:paraId="65DA0BCF" w14:textId="77777777" w:rsidR="00EA36CE" w:rsidRDefault="00EA36CE">
      <w:pPr>
        <w:rPr>
          <w:lang w:val="es-AR"/>
        </w:rPr>
      </w:pPr>
    </w:p>
    <w:p w14:paraId="25E2865D" w14:textId="77777777" w:rsidR="00EA36CE" w:rsidRDefault="00EA36CE">
      <w:pPr>
        <w:rPr>
          <w:lang w:val="es-AR"/>
        </w:rPr>
      </w:pPr>
    </w:p>
    <w:p w14:paraId="63064C3A" w14:textId="77777777" w:rsidR="00EA36CE" w:rsidRDefault="00EA36CE">
      <w:pPr>
        <w:rPr>
          <w:lang w:val="es-AR"/>
        </w:rPr>
      </w:pPr>
    </w:p>
    <w:p w14:paraId="416C6936" w14:textId="4AE7B63F" w:rsidR="00EA36CE" w:rsidRDefault="00EA36CE">
      <w:pPr>
        <w:rPr>
          <w:lang w:val="es-AR"/>
        </w:rPr>
      </w:pPr>
      <w:r w:rsidRPr="00EA36CE">
        <w:rPr>
          <w:lang w:val="es-AR"/>
        </w:rPr>
        <w:lastRenderedPageBreak/>
        <w:drawing>
          <wp:inline distT="0" distB="0" distL="0" distR="0" wp14:anchorId="36476E45" wp14:editId="2575963D">
            <wp:extent cx="6501740" cy="3493689"/>
            <wp:effectExtent l="0" t="0" r="0" b="0"/>
            <wp:docPr id="63142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28513" name=""/>
                    <pic:cNvPicPr/>
                  </pic:nvPicPr>
                  <pic:blipFill>
                    <a:blip r:embed="rId17"/>
                    <a:stretch>
                      <a:fillRect/>
                    </a:stretch>
                  </pic:blipFill>
                  <pic:spPr>
                    <a:xfrm>
                      <a:off x="0" y="0"/>
                      <a:ext cx="6519863" cy="3503428"/>
                    </a:xfrm>
                    <a:prstGeom prst="rect">
                      <a:avLst/>
                    </a:prstGeom>
                  </pic:spPr>
                </pic:pic>
              </a:graphicData>
            </a:graphic>
          </wp:inline>
        </w:drawing>
      </w:r>
    </w:p>
    <w:p w14:paraId="55034962" w14:textId="73E12311" w:rsidR="00EA36CE" w:rsidRPr="00EA36CE" w:rsidRDefault="00EA36CE">
      <w:pPr>
        <w:rPr>
          <w:lang w:val="es-AR"/>
        </w:rPr>
      </w:pPr>
      <w:r w:rsidRPr="00EA36CE">
        <w:rPr>
          <w:lang w:val="es-AR"/>
        </w:rPr>
        <w:drawing>
          <wp:inline distT="0" distB="0" distL="0" distR="0" wp14:anchorId="1F0B3BF6" wp14:editId="4DA6B211">
            <wp:extent cx="6529070" cy="3435350"/>
            <wp:effectExtent l="0" t="0" r="5080" b="0"/>
            <wp:docPr id="12172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46797" name=""/>
                    <pic:cNvPicPr/>
                  </pic:nvPicPr>
                  <pic:blipFill>
                    <a:blip r:embed="rId18"/>
                    <a:stretch>
                      <a:fillRect/>
                    </a:stretch>
                  </pic:blipFill>
                  <pic:spPr>
                    <a:xfrm>
                      <a:off x="0" y="0"/>
                      <a:ext cx="6529070" cy="3435350"/>
                    </a:xfrm>
                    <a:prstGeom prst="rect">
                      <a:avLst/>
                    </a:prstGeom>
                  </pic:spPr>
                </pic:pic>
              </a:graphicData>
            </a:graphic>
          </wp:inline>
        </w:drawing>
      </w:r>
    </w:p>
    <w:p w14:paraId="6C5423DF" w14:textId="0F264B5D" w:rsidR="003D33CF" w:rsidRDefault="00EA36CE">
      <w:pPr>
        <w:rPr>
          <w:lang w:val="es-AR"/>
        </w:rPr>
      </w:pPr>
      <w:r w:rsidRPr="00EA36CE">
        <w:rPr>
          <w:lang w:val="es-AR"/>
        </w:rPr>
        <w:lastRenderedPageBreak/>
        <w:drawing>
          <wp:inline distT="0" distB="0" distL="0" distR="0" wp14:anchorId="4B25E5C8" wp14:editId="4EC5C9C4">
            <wp:extent cx="3291136" cy="3359373"/>
            <wp:effectExtent l="0" t="0" r="5080" b="0"/>
            <wp:docPr id="103701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7880" name=""/>
                    <pic:cNvPicPr/>
                  </pic:nvPicPr>
                  <pic:blipFill>
                    <a:blip r:embed="rId19"/>
                    <a:stretch>
                      <a:fillRect/>
                    </a:stretch>
                  </pic:blipFill>
                  <pic:spPr>
                    <a:xfrm>
                      <a:off x="0" y="0"/>
                      <a:ext cx="3301339" cy="3369787"/>
                    </a:xfrm>
                    <a:prstGeom prst="rect">
                      <a:avLst/>
                    </a:prstGeom>
                  </pic:spPr>
                </pic:pic>
              </a:graphicData>
            </a:graphic>
          </wp:inline>
        </w:drawing>
      </w:r>
    </w:p>
    <w:p w14:paraId="122C4D73" w14:textId="31B4672D" w:rsidR="00EA36CE" w:rsidRPr="00AE5E60" w:rsidRDefault="00E35B71">
      <w:pPr>
        <w:rPr>
          <w:lang w:val="es-AR"/>
        </w:rPr>
      </w:pPr>
      <w:r w:rsidRPr="00EA36CE">
        <w:rPr>
          <w:lang w:val="es-AR"/>
        </w:rPr>
        <w:drawing>
          <wp:inline distT="0" distB="0" distL="0" distR="0" wp14:anchorId="70E6F82B" wp14:editId="54C50D66">
            <wp:extent cx="6529070" cy="3098800"/>
            <wp:effectExtent l="0" t="0" r="5080" b="6350"/>
            <wp:docPr id="31723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34439" name=""/>
                    <pic:cNvPicPr/>
                  </pic:nvPicPr>
                  <pic:blipFill>
                    <a:blip r:embed="rId20"/>
                    <a:stretch>
                      <a:fillRect/>
                    </a:stretch>
                  </pic:blipFill>
                  <pic:spPr>
                    <a:xfrm>
                      <a:off x="0" y="0"/>
                      <a:ext cx="6529070" cy="3098800"/>
                    </a:xfrm>
                    <a:prstGeom prst="rect">
                      <a:avLst/>
                    </a:prstGeom>
                  </pic:spPr>
                </pic:pic>
              </a:graphicData>
            </a:graphic>
          </wp:inline>
        </w:drawing>
      </w:r>
    </w:p>
    <w:p w14:paraId="726F0594" w14:textId="77777777" w:rsidR="00205C07" w:rsidRPr="00AE5E60" w:rsidRDefault="00205C07">
      <w:pPr>
        <w:spacing w:after="0"/>
        <w:rPr>
          <w:lang w:val="es-AR"/>
        </w:rPr>
      </w:pPr>
    </w:p>
    <w:p w14:paraId="1877B7FA" w14:textId="71796F09" w:rsidR="00205C07" w:rsidRDefault="00E35B71">
      <w:pPr>
        <w:spacing w:after="0"/>
        <w:rPr>
          <w:lang w:val="es-AR"/>
        </w:rPr>
      </w:pPr>
      <w:r w:rsidRPr="00E35B71">
        <w:rPr>
          <w:lang w:val="es-AR"/>
        </w:rPr>
        <w:lastRenderedPageBreak/>
        <w:drawing>
          <wp:inline distT="0" distB="0" distL="0" distR="0" wp14:anchorId="5AA5AA99" wp14:editId="61E8A319">
            <wp:extent cx="6529070" cy="3133090"/>
            <wp:effectExtent l="0" t="0" r="5080" b="0"/>
            <wp:docPr id="173651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7683" name=""/>
                    <pic:cNvPicPr/>
                  </pic:nvPicPr>
                  <pic:blipFill>
                    <a:blip r:embed="rId21"/>
                    <a:stretch>
                      <a:fillRect/>
                    </a:stretch>
                  </pic:blipFill>
                  <pic:spPr>
                    <a:xfrm>
                      <a:off x="0" y="0"/>
                      <a:ext cx="6529070" cy="3133090"/>
                    </a:xfrm>
                    <a:prstGeom prst="rect">
                      <a:avLst/>
                    </a:prstGeom>
                  </pic:spPr>
                </pic:pic>
              </a:graphicData>
            </a:graphic>
          </wp:inline>
        </w:drawing>
      </w:r>
    </w:p>
    <w:p w14:paraId="28E24791" w14:textId="77777777" w:rsidR="00E35B71" w:rsidRDefault="00E35B71">
      <w:pPr>
        <w:spacing w:after="0"/>
        <w:rPr>
          <w:lang w:val="es-AR"/>
        </w:rPr>
      </w:pPr>
    </w:p>
    <w:p w14:paraId="4C01E612" w14:textId="3E190810" w:rsidR="00E35B71" w:rsidRDefault="00E35B71">
      <w:pPr>
        <w:spacing w:after="0"/>
        <w:rPr>
          <w:lang w:val="es-AR"/>
        </w:rPr>
      </w:pPr>
      <w:r w:rsidRPr="00E35B71">
        <w:rPr>
          <w:lang w:val="es-AR"/>
        </w:rPr>
        <w:drawing>
          <wp:inline distT="0" distB="0" distL="0" distR="0" wp14:anchorId="6157337D" wp14:editId="05C999D5">
            <wp:extent cx="6529070" cy="2448560"/>
            <wp:effectExtent l="0" t="0" r="5080" b="8890"/>
            <wp:docPr id="188013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3310" name=""/>
                    <pic:cNvPicPr/>
                  </pic:nvPicPr>
                  <pic:blipFill>
                    <a:blip r:embed="rId22"/>
                    <a:stretch>
                      <a:fillRect/>
                    </a:stretch>
                  </pic:blipFill>
                  <pic:spPr>
                    <a:xfrm>
                      <a:off x="0" y="0"/>
                      <a:ext cx="6529070" cy="2448560"/>
                    </a:xfrm>
                    <a:prstGeom prst="rect">
                      <a:avLst/>
                    </a:prstGeom>
                  </pic:spPr>
                </pic:pic>
              </a:graphicData>
            </a:graphic>
          </wp:inline>
        </w:drawing>
      </w:r>
    </w:p>
    <w:p w14:paraId="217FB0F5" w14:textId="5A425C57" w:rsidR="00E35B71" w:rsidRDefault="00E35B71">
      <w:pPr>
        <w:spacing w:after="0"/>
        <w:rPr>
          <w:lang w:val="es-AR"/>
        </w:rPr>
      </w:pPr>
      <w:r w:rsidRPr="00E35B71">
        <w:rPr>
          <w:lang w:val="es-AR"/>
        </w:rPr>
        <w:drawing>
          <wp:inline distT="0" distB="0" distL="0" distR="0" wp14:anchorId="3EDD5E95" wp14:editId="28C304A5">
            <wp:extent cx="6529070" cy="3120390"/>
            <wp:effectExtent l="0" t="0" r="5080" b="3810"/>
            <wp:docPr id="80917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9330" name=""/>
                    <pic:cNvPicPr/>
                  </pic:nvPicPr>
                  <pic:blipFill>
                    <a:blip r:embed="rId23"/>
                    <a:stretch>
                      <a:fillRect/>
                    </a:stretch>
                  </pic:blipFill>
                  <pic:spPr>
                    <a:xfrm>
                      <a:off x="0" y="0"/>
                      <a:ext cx="6529070" cy="3120390"/>
                    </a:xfrm>
                    <a:prstGeom prst="rect">
                      <a:avLst/>
                    </a:prstGeom>
                  </pic:spPr>
                </pic:pic>
              </a:graphicData>
            </a:graphic>
          </wp:inline>
        </w:drawing>
      </w:r>
    </w:p>
    <w:p w14:paraId="02FA523A" w14:textId="2DCEA153" w:rsidR="00E35B71" w:rsidRPr="00AE5E60" w:rsidRDefault="00E35B71">
      <w:pPr>
        <w:spacing w:after="0"/>
        <w:rPr>
          <w:lang w:val="es-AR"/>
        </w:rPr>
      </w:pPr>
      <w:r w:rsidRPr="00E35B71">
        <w:rPr>
          <w:lang w:val="es-AR"/>
        </w:rPr>
        <w:lastRenderedPageBreak/>
        <w:drawing>
          <wp:inline distT="0" distB="0" distL="0" distR="0" wp14:anchorId="6B0FAA71" wp14:editId="12D87301">
            <wp:extent cx="6529070" cy="3415030"/>
            <wp:effectExtent l="0" t="0" r="5080" b="0"/>
            <wp:docPr id="134189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0155" name=""/>
                    <pic:cNvPicPr/>
                  </pic:nvPicPr>
                  <pic:blipFill>
                    <a:blip r:embed="rId24"/>
                    <a:stretch>
                      <a:fillRect/>
                    </a:stretch>
                  </pic:blipFill>
                  <pic:spPr>
                    <a:xfrm>
                      <a:off x="0" y="0"/>
                      <a:ext cx="6529070" cy="3415030"/>
                    </a:xfrm>
                    <a:prstGeom prst="rect">
                      <a:avLst/>
                    </a:prstGeom>
                  </pic:spPr>
                </pic:pic>
              </a:graphicData>
            </a:graphic>
          </wp:inline>
        </w:drawing>
      </w:r>
    </w:p>
    <w:sectPr w:rsidR="00E35B71" w:rsidRPr="00AE5E60" w:rsidSect="00034616">
      <w:headerReference w:type="default" r:id="rId25"/>
      <w:footerReference w:type="default" r:id="rId26"/>
      <w:pgSz w:w="12240" w:h="15840"/>
      <w:pgMar w:top="835" w:right="979" w:bottom="835" w:left="979" w:header="37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6F5A7" w14:textId="77777777" w:rsidR="008A5A31" w:rsidRDefault="008A5A31">
      <w:pPr>
        <w:spacing w:after="0" w:line="240" w:lineRule="auto"/>
      </w:pPr>
      <w:r>
        <w:separator/>
      </w:r>
    </w:p>
  </w:endnote>
  <w:endnote w:type="continuationSeparator" w:id="0">
    <w:p w14:paraId="33B84E4C" w14:textId="77777777" w:rsidR="008A5A31" w:rsidRDefault="008A5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B149" w14:textId="77777777" w:rsidR="00205C07" w:rsidRDefault="00000000">
    <w:pPr>
      <w:pStyle w:val="Footer"/>
      <w:jc w:val="right"/>
    </w:pPr>
    <w:r w:rsidRPr="00AE5E60">
      <w:rPr>
        <w:color w:val="5A697C"/>
        <w:sz w:val="14"/>
        <w:lang w:val="es-AR"/>
      </w:rPr>
      <w:t xml:space="preserve">DISEÑO TÉCNICO  ·  BORRADOR V0.8   |   23 OCT 2026   |   PÁG. </w:t>
    </w:r>
    <w:r>
      <w:fldChar w:fldCharType="begin"/>
    </w:r>
    <w:r w:rsidRPr="00AE5E60">
      <w:rPr>
        <w:lang w:val="es-AR"/>
      </w:rPr>
      <w:instrText>PAGE</w:instrText>
    </w:r>
    <w:r>
      <w:fldChar w:fldCharType="separate"/>
    </w:r>
    <w:r w:rsidR="00AE5E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15AF" w14:textId="77777777" w:rsidR="008A5A31" w:rsidRDefault="008A5A31">
      <w:pPr>
        <w:spacing w:after="0" w:line="240" w:lineRule="auto"/>
      </w:pPr>
      <w:r>
        <w:separator/>
      </w:r>
    </w:p>
  </w:footnote>
  <w:footnote w:type="continuationSeparator" w:id="0">
    <w:p w14:paraId="5E4ED6F1" w14:textId="77777777" w:rsidR="008A5A31" w:rsidRDefault="008A5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25C0" w14:textId="77777777" w:rsidR="00205C07" w:rsidRDefault="00000000">
    <w:pPr>
      <w:pStyle w:val="ITSmall"/>
    </w:pPr>
    <w:r>
      <w:rPr>
        <w:b/>
        <w:color w:val="087E83"/>
      </w:rPr>
      <w:t>IT4W  /  NEXO RETAIL   ·   DATA ENGINEERING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0394">
    <w:abstractNumId w:val="8"/>
  </w:num>
  <w:num w:numId="2" w16cid:durableId="1846282795">
    <w:abstractNumId w:val="6"/>
  </w:num>
  <w:num w:numId="3" w16cid:durableId="2032297983">
    <w:abstractNumId w:val="5"/>
  </w:num>
  <w:num w:numId="4" w16cid:durableId="462424336">
    <w:abstractNumId w:val="4"/>
  </w:num>
  <w:num w:numId="5" w16cid:durableId="794755314">
    <w:abstractNumId w:val="7"/>
  </w:num>
  <w:num w:numId="6" w16cid:durableId="143089215">
    <w:abstractNumId w:val="3"/>
  </w:num>
  <w:num w:numId="7" w16cid:durableId="807017160">
    <w:abstractNumId w:val="2"/>
  </w:num>
  <w:num w:numId="8" w16cid:durableId="1324820547">
    <w:abstractNumId w:val="1"/>
  </w:num>
  <w:num w:numId="9" w16cid:durableId="129128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D2"/>
    <w:rsid w:val="0006063C"/>
    <w:rsid w:val="0015074B"/>
    <w:rsid w:val="001B656A"/>
    <w:rsid w:val="00205C07"/>
    <w:rsid w:val="0022728B"/>
    <w:rsid w:val="0029639D"/>
    <w:rsid w:val="00326F90"/>
    <w:rsid w:val="003D33CF"/>
    <w:rsid w:val="005F0678"/>
    <w:rsid w:val="007958ED"/>
    <w:rsid w:val="007D1146"/>
    <w:rsid w:val="008A5A31"/>
    <w:rsid w:val="009946DF"/>
    <w:rsid w:val="00AA1D8D"/>
    <w:rsid w:val="00AE5E60"/>
    <w:rsid w:val="00B47730"/>
    <w:rsid w:val="00B72DE5"/>
    <w:rsid w:val="00C975F6"/>
    <w:rsid w:val="00CB0664"/>
    <w:rsid w:val="00E21D22"/>
    <w:rsid w:val="00E35B71"/>
    <w:rsid w:val="00EA3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214D4"/>
  <w14:defaultImageDpi w14:val="300"/>
  <w15:docId w15:val="{3D793A71-D56F-4F31-B7FE-83E63A6B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color w:val="14223B"/>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Heading">
    <w:name w:val="IT Heading"/>
    <w:basedOn w:val="Normal"/>
    <w:pPr>
      <w:spacing w:before="100" w:after="160"/>
    </w:pPr>
    <w:rPr>
      <w:b/>
      <w:color w:val="1763AA"/>
      <w:sz w:val="25"/>
    </w:rPr>
  </w:style>
  <w:style w:type="paragraph" w:customStyle="1" w:styleId="ITSmall">
    <w:name w:val="IT Small"/>
    <w:basedOn w:val="Normal"/>
    <w:rPr>
      <w:color w:val="5A697C"/>
      <w:sz w:val="16"/>
    </w:rPr>
  </w:style>
  <w:style w:type="paragraph" w:customStyle="1" w:styleId="ITBullet">
    <w:name w:val="IT Bullet"/>
    <w:basedOn w:val="Normal"/>
    <w:pPr>
      <w:spacing w:after="40"/>
    </w:pPr>
    <w:rPr>
      <w:sz w:val="17"/>
    </w:rPr>
  </w:style>
  <w:style w:type="character" w:styleId="Hyperlink">
    <w:name w:val="Hyperlink"/>
    <w:basedOn w:val="DefaultParagraphFont"/>
    <w:uiPriority w:val="99"/>
    <w:unhideWhenUsed/>
    <w:rsid w:val="009946DF"/>
    <w:rPr>
      <w:color w:val="0000FF" w:themeColor="hyperlink"/>
      <w:u w:val="single"/>
    </w:rPr>
  </w:style>
  <w:style w:type="character" w:styleId="UnresolvedMention">
    <w:name w:val="Unresolved Mention"/>
    <w:basedOn w:val="DefaultParagraphFont"/>
    <w:uiPriority w:val="99"/>
    <w:semiHidden/>
    <w:unhideWhenUsed/>
    <w:rsid w:val="00994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kaco10/IT4W-Fabric-Challenge/blob/3ac806e23bb1f97f87800b78bc25e465c47b4973/fabric/NB_Consultas_Control.Notebook/notebook-content.sql"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makaco10/IT4W-Fabric-Challenge"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1409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Nexo Retail | IT4W Challenge - Diseño de solución</vt:lpstr>
    </vt:vector>
  </TitlesOfParts>
  <Manager/>
  <Company/>
  <LinksUpToDate>false</LinksUpToDate>
  <CharactersWithSpaces>9143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 Retail | IT4W Challenge - Diseño de solución</dc:title>
  <dc:subject>Data Engineering Challenge - arquitectura, calidad, resultados y uso de IA</dc:subject>
  <dc:creator>Carlos José González</dc:creator>
  <cp:keywords/>
  <dc:description>generated by python-docx</dc:description>
  <cp:lastModifiedBy>Carlos Jose Gonzalez</cp:lastModifiedBy>
  <cp:revision>7</cp:revision>
  <dcterms:created xsi:type="dcterms:W3CDTF">2013-12-23T23:15:00Z</dcterms:created>
  <dcterms:modified xsi:type="dcterms:W3CDTF">2026-10-23T19:37:00Z</dcterms:modified>
  <cp:category/>
</cp:coreProperties>
</file>