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02EA" w14:textId="77777777" w:rsidR="0035530B" w:rsidRDefault="0035530B" w:rsidP="0035530B">
      <w:pPr>
        <w:pStyle w:val="Heading1"/>
      </w:pPr>
      <w:r>
        <w:t>2. Enrollment Configuration (Community Connect Touchpoints)</w:t>
      </w:r>
    </w:p>
    <w:p w14:paraId="42DEA419" w14:textId="77777777" w:rsidR="0035530B" w:rsidRDefault="0035530B" w:rsidP="0035530B">
      <w:pPr>
        <w:spacing w:after="120"/>
      </w:pPr>
      <w:r>
        <w:t xml:space="preserve">Community Connect is one of five items that appear on the enrollment configuration page. The other four (Consent to Treat, Consent to Bill, Insurance, Medical Necessity) are part of the broader enrollment rework, but Community </w:t>
      </w:r>
      <w:proofErr w:type="spellStart"/>
      <w:r>
        <w:t>Connect's</w:t>
      </w:r>
      <w:proofErr w:type="spellEnd"/>
      <w:r>
        <w:t xml:space="preserve"> behavior on this page must match the same pattern, so it is described here.</w:t>
      </w:r>
    </w:p>
    <w:p w14:paraId="724A2BCB" w14:textId="77777777" w:rsidR="0035530B" w:rsidRDefault="0035530B" w:rsidP="0035530B">
      <w:pPr>
        <w:pStyle w:val="Heading2"/>
      </w:pPr>
      <w:r>
        <w:t>2.1 The five enrollment items</w:t>
      </w:r>
    </w:p>
    <w:p w14:paraId="227F0D59" w14:textId="77777777" w:rsidR="0035530B" w:rsidRDefault="0035530B" w:rsidP="0035530B">
      <w:pPr>
        <w:spacing w:after="120"/>
      </w:pPr>
      <w:r>
        <w:t>Each enrollment configuration is scoped per school year (e.g., 2025–26 and 2026–27). The school year toggle lives at the top of the configuration page so it applies across every item being configured. The five items are:</w:t>
      </w:r>
    </w:p>
    <w:p w14:paraId="7F2FD9E2" w14:textId="77777777" w:rsidR="0035530B" w:rsidRDefault="0035530B" w:rsidP="0035530B">
      <w:pPr>
        <w:pStyle w:val="ListParagraph"/>
        <w:numPr>
          <w:ilvl w:val="0"/>
          <w:numId w:val="2"/>
        </w:numPr>
        <w:spacing w:after="80"/>
        <w:contextualSpacing w:val="0"/>
      </w:pPr>
      <w:r>
        <w:t>Consent to Treat</w:t>
      </w:r>
    </w:p>
    <w:p w14:paraId="69C6A909" w14:textId="77777777" w:rsidR="0035530B" w:rsidRDefault="0035530B" w:rsidP="0035530B">
      <w:pPr>
        <w:pStyle w:val="ListParagraph"/>
        <w:numPr>
          <w:ilvl w:val="0"/>
          <w:numId w:val="2"/>
        </w:numPr>
        <w:spacing w:after="80"/>
        <w:contextualSpacing w:val="0"/>
      </w:pPr>
      <w:r>
        <w:t>Consent to Bill</w:t>
      </w:r>
    </w:p>
    <w:p w14:paraId="054FBABB" w14:textId="77777777" w:rsidR="0035530B" w:rsidRDefault="0035530B" w:rsidP="0035530B">
      <w:pPr>
        <w:pStyle w:val="ListParagraph"/>
        <w:numPr>
          <w:ilvl w:val="0"/>
          <w:numId w:val="2"/>
        </w:numPr>
        <w:spacing w:after="80"/>
        <w:contextualSpacing w:val="0"/>
      </w:pPr>
      <w:r>
        <w:t>Insurance</w:t>
      </w:r>
    </w:p>
    <w:p w14:paraId="5EBB4018" w14:textId="77777777" w:rsidR="0035530B" w:rsidRDefault="0035530B" w:rsidP="0035530B">
      <w:pPr>
        <w:pStyle w:val="ListParagraph"/>
        <w:numPr>
          <w:ilvl w:val="0"/>
          <w:numId w:val="2"/>
        </w:numPr>
        <w:spacing w:after="80"/>
        <w:contextualSpacing w:val="0"/>
      </w:pPr>
      <w:r>
        <w:t>Medical Necessity (this section also contains the optional Enrollment Questionnaire)</w:t>
      </w:r>
    </w:p>
    <w:p w14:paraId="5096C058" w14:textId="77777777" w:rsidR="0035530B" w:rsidRDefault="0035530B" w:rsidP="0035530B">
      <w:pPr>
        <w:pStyle w:val="ListParagraph"/>
        <w:numPr>
          <w:ilvl w:val="0"/>
          <w:numId w:val="2"/>
        </w:numPr>
        <w:spacing w:after="80"/>
        <w:contextualSpacing w:val="0"/>
      </w:pPr>
      <w:r>
        <w:t>Community Connect</w:t>
      </w:r>
    </w:p>
    <w:p w14:paraId="425DD1D3" w14:textId="77777777" w:rsidR="0035530B" w:rsidRDefault="0035530B" w:rsidP="0035530B">
      <w:pPr>
        <w:spacing w:after="80"/>
      </w:pPr>
      <w:hyperlink r:id="rId5" w:history="1">
        <w:r w:rsidRPr="00580416">
          <w:rPr>
            <w:rStyle w:val="Hyperlink"/>
          </w:rPr>
          <w:t>https://www.figma.com/design/OOZKr4DzllKxSpfRoG5ggG/LIBERATE?node-id=17877-65378&amp;t=ppN5Q6L7VCOqO20u-1</w:t>
        </w:r>
      </w:hyperlink>
      <w:r>
        <w:t xml:space="preserve"> </w:t>
      </w:r>
    </w:p>
    <w:p w14:paraId="24476E09" w14:textId="77777777" w:rsidR="0035530B" w:rsidRDefault="0035530B" w:rsidP="0035530B">
      <w:pPr>
        <w:pStyle w:val="Heading2"/>
      </w:pPr>
      <w:r>
        <w:t>2.2 Per-item configuration options</w:t>
      </w:r>
    </w:p>
    <w:p w14:paraId="635515B3" w14:textId="77777777" w:rsidR="0035530B" w:rsidRDefault="0035530B" w:rsidP="0035530B">
      <w:pPr>
        <w:spacing w:after="120"/>
      </w:pPr>
      <w:r>
        <w:t>When the user clicks into any of the five items, they configure three Yes/No options per school year. Some of these are locked depending on the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1699"/>
        <w:gridCol w:w="1699"/>
        <w:gridCol w:w="1707"/>
        <w:gridCol w:w="1759"/>
      </w:tblGrid>
      <w:tr w:rsidR="0035530B" w14:paraId="361863FA" w14:textId="77777777" w:rsidTr="005C3C99">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22E6A57" w14:textId="77777777" w:rsidR="0035530B" w:rsidRDefault="0035530B" w:rsidP="005C3C99">
            <w:r>
              <w:rPr>
                <w:b/>
                <w:bCs/>
                <w:color w:val="FFFFFF"/>
              </w:rPr>
              <w:t>Item</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9B25E2D" w14:textId="77777777" w:rsidR="0035530B" w:rsidRDefault="0035530B" w:rsidP="005C3C99">
            <w:r>
              <w:rPr>
                <w:b/>
                <w:bCs/>
                <w:color w:val="FFFFFF"/>
              </w:rPr>
              <w:t>Active / Inactive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D3C4A2" w14:textId="77777777" w:rsidR="0035530B" w:rsidRDefault="0035530B" w:rsidP="005C3C99">
            <w:r>
              <w:rPr>
                <w:b/>
                <w:bCs/>
                <w:color w:val="FFFFFF"/>
              </w:rPr>
              <w:t>Show in Student Clearance Card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92B3DFD" w14:textId="77777777" w:rsidR="0035530B" w:rsidRDefault="0035530B" w:rsidP="005C3C99">
            <w:r>
              <w:rPr>
                <w:b/>
                <w:bCs/>
                <w:color w:val="FFFFFF"/>
              </w:rPr>
              <w:t>Required for Documentation</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F5E329" w14:textId="77777777" w:rsidR="0035530B" w:rsidRDefault="0035530B" w:rsidP="005C3C99">
            <w:r>
              <w:rPr>
                <w:b/>
                <w:bCs/>
                <w:color w:val="FFFFFF"/>
              </w:rPr>
              <w:t>Required for Billing</w:t>
            </w:r>
          </w:p>
        </w:tc>
      </w:tr>
      <w:tr w:rsidR="0035530B" w14:paraId="5C5562FF" w14:textId="77777777" w:rsidTr="005C3C99">
        <w:tc>
          <w:tcPr>
            <w:tcW w:w="2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0C03D9E" w14:textId="77777777" w:rsidR="0035530B" w:rsidRDefault="0035530B" w:rsidP="005C3C99">
            <w:r>
              <w:rPr>
                <w:b/>
                <w:bCs/>
              </w:rPr>
              <w:t>Consent to Treat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08C165" w14:textId="77777777" w:rsidR="0035530B" w:rsidRDefault="0035530B" w:rsidP="005C3C99">
            <w:r>
              <w:t>Locked: Active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F02837" w14:textId="77777777" w:rsidR="0035530B" w:rsidRDefault="0035530B" w:rsidP="005C3C99">
            <w:r>
              <w:t>Locked: Yes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43AEBB" w14:textId="77777777" w:rsidR="0035530B" w:rsidRDefault="0035530B" w:rsidP="005C3C99">
            <w:r>
              <w:t>Configurable</w:t>
            </w:r>
          </w:p>
        </w:tc>
        <w:tc>
          <w:tcPr>
            <w:tcW w:w="1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393133A" w14:textId="77777777" w:rsidR="0035530B" w:rsidRDefault="0035530B" w:rsidP="005C3C99">
            <w:r>
              <w:t>Configurable</w:t>
            </w:r>
          </w:p>
        </w:tc>
      </w:tr>
      <w:tr w:rsidR="0035530B" w14:paraId="49A41943" w14:textId="77777777" w:rsidTr="005C3C99">
        <w:tc>
          <w:tcPr>
            <w:tcW w:w="2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C3C30D" w14:textId="77777777" w:rsidR="0035530B" w:rsidRDefault="0035530B" w:rsidP="005C3C99">
            <w:r>
              <w:rPr>
                <w:b/>
                <w:bCs/>
              </w:rPr>
              <w:t>Consent to Bill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1EB193" w14:textId="77777777" w:rsidR="0035530B" w:rsidRDefault="0035530B" w:rsidP="005C3C99">
            <w:r>
              <w:t>Locked: Active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8F24CD" w14:textId="77777777" w:rsidR="0035530B" w:rsidRDefault="0035530B" w:rsidP="005C3C99">
            <w:r>
              <w:t>Locked: Yes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583A27E" w14:textId="77777777" w:rsidR="0035530B" w:rsidRDefault="0035530B" w:rsidP="005C3C99">
            <w:r>
              <w:t>Configurable</w:t>
            </w:r>
          </w:p>
        </w:tc>
        <w:tc>
          <w:tcPr>
            <w:tcW w:w="1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5FD8354" w14:textId="77777777" w:rsidR="0035530B" w:rsidRDefault="0035530B" w:rsidP="005C3C99">
            <w:r>
              <w:t>Configurable</w:t>
            </w:r>
          </w:p>
        </w:tc>
      </w:tr>
      <w:tr w:rsidR="0035530B" w14:paraId="4FBE7EF0" w14:textId="77777777" w:rsidTr="005C3C99">
        <w:tc>
          <w:tcPr>
            <w:tcW w:w="2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76A00D3" w14:textId="77777777" w:rsidR="0035530B" w:rsidRDefault="0035530B" w:rsidP="005C3C99">
            <w:r>
              <w:rPr>
                <w:b/>
                <w:bCs/>
              </w:rPr>
              <w:t>Insurance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AE5E30" w14:textId="77777777" w:rsidR="0035530B" w:rsidRDefault="0035530B" w:rsidP="005C3C99">
            <w:r>
              <w:t>Locked: Active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6058D6" w14:textId="77777777" w:rsidR="0035530B" w:rsidRDefault="0035530B" w:rsidP="005C3C99">
            <w:r>
              <w:t>Locked: Yes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3CFE42" w14:textId="77777777" w:rsidR="0035530B" w:rsidRDefault="0035530B" w:rsidP="005C3C99">
            <w:r>
              <w:t>Configurable</w:t>
            </w:r>
          </w:p>
        </w:tc>
        <w:tc>
          <w:tcPr>
            <w:tcW w:w="1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1F2EEC3" w14:textId="77777777" w:rsidR="0035530B" w:rsidRDefault="0035530B" w:rsidP="005C3C99">
            <w:r>
              <w:t>Configurable</w:t>
            </w:r>
          </w:p>
        </w:tc>
      </w:tr>
      <w:tr w:rsidR="0035530B" w14:paraId="6E582D28" w14:textId="77777777" w:rsidTr="005C3C99">
        <w:tc>
          <w:tcPr>
            <w:tcW w:w="2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A189DB2" w14:textId="77777777" w:rsidR="0035530B" w:rsidRDefault="0035530B" w:rsidP="005C3C99">
            <w:r>
              <w:rPr>
                <w:b/>
                <w:bCs/>
              </w:rPr>
              <w:t>Medical Necessity</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668DB4" w14:textId="77777777" w:rsidR="0035530B" w:rsidRDefault="0035530B" w:rsidP="005C3C99">
            <w:r>
              <w:t>Configurable</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2571CA3" w14:textId="77777777" w:rsidR="0035530B" w:rsidRDefault="0035530B" w:rsidP="005C3C99">
            <w:r>
              <w:t>Configurable</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F288C9" w14:textId="77777777" w:rsidR="0035530B" w:rsidRDefault="0035530B" w:rsidP="005C3C99">
            <w:r>
              <w:t>Configurable</w:t>
            </w:r>
          </w:p>
        </w:tc>
        <w:tc>
          <w:tcPr>
            <w:tcW w:w="1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764C40" w14:textId="77777777" w:rsidR="0035530B" w:rsidRDefault="0035530B" w:rsidP="005C3C99">
            <w:r>
              <w:t>Configurable</w:t>
            </w:r>
          </w:p>
        </w:tc>
      </w:tr>
      <w:tr w:rsidR="0035530B" w14:paraId="33BA5BE1" w14:textId="77777777" w:rsidTr="005C3C99">
        <w:tc>
          <w:tcPr>
            <w:tcW w:w="2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7C945C0" w14:textId="77777777" w:rsidR="0035530B" w:rsidRDefault="0035530B" w:rsidP="005C3C99">
            <w:r>
              <w:rPr>
                <w:b/>
                <w:bCs/>
              </w:rPr>
              <w:t>Community Connect</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85B816" w14:textId="77777777" w:rsidR="0035530B" w:rsidRDefault="0035530B" w:rsidP="005C3C99">
            <w:r>
              <w:t>Configurable</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F3D599" w14:textId="77777777" w:rsidR="0035530B" w:rsidRDefault="0035530B" w:rsidP="005C3C99">
            <w:r>
              <w:t>Configurable</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0560B81" w14:textId="77777777" w:rsidR="0035530B" w:rsidRDefault="0035530B" w:rsidP="005C3C99">
            <w:r>
              <w:t>Configurable</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03FAD5" w14:textId="77777777" w:rsidR="0035530B" w:rsidRDefault="0035530B" w:rsidP="005C3C99">
            <w:r>
              <w:t>N/A (no billing)</w:t>
            </w:r>
          </w:p>
        </w:tc>
      </w:tr>
    </w:tbl>
    <w:p w14:paraId="0F6385D2" w14:textId="77777777" w:rsidR="0035530B" w:rsidRDefault="0035530B" w:rsidP="0035530B">
      <w:pPr>
        <w:spacing w:after="120"/>
      </w:pPr>
    </w:p>
    <w:p w14:paraId="78117455" w14:textId="77777777" w:rsidR="0035530B" w:rsidRDefault="0035530B" w:rsidP="0035530B">
      <w:pPr>
        <w:pStyle w:val="Heading3"/>
      </w:pPr>
      <w:r>
        <w:t>Behavior driven by these toggles</w:t>
      </w:r>
    </w:p>
    <w:p w14:paraId="50A8DB6C" w14:textId="77777777" w:rsidR="0035530B" w:rsidRDefault="0035530B" w:rsidP="0035530B">
      <w:pPr>
        <w:spacing w:after="80"/>
      </w:pPr>
      <w:r>
        <w:rPr>
          <w:b/>
          <w:bCs/>
        </w:rPr>
        <w:t xml:space="preserve">Required for Documentation = Yes: </w:t>
      </w:r>
      <w:r>
        <w:t xml:space="preserve">If the item is missing for a student, the student displays as red in the clearance </w:t>
      </w:r>
      <w:proofErr w:type="gramStart"/>
      <w:r>
        <w:t>card</w:t>
      </w:r>
      <w:proofErr w:type="gramEnd"/>
      <w:r>
        <w:t xml:space="preserve"> and the practitioner cannot document services without using the bypass flow. This replaces today's bypass-by-default behavior.</w:t>
      </w:r>
    </w:p>
    <w:p w14:paraId="78F6AE19" w14:textId="77777777" w:rsidR="0035530B" w:rsidRDefault="0035530B" w:rsidP="0035530B">
      <w:pPr>
        <w:spacing w:after="80"/>
      </w:pPr>
      <w:r>
        <w:rPr>
          <w:b/>
          <w:bCs/>
        </w:rPr>
        <w:lastRenderedPageBreak/>
        <w:t xml:space="preserve">Required for Billing = Yes: </w:t>
      </w:r>
      <w:r>
        <w:t>Claims cannot be created for that student without the item. The student displays as yellow when missing.</w:t>
      </w:r>
    </w:p>
    <w:p w14:paraId="2A81FC8E" w14:textId="77777777" w:rsidR="0035530B" w:rsidRDefault="0035530B" w:rsidP="0035530B">
      <w:pPr>
        <w:spacing w:after="80"/>
      </w:pPr>
      <w:r>
        <w:rPr>
          <w:b/>
          <w:bCs/>
        </w:rPr>
        <w:t xml:space="preserve">Refusal status: </w:t>
      </w:r>
      <w:r>
        <w:t>Orange continues to indicate refusal and is never affected by the Required for Documentation / Required for Billing toggles. Orange is orange.</w:t>
      </w:r>
    </w:p>
    <w:p w14:paraId="57C296A5" w14:textId="77777777" w:rsidR="0035530B" w:rsidRDefault="0035530B" w:rsidP="0035530B">
      <w:pPr>
        <w:spacing w:after="80"/>
      </w:pPr>
      <w:r>
        <w:rPr>
          <w:b/>
          <w:bCs/>
        </w:rPr>
        <w:t xml:space="preserve">Active / Inactive: </w:t>
      </w:r>
      <w:r>
        <w:t>When inactive, the item does not appear on the family portal, the student profile, the one-click view, or the clearance card. The first three items (Consent to Treat, Consent to Bill, Insurance) are always Active.</w:t>
      </w:r>
    </w:p>
    <w:p w14:paraId="5F1A2795" w14:textId="77777777" w:rsidR="0035530B" w:rsidRDefault="0035530B" w:rsidP="0035530B">
      <w:pPr>
        <w:pStyle w:val="Heading3"/>
      </w:pPr>
      <w:r>
        <w:t>Billing mechanics by item</w:t>
      </w:r>
    </w:p>
    <w:p w14:paraId="096D71B3" w14:textId="77777777" w:rsidR="0035530B" w:rsidRDefault="0035530B" w:rsidP="0035530B">
      <w:pPr>
        <w:pStyle w:val="ListParagraph"/>
        <w:numPr>
          <w:ilvl w:val="0"/>
          <w:numId w:val="1"/>
        </w:numPr>
        <w:spacing w:after="80"/>
        <w:contextualSpacing w:val="0"/>
      </w:pPr>
      <w:r>
        <w:t xml:space="preserve">Consent to Treat missing → claim moves to </w:t>
      </w:r>
      <w:proofErr w:type="gramStart"/>
      <w:r>
        <w:t>Non-Billable</w:t>
      </w:r>
      <w:proofErr w:type="gramEnd"/>
      <w:r>
        <w:t xml:space="preserve"> (the consent date must precede the date of service).</w:t>
      </w:r>
    </w:p>
    <w:p w14:paraId="46AF8917" w14:textId="77777777" w:rsidR="0035530B" w:rsidRDefault="0035530B" w:rsidP="0035530B">
      <w:pPr>
        <w:pStyle w:val="ListParagraph"/>
        <w:numPr>
          <w:ilvl w:val="0"/>
          <w:numId w:val="1"/>
        </w:numPr>
        <w:spacing w:after="80"/>
        <w:contextualSpacing w:val="0"/>
      </w:pPr>
      <w:r>
        <w:t>Consent to Bill missing → claim moves to the Billing Issues queue (can be billed later if obtained).</w:t>
      </w:r>
    </w:p>
    <w:p w14:paraId="572AFF83" w14:textId="77777777" w:rsidR="0035530B" w:rsidRDefault="0035530B" w:rsidP="0035530B">
      <w:pPr>
        <w:pStyle w:val="ListParagraph"/>
        <w:numPr>
          <w:ilvl w:val="0"/>
          <w:numId w:val="1"/>
        </w:numPr>
        <w:spacing w:after="80"/>
        <w:contextualSpacing w:val="0"/>
      </w:pPr>
      <w:r>
        <w:t xml:space="preserve">Insurance missing and Required for Billing → </w:t>
      </w:r>
      <w:proofErr w:type="gramStart"/>
      <w:r>
        <w:t>Non-Billable</w:t>
      </w:r>
      <w:proofErr w:type="gramEnd"/>
      <w:r>
        <w:t xml:space="preserve"> until obtained, after which it moves through the Billing Issues queue.</w:t>
      </w:r>
    </w:p>
    <w:p w14:paraId="27991B5C" w14:textId="77777777" w:rsidR="0035530B" w:rsidRDefault="0035530B" w:rsidP="0035530B">
      <w:pPr>
        <w:pStyle w:val="ListParagraph"/>
        <w:numPr>
          <w:ilvl w:val="0"/>
          <w:numId w:val="1"/>
        </w:numPr>
        <w:spacing w:after="80"/>
        <w:contextualSpacing w:val="0"/>
      </w:pPr>
      <w:r>
        <w:t>Community Connect → does not affect billing on the LEA side. Billing for CBO-delivered services is handled separately (see Section 9).</w:t>
      </w:r>
    </w:p>
    <w:p w14:paraId="37BB58F0" w14:textId="77777777" w:rsidR="0035530B" w:rsidRDefault="0035530B" w:rsidP="0035530B">
      <w:pPr>
        <w:spacing w:after="80"/>
      </w:pPr>
      <w:hyperlink r:id="rId6" w:history="1">
        <w:r w:rsidRPr="00580416">
          <w:rPr>
            <w:rStyle w:val="Hyperlink"/>
          </w:rPr>
          <w:t>https://www.figma.com/design/OOZKr4DzllKxSpfRoG5ggG/LIBERATE?node-id=17893-409118&amp;t=ppN5Q6L7VCOqO20u-1</w:t>
        </w:r>
      </w:hyperlink>
      <w:r>
        <w:t xml:space="preserve"> </w:t>
      </w:r>
    </w:p>
    <w:p w14:paraId="294FB1BA" w14:textId="77777777" w:rsidR="0035530B" w:rsidRDefault="0035530B" w:rsidP="0035530B">
      <w:pPr>
        <w:pStyle w:val="Heading2"/>
      </w:pPr>
      <w:r>
        <w:t>2.3 Rollover from prior year</w:t>
      </w:r>
    </w:p>
    <w:p w14:paraId="7161EB6F" w14:textId="77777777" w:rsidR="0035530B" w:rsidRDefault="0035530B" w:rsidP="0035530B">
      <w:pPr>
        <w:spacing w:after="120"/>
      </w:pPr>
      <w:r>
        <w:t>On the 2026–27 enrollment configuration, each item exposes a checkbox labeled "Rollover from previous year" (final language TBD). When checked, signed submissions from the prior school year apply to the current year — i.e., a student who completed Consent to Treat in 2025–26 does not need to resign for 2026–27.</w:t>
      </w:r>
    </w:p>
    <w:p w14:paraId="5491EA5F" w14:textId="77777777" w:rsidR="0035530B" w:rsidRDefault="0035530B" w:rsidP="0035530B">
      <w:pPr>
        <w:pStyle w:val="ListParagraph"/>
        <w:numPr>
          <w:ilvl w:val="0"/>
          <w:numId w:val="1"/>
        </w:numPr>
        <w:spacing w:after="80"/>
        <w:contextualSpacing w:val="0"/>
      </w:pPr>
      <w:r>
        <w:t>Rollover applies per-item (Consent to Treat, Consent to Bill, Insurance, Medical Necessity, Community Connect).</w:t>
      </w:r>
    </w:p>
    <w:p w14:paraId="7CD931AC" w14:textId="77777777" w:rsidR="0035530B" w:rsidRDefault="0035530B" w:rsidP="0035530B">
      <w:pPr>
        <w:pStyle w:val="ListParagraph"/>
        <w:numPr>
          <w:ilvl w:val="0"/>
          <w:numId w:val="1"/>
        </w:numPr>
        <w:spacing w:after="80"/>
        <w:contextualSpacing w:val="0"/>
      </w:pPr>
      <w:r>
        <w:t>Rollover access is restricted to the DGO role only.</w:t>
      </w:r>
    </w:p>
    <w:p w14:paraId="33539AA8" w14:textId="77777777" w:rsidR="0035530B" w:rsidRDefault="0035530B" w:rsidP="0035530B">
      <w:pPr>
        <w:pStyle w:val="ListParagraph"/>
        <w:numPr>
          <w:ilvl w:val="0"/>
          <w:numId w:val="1"/>
        </w:numPr>
        <w:spacing w:after="80"/>
        <w:contextualSpacing w:val="0"/>
      </w:pPr>
      <w:r>
        <w:t>Helper text below the checkbox explains the implication clearly.</w:t>
      </w:r>
    </w:p>
    <w:p w14:paraId="2960EC95" w14:textId="77777777" w:rsidR="0035530B" w:rsidRDefault="0035530B" w:rsidP="0035530B">
      <w:pPr>
        <w:spacing w:after="80"/>
      </w:pPr>
      <w:hyperlink r:id="rId7" w:history="1">
        <w:r w:rsidRPr="00580416">
          <w:rPr>
            <w:rStyle w:val="Hyperlink"/>
          </w:rPr>
          <w:t>https://www.figma.com/design/OOZKr4DzllKxSpfRoG5ggG/LIBERATE?node-id=17923-114719&amp;t=ppN5Q6L7VCOqO20u-1</w:t>
        </w:r>
      </w:hyperlink>
      <w:r>
        <w:t xml:space="preserve"> </w:t>
      </w:r>
    </w:p>
    <w:p w14:paraId="0660E9E6" w14:textId="77777777" w:rsidR="0035530B" w:rsidRDefault="0035530B" w:rsidP="0035530B">
      <w:pPr>
        <w:pStyle w:val="Heading2"/>
      </w:pPr>
      <w:r>
        <w:t>2.4 Medical Necessity vs. Enrollment Questionnaire</w:t>
      </w:r>
    </w:p>
    <w:p w14:paraId="4EF9C0E5" w14:textId="77777777" w:rsidR="0035530B" w:rsidRDefault="0035530B" w:rsidP="0035530B">
      <w:pPr>
        <w:spacing w:after="120"/>
      </w:pPr>
      <w:r>
        <w:t>What today is called "Enrollment Questionnaire" is being renamed to Medical Necessity at the top level. The Enrollment Questionnaire becomes a sub-component inside Medical Necessity that the LEA can choose to use or not.</w:t>
      </w:r>
    </w:p>
    <w:p w14:paraId="5E69EEB3" w14:textId="77777777" w:rsidR="0035530B" w:rsidRDefault="0035530B" w:rsidP="0035530B">
      <w:pPr>
        <w:pStyle w:val="ListParagraph"/>
        <w:numPr>
          <w:ilvl w:val="0"/>
          <w:numId w:val="1"/>
        </w:numPr>
        <w:spacing w:after="80"/>
        <w:contextualSpacing w:val="0"/>
      </w:pPr>
      <w:r>
        <w:t>Medical Necessity is what appears in the clearance card; Enrollment Questionnaire does not appear in the card on its own.</w:t>
      </w:r>
    </w:p>
    <w:p w14:paraId="20F73D3E" w14:textId="77777777" w:rsidR="0035530B" w:rsidRDefault="0035530B" w:rsidP="0035530B">
      <w:pPr>
        <w:pStyle w:val="ListParagraph"/>
        <w:numPr>
          <w:ilvl w:val="0"/>
          <w:numId w:val="1"/>
        </w:numPr>
        <w:spacing w:after="80"/>
        <w:contextualSpacing w:val="0"/>
      </w:pPr>
      <w:r>
        <w:t>A district can choose to leave Medical Necessity inactive (e.g., a district that does not want to track medical necessity at all and simply collects insurance and submits claims).</w:t>
      </w:r>
    </w:p>
    <w:p w14:paraId="47F542CC" w14:textId="77777777" w:rsidR="0035530B" w:rsidRDefault="0035530B" w:rsidP="0035530B">
      <w:pPr>
        <w:pStyle w:val="ListParagraph"/>
        <w:numPr>
          <w:ilvl w:val="0"/>
          <w:numId w:val="1"/>
        </w:numPr>
        <w:spacing w:after="80"/>
        <w:contextualSpacing w:val="0"/>
      </w:pPr>
      <w:r>
        <w:t>Inside Medical Necessity, the LEA can toggle Active/Inactive for the Enrollment Questionnaire form itself.</w:t>
      </w:r>
    </w:p>
    <w:p w14:paraId="27106CB2" w14:textId="77777777" w:rsidR="0035530B" w:rsidRDefault="0035530B" w:rsidP="0035530B">
      <w:pPr>
        <w:pStyle w:val="ListParagraph"/>
        <w:numPr>
          <w:ilvl w:val="0"/>
          <w:numId w:val="1"/>
        </w:numPr>
        <w:spacing w:after="80"/>
        <w:contextualSpacing w:val="0"/>
      </w:pPr>
      <w:r>
        <w:lastRenderedPageBreak/>
        <w:t>The Enrollment Questionnaire form list keeps the existing form-management actions (clone, etc.). Only one Enrollment Questionnaire can be Active at a time per school year — indicated with a star (or similar).</w:t>
      </w:r>
    </w:p>
    <w:p w14:paraId="3C26A14F" w14:textId="77777777" w:rsidR="0035530B" w:rsidRDefault="0035530B" w:rsidP="0035530B">
      <w:pPr>
        <w:spacing w:after="80"/>
      </w:pPr>
      <w:hyperlink r:id="rId8" w:history="1">
        <w:r w:rsidRPr="00580416">
          <w:rPr>
            <w:rStyle w:val="Hyperlink"/>
          </w:rPr>
          <w:t>https://www.figma.com/design/OOZKr4DzllKxSpfRoG5ggG/LIBERATE?node-id=17877-65378&amp;t=ppN5Q6L7VCOqO20u-1</w:t>
        </w:r>
      </w:hyperlink>
      <w:r>
        <w:t xml:space="preserve"> </w:t>
      </w:r>
    </w:p>
    <w:p w14:paraId="7918A9A8" w14:textId="77777777" w:rsidR="00CF5036" w:rsidRDefault="00CF5036"/>
    <w:sectPr w:rsidR="00CF5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04B33"/>
    <w:multiLevelType w:val="hybridMultilevel"/>
    <w:tmpl w:val="2BB87F9A"/>
    <w:lvl w:ilvl="0" w:tplc="9536B36A">
      <w:start w:val="1"/>
      <w:numFmt w:val="bullet"/>
      <w:lvlText w:val="•"/>
      <w:lvlJc w:val="left"/>
      <w:pPr>
        <w:ind w:left="720" w:hanging="360"/>
      </w:pPr>
    </w:lvl>
    <w:lvl w:ilvl="1" w:tplc="60DC451E">
      <w:start w:val="1"/>
      <w:numFmt w:val="bullet"/>
      <w:lvlText w:val="◦"/>
      <w:lvlJc w:val="left"/>
      <w:pPr>
        <w:ind w:left="1440" w:hanging="360"/>
      </w:pPr>
    </w:lvl>
    <w:lvl w:ilvl="2" w:tplc="FE6C27F8">
      <w:numFmt w:val="decimal"/>
      <w:lvlText w:val=""/>
      <w:lvlJc w:val="left"/>
    </w:lvl>
    <w:lvl w:ilvl="3" w:tplc="A1E67B22">
      <w:numFmt w:val="decimal"/>
      <w:lvlText w:val=""/>
      <w:lvlJc w:val="left"/>
    </w:lvl>
    <w:lvl w:ilvl="4" w:tplc="61F43D38">
      <w:numFmt w:val="decimal"/>
      <w:lvlText w:val=""/>
      <w:lvlJc w:val="left"/>
    </w:lvl>
    <w:lvl w:ilvl="5" w:tplc="19120A3C">
      <w:numFmt w:val="decimal"/>
      <w:lvlText w:val=""/>
      <w:lvlJc w:val="left"/>
    </w:lvl>
    <w:lvl w:ilvl="6" w:tplc="E30017A2">
      <w:numFmt w:val="decimal"/>
      <w:lvlText w:val=""/>
      <w:lvlJc w:val="left"/>
    </w:lvl>
    <w:lvl w:ilvl="7" w:tplc="E8FE0F70">
      <w:numFmt w:val="decimal"/>
      <w:lvlText w:val=""/>
      <w:lvlJc w:val="left"/>
    </w:lvl>
    <w:lvl w:ilvl="8" w:tplc="9D08C446">
      <w:numFmt w:val="decimal"/>
      <w:lvlText w:val=""/>
      <w:lvlJc w:val="left"/>
    </w:lvl>
  </w:abstractNum>
  <w:abstractNum w:abstractNumId="1" w15:restartNumberingAfterBreak="0">
    <w:nsid w:val="3B2A028D"/>
    <w:multiLevelType w:val="hybridMultilevel"/>
    <w:tmpl w:val="14CC276A"/>
    <w:lvl w:ilvl="0" w:tplc="8A6A8CA0">
      <w:start w:val="1"/>
      <w:numFmt w:val="decimal"/>
      <w:lvlText w:val="%1."/>
      <w:lvlJc w:val="left"/>
      <w:pPr>
        <w:ind w:left="720" w:hanging="360"/>
      </w:pPr>
    </w:lvl>
    <w:lvl w:ilvl="1" w:tplc="72DE0A8C">
      <w:numFmt w:val="decimal"/>
      <w:lvlText w:val=""/>
      <w:lvlJc w:val="left"/>
    </w:lvl>
    <w:lvl w:ilvl="2" w:tplc="03C29B02">
      <w:numFmt w:val="decimal"/>
      <w:lvlText w:val=""/>
      <w:lvlJc w:val="left"/>
    </w:lvl>
    <w:lvl w:ilvl="3" w:tplc="41C47178">
      <w:numFmt w:val="decimal"/>
      <w:lvlText w:val=""/>
      <w:lvlJc w:val="left"/>
    </w:lvl>
    <w:lvl w:ilvl="4" w:tplc="75FE365C">
      <w:numFmt w:val="decimal"/>
      <w:lvlText w:val=""/>
      <w:lvlJc w:val="left"/>
    </w:lvl>
    <w:lvl w:ilvl="5" w:tplc="E2486CD8">
      <w:numFmt w:val="decimal"/>
      <w:lvlText w:val=""/>
      <w:lvlJc w:val="left"/>
    </w:lvl>
    <w:lvl w:ilvl="6" w:tplc="3B9A029C">
      <w:numFmt w:val="decimal"/>
      <w:lvlText w:val=""/>
      <w:lvlJc w:val="left"/>
    </w:lvl>
    <w:lvl w:ilvl="7" w:tplc="7CAA0AC4">
      <w:numFmt w:val="decimal"/>
      <w:lvlText w:val=""/>
      <w:lvlJc w:val="left"/>
    </w:lvl>
    <w:lvl w:ilvl="8" w:tplc="6CB4BA68">
      <w:numFmt w:val="decimal"/>
      <w:lvlText w:val=""/>
      <w:lvlJc w:val="left"/>
    </w:lvl>
  </w:abstractNum>
  <w:num w:numId="1" w16cid:durableId="2048066431">
    <w:abstractNumId w:val="0"/>
    <w:lvlOverride w:ilvl="0">
      <w:startOverride w:val="1"/>
    </w:lvlOverride>
  </w:num>
  <w:num w:numId="2" w16cid:durableId="222840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30B"/>
    <w:rsid w:val="002511B5"/>
    <w:rsid w:val="002C6C4E"/>
    <w:rsid w:val="0035530B"/>
    <w:rsid w:val="005E6991"/>
    <w:rsid w:val="00CF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E2ACFD"/>
  <w15:chartTrackingRefBased/>
  <w15:docId w15:val="{8D88A37F-845D-C748-A4B2-0CB97E99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30B"/>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35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3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3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3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3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30B"/>
    <w:rPr>
      <w:rFonts w:eastAsiaTheme="majorEastAsia" w:cstheme="majorBidi"/>
      <w:color w:val="272727" w:themeColor="text1" w:themeTint="D8"/>
    </w:rPr>
  </w:style>
  <w:style w:type="paragraph" w:styleId="Title">
    <w:name w:val="Title"/>
    <w:basedOn w:val="Normal"/>
    <w:next w:val="Normal"/>
    <w:link w:val="TitleChar"/>
    <w:uiPriority w:val="10"/>
    <w:qFormat/>
    <w:rsid w:val="003553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30B"/>
    <w:pPr>
      <w:spacing w:before="160"/>
      <w:jc w:val="center"/>
    </w:pPr>
    <w:rPr>
      <w:i/>
      <w:iCs/>
      <w:color w:val="404040" w:themeColor="text1" w:themeTint="BF"/>
    </w:rPr>
  </w:style>
  <w:style w:type="character" w:customStyle="1" w:styleId="QuoteChar">
    <w:name w:val="Quote Char"/>
    <w:basedOn w:val="DefaultParagraphFont"/>
    <w:link w:val="Quote"/>
    <w:uiPriority w:val="29"/>
    <w:rsid w:val="0035530B"/>
    <w:rPr>
      <w:i/>
      <w:iCs/>
      <w:color w:val="404040" w:themeColor="text1" w:themeTint="BF"/>
    </w:rPr>
  </w:style>
  <w:style w:type="paragraph" w:styleId="ListParagraph">
    <w:name w:val="List Paragraph"/>
    <w:basedOn w:val="Normal"/>
    <w:qFormat/>
    <w:rsid w:val="0035530B"/>
    <w:pPr>
      <w:ind w:left="720"/>
      <w:contextualSpacing/>
    </w:pPr>
  </w:style>
  <w:style w:type="character" w:styleId="IntenseEmphasis">
    <w:name w:val="Intense Emphasis"/>
    <w:basedOn w:val="DefaultParagraphFont"/>
    <w:uiPriority w:val="21"/>
    <w:qFormat/>
    <w:rsid w:val="0035530B"/>
    <w:rPr>
      <w:i/>
      <w:iCs/>
      <w:color w:val="0F4761" w:themeColor="accent1" w:themeShade="BF"/>
    </w:rPr>
  </w:style>
  <w:style w:type="paragraph" w:styleId="IntenseQuote">
    <w:name w:val="Intense Quote"/>
    <w:basedOn w:val="Normal"/>
    <w:next w:val="Normal"/>
    <w:link w:val="IntenseQuoteChar"/>
    <w:uiPriority w:val="30"/>
    <w:qFormat/>
    <w:rsid w:val="0035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30B"/>
    <w:rPr>
      <w:i/>
      <w:iCs/>
      <w:color w:val="0F4761" w:themeColor="accent1" w:themeShade="BF"/>
    </w:rPr>
  </w:style>
  <w:style w:type="character" w:styleId="IntenseReference">
    <w:name w:val="Intense Reference"/>
    <w:basedOn w:val="DefaultParagraphFont"/>
    <w:uiPriority w:val="32"/>
    <w:qFormat/>
    <w:rsid w:val="0035530B"/>
    <w:rPr>
      <w:b/>
      <w:bCs/>
      <w:smallCaps/>
      <w:color w:val="0F4761" w:themeColor="accent1" w:themeShade="BF"/>
      <w:spacing w:val="5"/>
    </w:rPr>
  </w:style>
  <w:style w:type="character" w:styleId="Hyperlink">
    <w:name w:val="Hyperlink"/>
    <w:uiPriority w:val="99"/>
    <w:unhideWhenUsed/>
    <w:rsid w:val="0035530B"/>
    <w:rPr>
      <w:color w:val="0563C1"/>
      <w:u w:val="single"/>
    </w:rPr>
  </w:style>
  <w:style w:type="character" w:styleId="FollowedHyperlink">
    <w:name w:val="FollowedHyperlink"/>
    <w:basedOn w:val="DefaultParagraphFont"/>
    <w:uiPriority w:val="99"/>
    <w:semiHidden/>
    <w:unhideWhenUsed/>
    <w:rsid w:val="003553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OOZKr4DzllKxSpfRoG5ggG/LIBERATE?node-id=17877-65378&amp;t=ppN5Q6L7VCOqO20u-1" TargetMode="External"/><Relationship Id="rId3" Type="http://schemas.openxmlformats.org/officeDocument/2006/relationships/settings" Target="settings.xml"/><Relationship Id="rId7" Type="http://schemas.openxmlformats.org/officeDocument/2006/relationships/hyperlink" Target="https://www.figma.com/design/OOZKr4DzllKxSpfRoG5ggG/LIBERATE?node-id=17923-114719&amp;t=ppN5Q6L7VCOqO20u-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OOZKr4DzllKxSpfRoG5ggG/LIBERATE?node-id=17893-409118&amp;t=ppN5Q6L7VCOqO20u-1" TargetMode="External"/><Relationship Id="rId5" Type="http://schemas.openxmlformats.org/officeDocument/2006/relationships/hyperlink" Target="https://www.figma.com/design/OOZKr4DzllKxSpfRoG5ggG/LIBERATE?node-id=17877-65378&amp;t=ppN5Q6L7VCOqO20u-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Jodh Khubbar</dc:creator>
  <cp:keywords/>
  <dc:description/>
  <cp:lastModifiedBy>Jodh Khubbar</cp:lastModifiedBy>
  <cp:revision>1</cp:revision>
  <dcterms:created xsi:type="dcterms:W3CDTF">2026-06-01T23:38:00Z</dcterms:created>
  <dcterms:modified xsi:type="dcterms:W3CDTF">2026-06-01T23:38:00Z</dcterms:modified>
</cp:coreProperties>
</file>