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252F"/>
          <w:sz w:val="32"/>
          <w:szCs w:val="32"/>
        </w:rPr>
        <w:t xml:space="preserve">Credit Card Fraud Detection — Project Report</w:t>
      </w:r>
    </w:p>
    <w:p>
      <w:pPr>
        <w:spacing w:after="200"/>
      </w:pPr>
      <w:r>
        <w:rPr>
          <w:i/>
          <w:iCs/>
          <w:color w:val="5A6B7C"/>
          <w:sz w:val="20"/>
          <w:szCs w:val="20"/>
        </w:rPr>
        <w:t xml:space="preserve">Binary classification model to flag fraudulent transactions from anonymized transaction data</w:t>
      </w:r>
    </w:p>
    <w:p>
      <w:pPr>
        <w:pStyle w:val="Heading2"/>
        <w:spacing w:after="120" w:before="240"/>
      </w:pPr>
      <w:r>
        <w:t xml:space="preserve">1. Problem &amp; Data</w:t>
      </w:r>
    </w:p>
    <w:p>
      <w:pPr>
        <w:spacing w:after="120"/>
      </w:pPr>
      <w:r>
        <w:t xml:space="preserve">The dataset contains 284,807 credit card transactions, of which only 492 (0.17%) are fraudulent — a 577:1 class imbalance. Each transaction has 28 anonymized PCA-derived features (V1–V28), plus Time and Amount. No missing values were present. The data was split 80/20 (stratified to preserve the fraud ratio in both sets), and features were scaled using a StandardScaler fit only on the training set to avoid test-set leakage.</w:t>
      </w:r>
    </w:p>
    <w:p>
      <w:pPr>
        <w:pStyle w:val="Heading2"/>
        <w:spacing w:after="120" w:before="240"/>
      </w:pPr>
      <w:r>
        <w:t xml:space="preserve">2. Approach</w:t>
      </w:r>
    </w:p>
    <w:p>
      <w:pPr>
        <w:spacing w:after="120"/>
      </w:pPr>
      <w:r>
        <w:t xml:space="preserve">Four classifiers were trained with class-weight balancing to counteract the imbalance: Logistic Regression, Decision Tree, Random Forest, and SVM (RBF kernel). Models were compared on Precision, Recall, F1-score, and ROC-AUC — F1 and Recall are prioritized over raw accuracy, since accuracy is misleading on a 99.8%-legitimate dataset. The best-performing model (Random Forest) was then tuned via 5-fold grid search (24 parameter combinations), and interpreted using built-in feature importances and per-transaction LIME explanations.</w:t>
      </w:r>
    </w:p>
    <w:p>
      <w:pPr>
        <w:pStyle w:val="Heading2"/>
        <w:spacing w:after="120" w:before="240"/>
      </w:pPr>
      <w:r>
        <w:t xml:space="preserve">3. Key Findings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32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74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74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74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F1-Score</w:t>
            </w:r>
          </w:p>
        </w:tc>
        <w:tc>
          <w:tcPr>
            <w:tcW w:type="dxa" w:w="174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</w:tr>
      <w:tr>
        <w:tc>
          <w:tcPr>
            <w:tcW w:type="dxa" w:w="3200"/>
            <w:shd w:fill="F2F4F6" w:val="clear"/>
          </w:tcPr>
          <w:p>
            <w:r>
              <w:rPr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740"/>
            <w:shd w:fill="F2F4F6" w:val="clear"/>
          </w:tcPr>
          <w:p>
            <w:r>
              <w:rPr>
                <w:sz w:val="18"/>
                <w:szCs w:val="18"/>
              </w:rPr>
              <w:t xml:space="preserve">0.061</w:t>
            </w:r>
          </w:p>
        </w:tc>
        <w:tc>
          <w:tcPr>
            <w:tcW w:type="dxa" w:w="1740"/>
            <w:shd w:fill="F2F4F6" w:val="clear"/>
          </w:tcPr>
          <w:p>
            <w:r>
              <w:rPr>
                <w:sz w:val="18"/>
                <w:szCs w:val="18"/>
              </w:rPr>
              <w:t xml:space="preserve">0.918</w:t>
            </w:r>
          </w:p>
        </w:tc>
        <w:tc>
          <w:tcPr>
            <w:tcW w:type="dxa" w:w="1740"/>
            <w:shd w:fill="F2F4F6" w:val="clear"/>
          </w:tcPr>
          <w:p>
            <w:r>
              <w:rPr>
                <w:sz w:val="18"/>
                <w:szCs w:val="18"/>
              </w:rPr>
              <w:t xml:space="preserve">0.114</w:t>
            </w:r>
          </w:p>
        </w:tc>
        <w:tc>
          <w:tcPr>
            <w:tcW w:type="dxa" w:w="1740"/>
            <w:shd w:fill="F2F4F6" w:val="clear"/>
          </w:tcPr>
          <w:p>
            <w:r>
              <w:rPr>
                <w:sz w:val="18"/>
                <w:szCs w:val="18"/>
              </w:rPr>
              <w:t xml:space="preserve">0.972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1740"/>
            <w:shd w:fill="FFFFFF" w:val="clear"/>
          </w:tcPr>
          <w:p>
            <w:r>
              <w:rPr>
                <w:sz w:val="18"/>
                <w:szCs w:val="18"/>
              </w:rPr>
              <w:t xml:space="preserve">0.132</w:t>
            </w:r>
          </w:p>
        </w:tc>
        <w:tc>
          <w:tcPr>
            <w:tcW w:type="dxa" w:w="1740"/>
            <w:shd w:fill="FFFFFF" w:val="clear"/>
          </w:tcPr>
          <w:p>
            <w:r>
              <w:rPr>
                <w:sz w:val="18"/>
                <w:szCs w:val="18"/>
              </w:rPr>
              <w:t xml:space="preserve">0.786</w:t>
            </w:r>
          </w:p>
        </w:tc>
        <w:tc>
          <w:tcPr>
            <w:tcW w:type="dxa" w:w="1740"/>
            <w:shd w:fill="FFFFFF" w:val="clear"/>
          </w:tcPr>
          <w:p>
            <w:r>
              <w:rPr>
                <w:sz w:val="18"/>
                <w:szCs w:val="18"/>
              </w:rPr>
              <w:t xml:space="preserve">0.226</w:t>
            </w:r>
          </w:p>
        </w:tc>
        <w:tc>
          <w:tcPr>
            <w:tcW w:type="dxa" w:w="1740"/>
            <w:shd w:fill="FFFFFF" w:val="clear"/>
          </w:tcPr>
          <w:p>
            <w:r>
              <w:rPr>
                <w:sz w:val="18"/>
                <w:szCs w:val="18"/>
              </w:rPr>
              <w:t xml:space="preserve">0.891</w:t>
            </w:r>
          </w:p>
        </w:tc>
      </w:tr>
      <w:tr>
        <w:tc>
          <w:tcPr>
            <w:tcW w:type="dxa" w:w="3200"/>
            <w:shd w:fill="F2F4F6" w:val="clear"/>
          </w:tcPr>
          <w:p>
            <w:r>
              <w:rPr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740"/>
            <w:shd w:fill="F2F4F6" w:val="clear"/>
          </w:tcPr>
          <w:p>
            <w:r>
              <w:rPr>
                <w:sz w:val="18"/>
                <w:szCs w:val="18"/>
              </w:rPr>
              <w:t xml:space="preserve">0.897</w:t>
            </w:r>
          </w:p>
        </w:tc>
        <w:tc>
          <w:tcPr>
            <w:tcW w:type="dxa" w:w="1740"/>
            <w:shd w:fill="F2F4F6" w:val="clear"/>
          </w:tcPr>
          <w:p>
            <w:r>
              <w:rPr>
                <w:sz w:val="18"/>
                <w:szCs w:val="18"/>
              </w:rPr>
              <w:t xml:space="preserve">0.796</w:t>
            </w:r>
          </w:p>
        </w:tc>
        <w:tc>
          <w:tcPr>
            <w:tcW w:type="dxa" w:w="1740"/>
            <w:shd w:fill="F2F4F6" w:val="clear"/>
          </w:tcPr>
          <w:p>
            <w:r>
              <w:rPr>
                <w:sz w:val="18"/>
                <w:szCs w:val="18"/>
              </w:rPr>
              <w:t xml:space="preserve">0.843</w:t>
            </w:r>
          </w:p>
        </w:tc>
        <w:tc>
          <w:tcPr>
            <w:tcW w:type="dxa" w:w="1740"/>
            <w:shd w:fill="F2F4F6" w:val="clear"/>
          </w:tcPr>
          <w:p>
            <w:r>
              <w:rPr>
                <w:sz w:val="18"/>
                <w:szCs w:val="18"/>
              </w:rPr>
              <w:t xml:space="preserve">0.964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18"/>
                <w:szCs w:val="18"/>
              </w:rPr>
              <w:t xml:space="preserve">Support Vector Machine</w:t>
            </w:r>
          </w:p>
        </w:tc>
        <w:tc>
          <w:tcPr>
            <w:tcW w:type="dxa" w:w="1740"/>
            <w:shd w:fill="FFFFFF" w:val="clear"/>
          </w:tcPr>
          <w:p>
            <w:r>
              <w:rPr>
                <w:sz w:val="18"/>
                <w:szCs w:val="18"/>
              </w:rPr>
              <w:t xml:space="preserve">0.322</w:t>
            </w:r>
          </w:p>
        </w:tc>
        <w:tc>
          <w:tcPr>
            <w:tcW w:type="dxa" w:w="1740"/>
            <w:shd w:fill="FFFFFF" w:val="clear"/>
          </w:tcPr>
          <w:p>
            <w:r>
              <w:rPr>
                <w:sz w:val="18"/>
                <w:szCs w:val="18"/>
              </w:rPr>
              <w:t xml:space="preserve">0.755</w:t>
            </w:r>
          </w:p>
        </w:tc>
        <w:tc>
          <w:tcPr>
            <w:tcW w:type="dxa" w:w="1740"/>
            <w:shd w:fill="FFFFFF" w:val="clear"/>
          </w:tcPr>
          <w:p>
            <w:r>
              <w:rPr>
                <w:sz w:val="18"/>
                <w:szCs w:val="18"/>
              </w:rPr>
              <w:t xml:space="preserve">0.451</w:t>
            </w:r>
          </w:p>
        </w:tc>
        <w:tc>
          <w:tcPr>
            <w:tcW w:type="dxa" w:w="1740"/>
            <w:shd w:fill="FFFFFF" w:val="clear"/>
          </w:tcPr>
          <w:p>
            <w:r>
              <w:rPr>
                <w:sz w:val="18"/>
                <w:szCs w:val="18"/>
              </w:rPr>
              <w:t xml:space="preserve">0.973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Random Forest was the clear winner on F1-score (0.843), balancing precision and recall far better than the alternatives — Logistic Regression catches 92% of fraud but at a 6% precision, meaning 94 of every 100 flagged transactions would be false alarms.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Hyperparameter tuning (grid search, 5-fold CV) found only a marginal F1 change (0.843 → 0.837 on the held-out test set), suggesting the untuned Random Forest was already close to this feature set's practical ceiling.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 fraud indicators by feature importance: V14, V10, V4, V12, and V17 — together accounting for over half of the model's total importance. Because these are PCA-anonymized components, they cannot be mapped back to interpretable business fields (e.g., merchant category, location) without the original transformation.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LIME explanations on individual transactions were consistent with the global importances — V4, V14, V17, and V12 recurred as top local drivers for both correctly-flagged fraud and correctly-cleared legitimate transactions, which is a good sign of model stability rather than the model leaning on spurious per-case artifacts.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B7C"/>
          <w:sz w:val="16"/>
          <w:szCs w:val="16"/>
        </w:rPr>
        <w:t xml:space="preserve">Figure 1. Confusion matrices for all four models on the held-out test set.</w:t>
      </w:r>
    </w:p>
    <w:p>
      <w:pPr>
        <w:pStyle w:val="Heading2"/>
        <w:spacing w:after="120" w:before="240"/>
      </w:pPr>
      <w:r>
        <w:t xml:space="preserve">4. Deployment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Ship the tuned Random Forest (max_depth=15, min_samples_leaf=2, min_samples_split=5, n_estimators=100) as the production model — it offers the best precision/recall trade-off of the models tested.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hardcode a single 0.5 probability threshold for both decisions in production. Instead, use two tiers: a lower threshold (e.g., ~0.3–0.4) for automatic soft holds pending secondary review, and a higher threshold (e.g., 0.7+) for near-automatic decline — calibrate both against the real cost of a false decline (customer friction) vs. a missed fraud (direct loss).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precision and recall separately in production, not just F1 — fraud patterns drift, and a silent recall drop (missed fraud) is a very different business risk than a precision drop (customer friction from false declines).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Retrain on a recurring cadence (e.g., quarterly) and immediately after any known shift in fraud tactics, since this model was trained on a static historical snapshot and fraud patterns evolve.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LIME (or SHAP) explanations for every flagged transaction in production — this gives fraud analysts a defensible, per-case rationale and supports any regulatory or customer-dispute review process.</w:t>
      </w:r>
    </w:p>
    <w:p>
      <w:pPr>
        <w:pStyle w:val="Heading2"/>
        <w:spacing w:after="120" w:before="240"/>
      </w:pPr>
      <w:r>
        <w:t xml:space="preserve">5. Limitations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Anonymized features (V1–V28): the top fraud indicators cannot be translated into actionable business rules or explained to non-technical stakeholders beyond "component 14 is unusually low," since the underlying PCA transformation isn't available.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492 fraud examples total (98 in the test set): performance metrics, especially precision, are estimated from a small positive sample and may not generalize reliably; wider confidence intervals should be assumed.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Static, historical dataset: this data reflects one snapshot of fraud behavior (a specific 2-day European cardholder sample) and doesn't capture fraud pattern drift, seasonality, or adversarial adaptation once a model is deployed and fraudsters learn to evade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cost-sensitive optimization: the model was tuned on F1-score, which weights precision and recall equally — production deployment should instead optimize against the actual dollar cost of false positives (customer friction, lost trust) vs. false negatives (fraud loss), which are rarely equal.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SVM training did not scale well and is impractical for frequent retraining at this data volume; if retained for comparison, it should not be considered for production due to inference/training cost at scale.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325af8ea390fc176f916bc29ee81b673717d4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2026-08-29T03:24:23.710Z</dcterms:created>
  <dcterms:modified xsi:type="dcterms:W3CDTF">2026-08-29T03:24:23.710Z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