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Кафедра экономической математики, информатики и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статистики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(ЭМИС)</w:t>
      </w:r>
    </w:p>
    <w:p w14:paraId="5DDD0B3B">
      <w:pPr>
        <w:spacing w:before="4300"/>
        <w:ind w:firstLine="0"/>
        <w:jc w:val="center"/>
        <w:rPr>
          <w:b w:val="0"/>
          <w:bCs w:val="0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lang w:val="ru-RU"/>
        </w:rPr>
        <w:t>ОБЗОР СОВРЕМЕННЫХ ИНФОРМАЦИОННЫХ СИСТЕМ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</w:t>
      </w:r>
      <w:r>
        <w:rPr>
          <w:rFonts w:hint="default"/>
          <w:color w:val="000000" w:themeColor="text1"/>
          <w:szCs w:val="28"/>
          <w14:textFill>
            <w14:solidFill>
              <w14:schemeClr w14:val="tx1"/>
            </w14:solidFill>
          </w14:textFill>
        </w:rPr>
        <w:t>Теория проектирования информационных систем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1</w:t>
      </w:r>
    </w:p>
    <w:p w14:paraId="4683D23E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  <w:lang w:val="ru-RU"/>
        </w:rPr>
        <w:t>Обзор современных информационных систем</w:t>
      </w:r>
      <w:r>
        <w:rPr>
          <w:b/>
          <w:bCs/>
        </w:rPr>
        <w:t>»</w:t>
      </w:r>
    </w:p>
    <w:p w14:paraId="58665E1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Федеральный институт промышленной собственности (ФИПС) — это федеральное государственное бюджетное учреждение, подведомственное Роспатенту. Это ключевая научная организация России в сфере интеллектуальной собственности, которая выполняет функции главного центра проведения экспертизы заявок на объекты патентного права и средства индивидуализации .</w:t>
      </w:r>
    </w:p>
    <w:p w14:paraId="0DF20A8D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Основные направления деятельности и предоставляемые системой сервисы включают:</w:t>
      </w:r>
    </w:p>
    <w:p w14:paraId="69C0F5B3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Проведение экспертизы заявок на изобретения, полезные модели, промышленные образцы, товарные знаки, программы для ЭВМ и базы данных . Ежегодно специалистами ФИПС выполняется порядка 240 тысяч экспертиз .</w:t>
      </w:r>
    </w:p>
    <w:p w14:paraId="73C19220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 xml:space="preserve"> Ведение государственных реестров объектов интеллектуальной собственности (изобретений, товарных знаков и др.)</w:t>
      </w:r>
      <w:r>
        <w:rPr>
          <w:rFonts w:hint="default"/>
          <w:lang w:val="ru-RU"/>
        </w:rPr>
        <w:t>.</w:t>
      </w:r>
    </w:p>
    <w:p w14:paraId="4B9C9692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Патентная аналитика и поддержка инноваций: проведение патентных исследований, разработка патентных ландшафтов, консультирование изобретателей и предпринимателей.</w:t>
      </w:r>
    </w:p>
    <w:p w14:paraId="33502D18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Научно-образовательная деятельность: подготовка кадров в сфере интеллектуальной собственности через Научно-образовательный центр (НОЦ) ФИПС .</w:t>
      </w:r>
    </w:p>
    <w:p w14:paraId="7BE909BF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  <w:lang w:val="ru-RU"/>
        </w:rPr>
      </w:pPr>
      <w:r>
        <w:rPr>
          <w:rFonts w:hint="default"/>
        </w:rPr>
        <w:t>Предоставление цифровых сервисов через официальный сайт и информационно-поисковую систему (ИПС) для доступа к патентной информации .</w:t>
      </w:r>
    </w:p>
    <w:p w14:paraId="69114D8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анализа функциональности, безопасности, дизайна и удобства использования сайта (системы) ФИПС были привлечены три эксперта, хорошо знакомых с работой государственных информационных сервисов. Оценка проводилась по 5-балльной шкале. Результаты оценки представлены в таблице 1.</w:t>
      </w:r>
    </w:p>
    <w:tbl>
      <w:tblPr>
        <w:tblStyle w:val="28"/>
        <w:tblW w:w="0" w:type="auto"/>
        <w:tblInd w:w="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2489"/>
        <w:gridCol w:w="1836"/>
        <w:gridCol w:w="1480"/>
        <w:gridCol w:w="1878"/>
      </w:tblGrid>
      <w:tr w14:paraId="2970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vAlign w:val="center"/>
          </w:tcPr>
          <w:p w14:paraId="46388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Эксперт / Критерий</w:t>
            </w:r>
          </w:p>
        </w:tc>
        <w:tc>
          <w:tcPr>
            <w:tcW w:w="2489" w:type="dxa"/>
            <w:vAlign w:val="center"/>
          </w:tcPr>
          <w:p w14:paraId="3A15C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Функциональность</w:t>
            </w:r>
          </w:p>
        </w:tc>
        <w:tc>
          <w:tcPr>
            <w:tcW w:w="1836" w:type="dxa"/>
            <w:vAlign w:val="center"/>
          </w:tcPr>
          <w:p w14:paraId="79ECD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Безопасность</w:t>
            </w:r>
          </w:p>
        </w:tc>
        <w:tc>
          <w:tcPr>
            <w:tcW w:w="1480" w:type="dxa"/>
            <w:vAlign w:val="center"/>
          </w:tcPr>
          <w:p w14:paraId="21C77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Дизайн</w:t>
            </w:r>
          </w:p>
        </w:tc>
        <w:tc>
          <w:tcPr>
            <w:tcW w:w="1878" w:type="dxa"/>
            <w:vAlign w:val="center"/>
          </w:tcPr>
          <w:p w14:paraId="09B61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Удобство использования</w:t>
            </w:r>
          </w:p>
        </w:tc>
      </w:tr>
      <w:tr w14:paraId="54127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vAlign w:val="center"/>
          </w:tcPr>
          <w:p w14:paraId="5A672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Эксперт 1 (Разработчик)</w:t>
            </w:r>
          </w:p>
        </w:tc>
        <w:tc>
          <w:tcPr>
            <w:tcW w:w="2489" w:type="dxa"/>
            <w:vAlign w:val="center"/>
          </w:tcPr>
          <w:p w14:paraId="596FC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836" w:type="dxa"/>
            <w:vAlign w:val="center"/>
          </w:tcPr>
          <w:p w14:paraId="602AB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0" w:type="dxa"/>
            <w:vAlign w:val="center"/>
          </w:tcPr>
          <w:p w14:paraId="7DFA0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878" w:type="dxa"/>
            <w:vAlign w:val="center"/>
          </w:tcPr>
          <w:p w14:paraId="45A4D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</w:tr>
      <w:tr w14:paraId="5B086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vAlign w:val="center"/>
          </w:tcPr>
          <w:p w14:paraId="1DDA2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Эксперт 2 (Патентный поверенный)</w:t>
            </w:r>
          </w:p>
        </w:tc>
        <w:tc>
          <w:tcPr>
            <w:tcW w:w="2489" w:type="dxa"/>
            <w:vAlign w:val="center"/>
          </w:tcPr>
          <w:p w14:paraId="574B2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836" w:type="dxa"/>
            <w:vAlign w:val="center"/>
          </w:tcPr>
          <w:p w14:paraId="16F89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480" w:type="dxa"/>
            <w:vAlign w:val="center"/>
          </w:tcPr>
          <w:p w14:paraId="40506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878" w:type="dxa"/>
            <w:vAlign w:val="center"/>
          </w:tcPr>
          <w:p w14:paraId="30AF9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6EF21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vAlign w:val="center"/>
          </w:tcPr>
          <w:p w14:paraId="555EC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Эксперт 3 (Пользователь / изобретатель)</w:t>
            </w:r>
          </w:p>
        </w:tc>
        <w:tc>
          <w:tcPr>
            <w:tcW w:w="2489" w:type="dxa"/>
            <w:vAlign w:val="center"/>
          </w:tcPr>
          <w:p w14:paraId="6BC1B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836" w:type="dxa"/>
            <w:vAlign w:val="center"/>
          </w:tcPr>
          <w:p w14:paraId="3971B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480" w:type="dxa"/>
            <w:vAlign w:val="center"/>
          </w:tcPr>
          <w:p w14:paraId="1A39B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878" w:type="dxa"/>
            <w:vAlign w:val="center"/>
          </w:tcPr>
          <w:p w14:paraId="7C6F6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</w:tr>
      <w:tr w14:paraId="7C26D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vAlign w:val="center"/>
          </w:tcPr>
          <w:p w14:paraId="11473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Средняя оценка</w:t>
            </w:r>
          </w:p>
        </w:tc>
        <w:tc>
          <w:tcPr>
            <w:tcW w:w="2489" w:type="dxa"/>
            <w:vAlign w:val="center"/>
          </w:tcPr>
          <w:p w14:paraId="501035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>4.3</w:t>
            </w:r>
          </w:p>
        </w:tc>
        <w:tc>
          <w:tcPr>
            <w:tcW w:w="1836" w:type="dxa"/>
            <w:vAlign w:val="center"/>
          </w:tcPr>
          <w:p w14:paraId="614543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>4.0</w:t>
            </w:r>
          </w:p>
        </w:tc>
        <w:tc>
          <w:tcPr>
            <w:tcW w:w="1480" w:type="dxa"/>
            <w:vAlign w:val="center"/>
          </w:tcPr>
          <w:p w14:paraId="2EC515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1878" w:type="dxa"/>
            <w:vAlign w:val="center"/>
          </w:tcPr>
          <w:p w14:paraId="126D77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>3.3</w:t>
            </w:r>
          </w:p>
        </w:tc>
      </w:tr>
    </w:tbl>
    <w:p w14:paraId="3DB20449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Таблица 1— Результаты оценки</w:t>
      </w:r>
    </w:p>
    <w:p w14:paraId="70DBB05E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Функциональность (Средняя: 4.3), система предоставляет широкий спектр услуг: подача заявок, поиск по реестрам, проверка статуса делопроизводства, доступ к ИПС (рисунок 2). Набор функций достаточен, но часть сложных аналитических инструментов доступна на платной основе.</w:t>
      </w:r>
    </w:p>
    <w:p w14:paraId="11568F8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Безопасность (Средняя: 4.0), используется протокол HTTPS, применяются защищенные каналы для передачи заявок. Система соответствует требованиям к государственным информационным системам. Однако для рядовых пользователей не реализована многофакторная аутентификация .</w:t>
      </w:r>
    </w:p>
    <w:p w14:paraId="549427DA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Дизайн (Средняя: 3.3), дизайн типичен для госсайтов: упор на информативность, строгая цветовая гамма. Главная страница перегружена текстом и новостями, что делает сайт менее привлекательным по сравнению с современными сервисами . Скриншоты пользовательского интерфейса представлены на рисунка 1 и 2.</w:t>
      </w:r>
    </w:p>
    <w:p w14:paraId="58C0508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Удобство использования (Средняя: 3.3), навигация для неподготовленного пользователя сложна: много терминологии. ИПС мощная, но требует навыков работы с булевыми операторами. Для профессионалов сайт удобен, для новичков — серьезный барьер .</w:t>
      </w:r>
    </w:p>
    <w:p w14:paraId="59446ADD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166360" cy="2504440"/>
            <wp:effectExtent l="0" t="0" r="0" b="1016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E27E">
      <w:pPr>
        <w:bidi w:val="0"/>
        <w:spacing w:line="360" w:lineRule="auto"/>
        <w:ind w:left="0" w:leftChars="0" w:firstLine="0" w:firstLineChars="0"/>
        <w:jc w:val="center"/>
      </w:pPr>
      <w:r>
        <w:rPr>
          <w:rFonts w:hint="default"/>
        </w:rPr>
        <w:t xml:space="preserve">Рисунок 1 — </w:t>
      </w:r>
      <w:r>
        <w:rPr>
          <w:rFonts w:hint="default"/>
          <w:lang w:val="ru-RU"/>
        </w:rPr>
        <w:t>Скриншот пользов</w:t>
      </w:r>
      <w:bookmarkStart w:id="0" w:name="_GoBack"/>
      <w:bookmarkEnd w:id="0"/>
      <w:r>
        <w:rPr>
          <w:rFonts w:hint="default"/>
          <w:lang w:val="ru-RU"/>
        </w:rPr>
        <w:t>ательского интерфейса</w:t>
      </w:r>
    </w:p>
    <w:p w14:paraId="360A206B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380355" cy="1158875"/>
            <wp:effectExtent l="0" t="0" r="14605" b="1460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E322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2</w:t>
      </w:r>
      <w:r>
        <w:rPr>
          <w:rFonts w:hint="default"/>
        </w:rPr>
        <w:t xml:space="preserve"> — </w:t>
      </w:r>
      <w:r>
        <w:rPr>
          <w:rFonts w:hint="default"/>
          <w:lang w:val="ru-RU"/>
        </w:rPr>
        <w:t>Скриншот пользовательского интерфейса</w:t>
      </w:r>
    </w:p>
    <w:p w14:paraId="7BBC717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целом, система ФИПС обладает высокой функциональностью и является критически важным инструментом для профессионалов в сфере интеллектуальной собственности. Безопасность системы находится на приемлемом для государственного уровня, но может быть улучшена в части видимости для обычного пользователя. Основные зоны для развития — это дизайн и удобство использования. Современные пользователи ожидают более интуитивно понятного интерфейса, визуально привлекательного дизайна и адаптации сложных функций для массовой аудитории. Снижение порога входа для изобретателей и предпринимателей могло бы значительно повысить эффективность взаимодействия с системой, что соответствует стратегии развития ФИПС как "клиентоцентричной" организации 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39EF4"/>
    <w:multiLevelType w:val="multilevel"/>
    <w:tmpl w:val="C6A39EF4"/>
    <w:lvl w:ilvl="0" w:tentative="0">
      <w:start w:val="1"/>
      <w:numFmt w:val="decimal"/>
      <w:pStyle w:val="4"/>
      <w:lvlText w:val="%1."/>
      <w:lvlJc w:val="left"/>
      <w:pPr>
        <w:tabs>
          <w:tab w:val="left" w:pos="425"/>
        </w:tabs>
        <w:ind w:left="425" w:leftChars="0" w:firstLine="28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00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90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44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16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406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60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32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6225" w:firstLineChars="0"/>
      </w:pPr>
      <w:rPr>
        <w:rFonts w:hint="default"/>
      </w:rPr>
    </w:lvl>
  </w:abstractNum>
  <w:abstractNum w:abstractNumId="1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D076B3B"/>
    <w:multiLevelType w:val="singleLevel"/>
    <w:tmpl w:val="4D076B3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1BB1F74"/>
    <w:rsid w:val="040F7B60"/>
    <w:rsid w:val="06C45C90"/>
    <w:rsid w:val="089C322F"/>
    <w:rsid w:val="12012508"/>
    <w:rsid w:val="1573515B"/>
    <w:rsid w:val="2E393C3D"/>
    <w:rsid w:val="2EF84D3C"/>
    <w:rsid w:val="364F55F9"/>
    <w:rsid w:val="3FA10927"/>
    <w:rsid w:val="3FF3077A"/>
    <w:rsid w:val="42EA4BD5"/>
    <w:rsid w:val="4B863275"/>
    <w:rsid w:val="5197255E"/>
    <w:rsid w:val="58CE54EB"/>
    <w:rsid w:val="59421513"/>
    <w:rsid w:val="64905B85"/>
    <w:rsid w:val="6AA4214C"/>
    <w:rsid w:val="6F8C598F"/>
    <w:rsid w:val="6FC7174D"/>
    <w:rsid w:val="77B7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425"/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425" w:firstLine="285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4</Pages>
  <Words>505</Words>
  <Characters>3802</Characters>
  <Lines>13</Lines>
  <Paragraphs>3</Paragraphs>
  <TotalTime>708</TotalTime>
  <ScaleCrop>false</ScaleCrop>
  <LinksUpToDate>false</LinksUpToDate>
  <CharactersWithSpaces>4257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2026-07-02T10:55:58Z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