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CF0D49">
      <w:pPr>
        <w:pStyle w:val="2"/>
        <w:tabs>
          <w:tab w:val="left" w:pos="360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_Toc21541693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 НАУЧНО-ИССЛЕДОВАТЕЛЬСКАЯ РАБОТА СТУДЕНТА КАК ФАКТОР ПРОФЕССИОНАЛЬНОГО РАЗВИТИЯ</w:t>
      </w:r>
      <w:bookmarkEnd w:id="0"/>
    </w:p>
    <w:p w14:paraId="7E3D677B">
      <w:pPr>
        <w:pStyle w:val="3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" w:name="_Toc215416940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2.1 Основные направления научных исследований в области внедрения цифровых технологий</w:t>
      </w:r>
      <w:bookmarkEnd w:id="1"/>
    </w:p>
    <w:p w14:paraId="01046272">
      <w:pPr>
        <w:pStyle w:val="16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leftChars="0" w:right="0" w:firstLine="840" w:firstLineChars="30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Процесс внедрения цифровых технологий представляет собой комплексную сферу научного изыскания, объектом которой является системное изучение принципов, методов и результатов интеграции дискретных вычислительных систем и алгоритмов в различные социально-экономические и производственные процессы [1]. В контексте Российской Федерации данная исследовательская деятельность носит выраженный стратегический характер и скоординирована в русле реализации масштабных государственных программ, центральной из которых является национальный проект «Цифровая экономика Российской Федерации». Анализ текущей политики и научно-технической деятельности позволяет выделить несколько ключевых, взаимосвязанных направлений, определяющих современный научный поиск в этой области.</w:t>
      </w:r>
    </w:p>
    <w:p w14:paraId="69D7A3F0">
      <w:pPr>
        <w:pStyle w:val="1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840" w:firstLineChars="30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Одним из фундаментальных направлений выступают исследования, сфокусированные на создании и развитии так называемых сквозных цифровых технологий. Научный интерес здесь концентрируется на разработке и совершенствовании технологических решений, обладающих свойством универсальности и способных к применению в широком спектре отраслей. Основными объектами пристального изучения в рамках данного вектора являются технологии искусственного интеллекта, включая методы машинного обучения и нейросетевые модели, системы распределенных реестров, компоненты робототехники и сенсорики, а также комплексные платформы для обработки и анализа больших данных (Big Data). Правовой и концептуальной основой для таких изысканий служит официально утвержденный Правительством Российской Федерации перечень технологий, рекомендованных для применения в рамках экспериментальных правовых режимов в сфере цифровых инноваций [2]. В практической плоскости ученые решают задачи, связанные с созданием отечественных аппаратных платформ для вычислений в области ИИ, разработкой энергоэффективных и точных алгоритмов для анализа неструктурированных информационных массивов, а также обеспечением совместимости и совместной работы разнородных робототехнических комплексов и киберфизических систем.</w:t>
      </w:r>
    </w:p>
    <w:p w14:paraId="2C789ABF">
      <w:pPr>
        <w:pStyle w:val="1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840" w:firstLineChars="30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Второе стратегическое направление, тесно переплетенное с первым, составляют научные исследования, нацеленные на обеспечение технологического суверенитета и построение безопасной, устойчивой информационной инфраструктуры. Это направление носит в значительной степени прикладной характер и прямо отвечает на вызовы, связанные с необходимостью преодоления критической зависимости от иностранных технологических решений. Исследовательская работа в данном поле включает проектирование и разработку отечественного системного и прикладного программного обеспечения, создание защищенных операционных систем, совершенствование средств криптографической защиты информации, а также проведение изысканий в области создания собственной элементной базы для современного телекоммуникационного оборудования [2]. Особое значение в этом контексте приобретают работы по исследованию и практическому воплощению перспективных технологий защищенной связи, среди которых выделяются квантовые коммуникации. Ярким примером подобной деятельности служит работа Томского государственного университета систем управления и радиоэлектроники (ТУСУР), который в рамках выполнения программы стратегического академического лидерства «Приоритет 2030» реализует ряд исследовательских проектов, прямо нацеленных на решение задач импортонезависимости и обеспечения безопасности критически важной информационной инфраструктуры государства [3]. Конечной целью подобных комплексных изысканий является формирование в стране полного, замкнутого цикла — от фундаментальных исследований и разработки до серийного производства и внедрения — конкурентоспособных и защищенных IT-решений.</w:t>
      </w:r>
    </w:p>
    <w:p w14:paraId="0CFF23E7">
      <w:pPr>
        <w:pStyle w:val="1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840" w:firstLineChars="30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Третье значимое направление научного поиска лежит в методологической плоскости и касается исследования самих процессов цифровой трансформации, прежде всего в сфере государственного управления и ключевых отраслей экономики. Данное направление находится на стыке технических, управленческих и социально-экономических наук. Его предметом выступает глубокое изучение моделей, механизмов, непосредственных эффектов и долгосрочных последствий интеграции цифровых платформ и специализированных сервисов в повседневную деятельность органов государственной власти и местного самоуправления, а также в такие важнейшие секторы, как промышленность, сельское хозяйство, логистика и транспорт, здравоохранение и система образования. Ученые, работающие в этой области, занимаются разработкой научно обоснованных методологий для оценки уровня цифровой зрелости организаций, проектированием архитектур отраслевых и межотраслевых цифровых платформ, включая, к примеру, платформу для управления научной деятельностью, применяют методы анализа больших данных для поддержки принятия управленческих решений и строят комплексные модели, оценивающие социально-экономические последствия цифровизации [2]. Результаты таких междисциплинарных исследований формируют необходимую научно-методическую базу для практического выполнения задач, поставленных в рамках национального проекта, в частности, задачи по осуществлению глубокой, системной трансформации приоритетных отраслей национальной экономики и социальной сферы.</w:t>
      </w:r>
    </w:p>
    <w:p w14:paraId="2DA373B6">
      <w:pPr>
        <w:pStyle w:val="1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840" w:firstLineChars="30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Четвертое, не менее важное направление, охватывает исследования в сфере подготовки кадров и развития человеческого капитала, адекватного запросам формирующейся цифровой экономики. Научная работа здесь сосредоточена на анализе, проектировании и оптимизации образовательных экосистем нового типа, которые должны обеспечить экономику страны достаточным количеством высококомпетентных специалистов, обладающих актуальными цифровыми навыками. В фокусе исследований находятся современные модели проектного и практико-ориентированного обучения, эффективные механизмы организации взаимодействия высших учебных заведений с индустриальными партнерами, что находит свое воплощение в создании передовых инженерных школ, инновационные методики формирования цифровых компетенций на всех уровнях системы образования, а также комплексные вопросы, связанные с мотивацией, профессиональным развитием и удержанием IT-специалистов внутри страны. Как справедливо отмечается в научной литературе, эффективная интеграция научных достижений в реальный производственный сектор возможна только при наличии соответствующего кадрового потенциала, что делает данное направление фундаментальным и стратегически значимым [4]. Таким образом, изыскания в этой сфере находятся в прямой и неразрывной связи с одной из ключевых целей национального проекта, а именно — с созданием в стране современной, гибкой системы подготовки высококвалифицированных кадров, способных не только использовать, но и создавать цифровые технологии.</w:t>
      </w:r>
    </w:p>
    <w:p w14:paraId="21023240">
      <w:pPr>
        <w:pStyle w:val="1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840" w:firstLineChars="3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Таким образом, основные направления научных исследований в области внедрения цифровых технологий в Российской Федерации образуют целостную и взаимодополняющую матрицу. Эта матрица органично объединяет в себе фундаментальные и сугубо прикладные технические разработки, связанные со сквозными технологиями и безопасностью, с социально-экономическими, управленческими и педагогическими изысканиями, изучающими контекст и условия для успешной трансформации. Деятельность ведущих научно-образовательных организаций, таких как Томский государственный университет систем управления и радиоэлектроники, осуществляемая в рамках государственных программ и в партнерстве с промышленностью, фокусируется на решении конкретных, практических задач в рамках выделенных направлений. Эта деятельность обеспечивает прочную связь между теоретическими исследованиями, образовательным процессом и насущными потребностями национальной экономики, находящейся в активной фазе глубокой цифровой трансформации, направленной на укрепление технологического суверенитета и долгосрочной конкурентоспособности страны.</w:t>
      </w:r>
    </w:p>
    <w:p w14:paraId="5222FCF5">
      <w:pPr>
        <w:spacing w:after="280"/>
        <w:ind w:firstLine="0"/>
        <w:jc w:val="center"/>
        <w:rPr>
          <w:lang w:val="zh-CN"/>
        </w:rPr>
      </w:pPr>
    </w:p>
    <w:p w14:paraId="1E97C280">
      <w:pPr>
        <w:spacing w:after="280"/>
        <w:ind w:firstLine="0"/>
        <w:jc w:val="center"/>
        <w:rPr>
          <w:b/>
          <w:bCs/>
        </w:rPr>
      </w:pPr>
      <w:r>
        <w:rPr>
          <w:b/>
          <w:bCs/>
        </w:rPr>
        <w:t>Список использованных источников</w:t>
      </w:r>
    </w:p>
    <w:p w14:paraId="1035456E">
      <w:pPr>
        <w:pStyle w:val="23"/>
        <w:bidi w:val="0"/>
        <w:rPr>
          <w:rFonts w:hint="default"/>
        </w:rPr>
      </w:pPr>
      <w:r>
        <w:rPr>
          <w:rFonts w:hint="default"/>
        </w:rPr>
        <w:t>Новиков, А. М. Методология нау</w:t>
      </w:r>
      <w:bookmarkStart w:id="2" w:name="_GoBack"/>
      <w:bookmarkEnd w:id="2"/>
      <w:r>
        <w:rPr>
          <w:rFonts w:hint="default"/>
        </w:rPr>
        <w:t>чного исследования : учебное пособие / А. М. Новиков, Д. А. Новиков. — Москва : Либроком, 2010. — 280 с.</w:t>
      </w:r>
    </w:p>
    <w:p w14:paraId="4D0079F2">
      <w:pPr>
        <w:pStyle w:val="23"/>
        <w:bidi w:val="0"/>
        <w:rPr>
          <w:rFonts w:hint="default"/>
        </w:rPr>
      </w:pPr>
      <w:r>
        <w:rPr>
          <w:rFonts w:hint="default"/>
        </w:rPr>
        <w:t>Постановление Правительства Российской Федерации от 28.10.2020 № 1750 "Об утверждении перечня технологий, применяемых в рамках экспериментальных правовых режимов в сфере цифровых инноваций".</w:t>
      </w:r>
    </w:p>
    <w:p w14:paraId="1BA50E25">
      <w:pPr>
        <w:pStyle w:val="23"/>
        <w:bidi w:val="0"/>
        <w:rPr>
          <w:rFonts w:hint="default"/>
        </w:rPr>
      </w:pPr>
      <w:r>
        <w:rPr>
          <w:rFonts w:hint="default"/>
        </w:rPr>
        <w:t>Приоритет 2030 [Электронный ресурс]: сайт Томского университета систем управления и радиоэлектроники. URL: https://tusur.ru/ru/o-tusure/prioritet-2030 (дата обращения: 14.12.2024).</w:t>
      </w:r>
    </w:p>
    <w:p w14:paraId="5E61FF08">
      <w:pPr>
        <w:pStyle w:val="23"/>
        <w:bidi w:val="0"/>
      </w:pPr>
      <w:r>
        <w:rPr>
          <w:rFonts w:hint="default"/>
        </w:rPr>
        <w:t>Завёркин А.Н. Взаимосвязь науки и производства // изд. ФГБОУ ВО «Красноярский государственный педагогический университет им В.П Астафьефа». 2016. №4(38). С. 301-306.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F8772E"/>
    <w:multiLevelType w:val="multilevel"/>
    <w:tmpl w:val="6AF8772E"/>
    <w:lvl w:ilvl="0" w:tentative="0">
      <w:start w:val="1"/>
      <w:numFmt w:val="decimal"/>
      <w:pStyle w:val="23"/>
      <w:lvlText w:val="%1."/>
      <w:lvlJc w:val="left"/>
      <w:pPr>
        <w:ind w:left="1429" w:hanging="360"/>
      </w:p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683"/>
    <w:rsid w:val="000F60C6"/>
    <w:rsid w:val="00215683"/>
    <w:rsid w:val="00227455"/>
    <w:rsid w:val="002B4997"/>
    <w:rsid w:val="002C1E03"/>
    <w:rsid w:val="005570A0"/>
    <w:rsid w:val="00602176"/>
    <w:rsid w:val="009C73A8"/>
    <w:rsid w:val="009F6C41"/>
    <w:rsid w:val="00B163BB"/>
    <w:rsid w:val="00BC2E1E"/>
    <w:rsid w:val="00C77040"/>
    <w:rsid w:val="00DF5948"/>
    <w:rsid w:val="5126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kern w:val="0"/>
      <w:sz w:val="28"/>
      <w:szCs w:val="24"/>
      <w:lang w:val="ru-RU" w:eastAsia="ru-RU" w:bidi="ar-SA"/>
      <w14:ligatures w14:val="none"/>
    </w:rPr>
  </w:style>
  <w:style w:type="paragraph" w:styleId="2">
    <w:name w:val="heading 1"/>
    <w:basedOn w:val="1"/>
    <w:next w:val="1"/>
    <w:link w:val="25"/>
    <w:qFormat/>
    <w:uiPriority w:val="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6"/>
    <w:unhideWhenUsed/>
    <w:qFormat/>
    <w:uiPriority w:val="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7"/>
    <w:unhideWhenUsed/>
    <w:qFormat/>
    <w:uiPriority w:val="0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Cs w:val="28"/>
    </w:rPr>
  </w:style>
  <w:style w:type="paragraph" w:styleId="5">
    <w:name w:val="heading 4"/>
    <w:basedOn w:val="1"/>
    <w:next w:val="1"/>
    <w:link w:val="28"/>
    <w:unhideWhenUsed/>
    <w:qFormat/>
    <w:uiPriority w:val="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9"/>
    <w:semiHidden/>
    <w:unhideWhenUsed/>
    <w:qFormat/>
    <w:uiPriority w:val="0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30"/>
    <w:semiHidden/>
    <w:unhideWhenUsed/>
    <w:qFormat/>
    <w:uiPriority w:val="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1"/>
    <w:semiHidden/>
    <w:unhideWhenUsed/>
    <w:qFormat/>
    <w:uiPriority w:val="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2"/>
    <w:semiHidden/>
    <w:unhideWhenUsed/>
    <w:qFormat/>
    <w:uiPriority w:val="0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3"/>
    <w:semiHidden/>
    <w:unhideWhenUsed/>
    <w:qFormat/>
    <w:uiPriority w:val="0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Title"/>
    <w:basedOn w:val="1"/>
    <w:next w:val="1"/>
    <w:link w:val="3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footer"/>
    <w:basedOn w:val="1"/>
    <w:qFormat/>
    <w:uiPriority w:val="99"/>
    <w:pPr>
      <w:tabs>
        <w:tab w:val="center" w:pos="4677"/>
        <w:tab w:val="right" w:pos="9355"/>
      </w:tabs>
    </w:pPr>
  </w:style>
  <w:style w:type="paragraph" w:styleId="16">
    <w:name w:val="Normal (Web)"/>
    <w:basedOn w:val="1"/>
    <w:semiHidden/>
    <w:unhideWhenUsed/>
    <w:uiPriority w:val="99"/>
    <w:rPr>
      <w:sz w:val="24"/>
      <w:szCs w:val="24"/>
    </w:rPr>
  </w:style>
  <w:style w:type="paragraph" w:styleId="17">
    <w:name w:val="Subtitle"/>
    <w:basedOn w:val="1"/>
    <w:next w:val="1"/>
    <w:link w:val="35"/>
    <w:qFormat/>
    <w:uiPriority w:val="11"/>
    <w:rPr>
      <w:rFonts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8">
    <w:name w:val="основной текст"/>
    <w:basedOn w:val="1"/>
    <w:link w:val="19"/>
    <w:autoRedefine/>
    <w:qFormat/>
    <w:uiPriority w:val="0"/>
    <w:pPr>
      <w:suppressAutoHyphens/>
      <w:spacing w:line="480" w:lineRule="auto"/>
      <w:ind w:firstLine="414"/>
      <w:jc w:val="center"/>
    </w:pPr>
    <w:rPr>
      <w:rFonts w:ascii="Arial" w:hAnsi="Arial"/>
      <w:sz w:val="24"/>
      <w:u w:val="double"/>
      <w14:textOutline w14:w="9525" w14:cap="rnd" w14:cmpd="sng" w14:algn="ctr">
        <w14:solidFill>
          <w14:schemeClr w14:val="tx1"/>
        </w14:solidFill>
        <w14:prstDash w14:val="solid"/>
        <w14:bevel/>
      </w14:textOutline>
    </w:rPr>
  </w:style>
  <w:style w:type="character" w:customStyle="1" w:styleId="19">
    <w:name w:val="основной текст Знак"/>
    <w:basedOn w:val="20"/>
    <w:link w:val="18"/>
    <w:qFormat/>
    <w:uiPriority w:val="0"/>
    <w:rPr>
      <w:rFonts w:ascii="Arial" w:hAnsi="Arial"/>
      <w:b w:val="0"/>
      <w:caps w:val="0"/>
      <w:sz w:val="24"/>
      <w:u w:val="double"/>
      <w:lang w:val="ru-RU"/>
      <w14:textOutline w14:w="9525" w14:cap="rnd" w14:cmpd="sng" w14:algn="ctr">
        <w14:solidFill>
          <w14:schemeClr w14:val="tx1"/>
        </w14:solidFill>
        <w14:prstDash w14:val="solid"/>
        <w14:bevel/>
      </w14:textOutline>
    </w:rPr>
  </w:style>
  <w:style w:type="character" w:customStyle="1" w:styleId="20">
    <w:name w:val="заголовок Знак"/>
    <w:basedOn w:val="11"/>
    <w:link w:val="21"/>
    <w:qFormat/>
    <w:uiPriority w:val="0"/>
    <w:rPr>
      <w:rFonts w:ascii="Times New Roman" w:hAnsi="Times New Roman"/>
      <w:b/>
      <w:caps/>
      <w:sz w:val="28"/>
      <w:u w:val="double"/>
      <w14:textOutline w14:w="9525" w14:cap="rnd" w14:cmpd="sng" w14:algn="ctr">
        <w14:solidFill>
          <w14:schemeClr w14:val="tx1"/>
        </w14:solidFill>
        <w14:prstDash w14:val="solid"/>
        <w14:bevel/>
      </w14:textOutline>
    </w:rPr>
  </w:style>
  <w:style w:type="paragraph" w:customStyle="1" w:styleId="21">
    <w:name w:val="заголовок"/>
    <w:basedOn w:val="22"/>
    <w:link w:val="20"/>
    <w:autoRedefine/>
    <w:qFormat/>
    <w:uiPriority w:val="0"/>
    <w:pPr>
      <w:widowControl w:val="0"/>
      <w:suppressAutoHyphens/>
      <w:spacing w:before="280" w:line="360" w:lineRule="auto"/>
      <w:jc w:val="center"/>
    </w:pPr>
    <w:rPr>
      <w:rFonts w:ascii="Times New Roman" w:hAnsi="Times New Roman"/>
      <w:b/>
      <w:caps/>
      <w:sz w:val="28"/>
      <w:u w:val="double"/>
      <w14:textOutline w14:w="9525" w14:cap="rnd" w14:cmpd="sng" w14:algn="ctr">
        <w14:solidFill>
          <w14:schemeClr w14:val="tx1"/>
        </w14:solidFill>
        <w14:prstDash w14:val="solid"/>
        <w14:bevel/>
      </w14:textOutline>
    </w:rPr>
  </w:style>
  <w:style w:type="paragraph" w:styleId="22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2"/>
      <w:szCs w:val="22"/>
      <w:lang w:val="zh-CN" w:eastAsia="en-US" w:bidi="ar-SA"/>
      <w14:ligatures w14:val="standardContextual"/>
    </w:rPr>
  </w:style>
  <w:style w:type="paragraph" w:customStyle="1" w:styleId="23">
    <w:name w:val="нумерованный список"/>
    <w:basedOn w:val="1"/>
    <w:link w:val="24"/>
    <w:autoRedefine/>
    <w:qFormat/>
    <w:uiPriority w:val="0"/>
    <w:pPr>
      <w:numPr>
        <w:ilvl w:val="0"/>
        <w:numId w:val="1"/>
      </w:numPr>
      <w:tabs>
        <w:tab w:val="left" w:pos="1134"/>
      </w:tabs>
      <w:ind w:left="0" w:firstLine="709"/>
    </w:pPr>
  </w:style>
  <w:style w:type="character" w:customStyle="1" w:styleId="24">
    <w:name w:val="нумерованный список Знак"/>
    <w:basedOn w:val="11"/>
    <w:link w:val="23"/>
    <w:qFormat/>
    <w:uiPriority w:val="0"/>
    <w:rPr>
      <w:rFonts w:ascii="Times New Roman" w:hAnsi="Times New Roman" w:eastAsia="Times New Roman" w:cs="Times New Roman"/>
      <w:kern w:val="0"/>
      <w:sz w:val="28"/>
      <w:szCs w:val="24"/>
      <w:lang w:val="ru-RU" w:eastAsia="ru-RU"/>
      <w14:ligatures w14:val="none"/>
    </w:rPr>
  </w:style>
  <w:style w:type="character" w:customStyle="1" w:styleId="25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6">
    <w:name w:val="Заголовок 2 Знак"/>
    <w:basedOn w:val="11"/>
    <w:link w:val="3"/>
    <w:qFormat/>
    <w:uiPriority w:val="0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3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4">
    <w:name w:val="Заголовок Знак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Подзаголовок Знак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6">
    <w:name w:val="Quote"/>
    <w:basedOn w:val="1"/>
    <w:next w:val="1"/>
    <w:link w:val="3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Цитата 2 Знак"/>
    <w:basedOn w:val="11"/>
    <w:link w:val="3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1">
    <w:name w:val="Выделенная цитата Знак"/>
    <w:basedOn w:val="11"/>
    <w:link w:val="40"/>
    <w:qFormat/>
    <w:uiPriority w:val="30"/>
    <w:rPr>
      <w:i/>
      <w:iCs/>
      <w:color w:val="2F5597" w:themeColor="accent1" w:themeShade="BF"/>
    </w:rPr>
  </w:style>
  <w:style w:type="character" w:customStyle="1" w:styleId="4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3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1291</Words>
  <Characters>7364</Characters>
  <Lines>61</Lines>
  <Paragraphs>17</Paragraphs>
  <TotalTime>0</TotalTime>
  <ScaleCrop>false</ScaleCrop>
  <LinksUpToDate>false</LinksUpToDate>
  <CharactersWithSpaces>8638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2025-12-03T12:16:00Z</dcterms:created>
  <dc:creator>Екатерина Змейкова</dc:creator>
  <cp:lastModifiedBy>makar</cp:lastModifiedBy>
  <dcterms:modified xsi:type="dcterms:W3CDTF">2025-12-17T23:24:17Z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D96CF2D6DBF74A5DBD8461A7CF2068D2_12</vt:lpwstr>
  </property>
</Properties>
</file>