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74475">
      <w:pPr>
        <w:pStyle w:val="2"/>
        <w:tabs>
          <w:tab w:val="left" w:pos="360"/>
        </w:tabs>
        <w:spacing w:before="0" w:after="0" w:line="360" w:lineRule="auto"/>
        <w:ind w:firstLine="709"/>
        <w:jc w:val="center"/>
        <w:rPr>
          <w:rFonts w:ascii="Times New Roman" w:hAnsi="Times New Roman" w:cs="Times New Roman"/>
          <w:b/>
          <w:bCs/>
          <w:color w:val="000000" w:themeColor="text1"/>
          <w:sz w:val="28"/>
          <w:szCs w:val="28"/>
          <w14:textFill>
            <w14:solidFill>
              <w14:schemeClr w14:val="tx1"/>
            </w14:solidFill>
          </w14:textFill>
        </w:rPr>
      </w:pPr>
      <w:bookmarkStart w:id="0" w:name="_Toc215416939"/>
      <w:bookmarkStart w:id="1" w:name="_Hlk215689920"/>
      <w:r>
        <w:rPr>
          <w:rFonts w:ascii="Times New Roman" w:hAnsi="Times New Roman" w:cs="Times New Roman"/>
          <w:b/>
          <w:bCs/>
          <w:color w:val="000000" w:themeColor="text1"/>
          <w:sz w:val="28"/>
          <w:szCs w:val="28"/>
          <w14:textFill>
            <w14:solidFill>
              <w14:schemeClr w14:val="tx1"/>
            </w14:solidFill>
          </w14:textFill>
        </w:rPr>
        <w:t>2 НАУЧНО-ИССЛЕДОВАТЕЛЬСКАЯ РАБОТА СТУДЕНТА КАК ФАКТОР ПРОФЕССИОНАЛЬНОГО РАЗВИТИЯ</w:t>
      </w:r>
      <w:bookmarkEnd w:id="0"/>
    </w:p>
    <w:bookmarkEnd w:id="1"/>
    <w:p w14:paraId="3473EC49">
      <w:pPr>
        <w:pStyle w:val="3"/>
        <w:tabs>
          <w:tab w:val="left" w:pos="1440"/>
        </w:tabs>
        <w:spacing w:before="0" w:after="0" w:line="360" w:lineRule="auto"/>
        <w:jc w:val="center"/>
        <w:rPr>
          <w:rFonts w:ascii="Times New Roman" w:hAnsi="Times New Roman" w:cs="Times New Roman"/>
          <w:b/>
          <w:bCs/>
          <w:color w:val="000000" w:themeColor="text1"/>
          <w:sz w:val="28"/>
          <w:szCs w:val="28"/>
          <w:lang w:val="ru-RU"/>
          <w14:textFill>
            <w14:solidFill>
              <w14:schemeClr w14:val="tx1"/>
            </w14:solidFill>
          </w14:textFill>
        </w:rPr>
      </w:pPr>
      <w:bookmarkStart w:id="2" w:name="_Toc215416941"/>
      <w:r>
        <w:rPr>
          <w:rFonts w:ascii="Times New Roman" w:hAnsi="Times New Roman" w:cs="Times New Roman"/>
          <w:b/>
          <w:bCs/>
          <w:color w:val="000000" w:themeColor="text1"/>
          <w:sz w:val="28"/>
          <w:szCs w:val="28"/>
          <w:lang w:val="ru-RU"/>
          <w14:textFill>
            <w14:solidFill>
              <w14:schemeClr w14:val="tx1"/>
            </w14:solidFill>
          </w14:textFill>
        </w:rPr>
        <w:t xml:space="preserve">2.2 </w:t>
      </w:r>
      <w:r>
        <w:rPr>
          <w:rFonts w:ascii="Times New Roman" w:hAnsi="Times New Roman" w:cs="Times New Roman"/>
          <w:b/>
          <w:bCs/>
          <w:color w:val="000000" w:themeColor="text1"/>
          <w:sz w:val="28"/>
          <w:szCs w:val="28"/>
          <w14:textFill>
            <w14:solidFill>
              <w14:schemeClr w14:val="tx1"/>
            </w14:solidFill>
          </w14:textFill>
        </w:rPr>
        <w:t>Инновационные площадки для реализации научного потенциала студентов</w:t>
      </w:r>
      <w:bookmarkEnd w:id="2"/>
    </w:p>
    <w:p w14:paraId="5FF4C51C">
      <w:pPr>
        <w:pStyle w:val="38"/>
        <w:numPr>
          <w:numId w:val="0"/>
        </w:numPr>
        <w:shd w:val="clear" w:color="auto" w:fill="FFFFFF"/>
        <w:spacing w:after="0" w:line="360" w:lineRule="auto"/>
        <w:ind w:left="9" w:leftChars="0" w:firstLine="700" w:firstLineChars="250"/>
        <w:jc w:val="both"/>
        <w:rPr>
          <w:rFonts w:hint="default" w:ascii="Times New Roman" w:hAnsi="Times New Roman" w:eastAsia="Times New Roman"/>
          <w:color w:val="333333"/>
          <w:kern w:val="0"/>
          <w:sz w:val="28"/>
          <w:szCs w:val="28"/>
          <w:lang w:val="zh-CN" w:eastAsia="zh-CN"/>
          <w14:ligatures w14:val="none"/>
        </w:rPr>
      </w:pPr>
      <w:r>
        <w:rPr>
          <w:rFonts w:hint="default" w:ascii="Times New Roman" w:hAnsi="Times New Roman" w:eastAsia="Times New Roman"/>
          <w:color w:val="333333"/>
          <w:kern w:val="0"/>
          <w:sz w:val="28"/>
          <w:szCs w:val="28"/>
          <w:lang w:val="zh-CN" w:eastAsia="zh-CN"/>
          <w14:ligatures w14:val="none"/>
        </w:rPr>
        <w:t xml:space="preserve">Эффективная интеграция молодых исследователей в научно-технологический процесс предполагает переход от аудиторного изучения дисциплин к активной проектной работе в условиях, максимально приближенных к реальным. Такой переход обеспечивается за </w:t>
      </w:r>
      <w:r>
        <w:rPr>
          <w:rFonts w:hint="default" w:ascii="Times New Roman" w:hAnsi="Times New Roman" w:eastAsia="Times New Roman"/>
          <w:color w:val="333333"/>
          <w:kern w:val="0"/>
          <w:sz w:val="28"/>
          <w:szCs w:val="28"/>
          <w:lang w:val="ru-RU" w:eastAsia="zh-CN"/>
          <w14:ligatures w14:val="none"/>
        </w:rPr>
        <w:t>счёт</w:t>
      </w:r>
      <w:r>
        <w:rPr>
          <w:rFonts w:hint="default" w:ascii="Times New Roman" w:hAnsi="Times New Roman" w:eastAsia="Times New Roman"/>
          <w:color w:val="333333"/>
          <w:kern w:val="0"/>
          <w:sz w:val="28"/>
          <w:szCs w:val="28"/>
          <w:lang w:val="zh-CN" w:eastAsia="zh-CN"/>
          <w14:ligatures w14:val="none"/>
        </w:rPr>
        <w:t xml:space="preserve"> включения студентов в деятельность специально организованных инновационных площадок. Эти структурные элементы научно-образовательной экосистемы предоставляют командам не только финансовые и материально-технические ресурсы, но и критически важную нефинансовую поддержку: менторское сопровождение, правовую и маркетинговую экспертизу, доступ к профессиональным сетям. В результате студенты осваивают не только узкопрофессиональные навыки, но и комплексные компетенции в области управления проектами, работы в команде и коммерциализации разработок [1]. Формирование и поддержка подобной инфраструктуры в России согласуется со Стратегией научно-технологического развития, где работа с </w:t>
      </w:r>
      <w:r>
        <w:rPr>
          <w:rFonts w:hint="default" w:ascii="Times New Roman" w:hAnsi="Times New Roman" w:eastAsia="Times New Roman"/>
          <w:color w:val="333333"/>
          <w:kern w:val="0"/>
          <w:sz w:val="28"/>
          <w:szCs w:val="28"/>
          <w:lang w:val="ru-RU" w:eastAsia="zh-CN"/>
          <w14:ligatures w14:val="none"/>
        </w:rPr>
        <w:t>молодёжью</w:t>
      </w:r>
      <w:r>
        <w:rPr>
          <w:rFonts w:hint="default" w:ascii="Times New Roman" w:hAnsi="Times New Roman" w:eastAsia="Times New Roman"/>
          <w:color w:val="333333"/>
          <w:kern w:val="0"/>
          <w:sz w:val="28"/>
          <w:szCs w:val="28"/>
          <w:lang w:val="zh-CN" w:eastAsia="zh-CN"/>
          <w14:ligatures w14:val="none"/>
        </w:rPr>
        <w:t xml:space="preserve"> выделена как отдельный приоритет, и реализуется через ряд государственных программ, включая программу «Исследования и разработки по приоритетным направлениям развития научно-технологического комплекса России» [1].</w:t>
      </w:r>
    </w:p>
    <w:p w14:paraId="77E4DDC7">
      <w:pPr>
        <w:pStyle w:val="38"/>
        <w:numPr>
          <w:numId w:val="0"/>
        </w:numPr>
        <w:shd w:val="clear" w:color="auto" w:fill="FFFFFF"/>
        <w:spacing w:after="0" w:line="360" w:lineRule="auto"/>
        <w:ind w:left="9" w:leftChars="0" w:firstLine="700" w:firstLineChars="250"/>
        <w:jc w:val="both"/>
        <w:rPr>
          <w:rFonts w:hint="default" w:ascii="Times New Roman" w:hAnsi="Times New Roman" w:eastAsia="Times New Roman"/>
          <w:color w:val="333333"/>
          <w:kern w:val="0"/>
          <w:sz w:val="28"/>
          <w:szCs w:val="28"/>
          <w:lang w:val="zh-CN" w:eastAsia="zh-CN"/>
          <w14:ligatures w14:val="none"/>
        </w:rPr>
      </w:pPr>
      <w:r>
        <w:rPr>
          <w:rFonts w:hint="default" w:ascii="Times New Roman" w:hAnsi="Times New Roman" w:eastAsia="Times New Roman"/>
          <w:color w:val="333333"/>
          <w:kern w:val="0"/>
          <w:sz w:val="28"/>
          <w:szCs w:val="28"/>
          <w:lang w:val="zh-CN" w:eastAsia="zh-CN"/>
          <w14:ligatures w14:val="none"/>
        </w:rPr>
        <w:t>Вузовские бизнес-инкубаторы и акселераторы выступают первой и наиболее доступной для студента ступенью. Межвузовский студенческий бизнес-инкубатор «Дружба» ТУСУРа, являясь одной из старейших и наиболее успешных в стране площадок этого типа, обеспечивает сквозную поддержку технологических проектов. Его методология включает в себя образовательные модули по технологическому предпринимательству, индивидуальную работу с менторами из числа представителей индустрии и инвесторов, а также помощь в патентовании разработок и выходе на рынок.</w:t>
      </w:r>
      <w:r>
        <w:rPr>
          <w:rFonts w:hint="default" w:ascii="Times New Roman" w:hAnsi="Times New Roman" w:eastAsia="Times New Roman"/>
          <w:color w:val="333333"/>
          <w:kern w:val="0"/>
          <w:sz w:val="28"/>
          <w:szCs w:val="28"/>
          <w:lang w:val="ru-RU" w:eastAsia="zh-CN"/>
          <w14:ligatures w14:val="none"/>
        </w:rPr>
        <w:t xml:space="preserve"> </w:t>
      </w:r>
      <w:r>
        <w:rPr>
          <w:rFonts w:hint="default" w:ascii="Times New Roman" w:hAnsi="Times New Roman" w:eastAsia="Times New Roman"/>
          <w:color w:val="333333"/>
          <w:kern w:val="0"/>
          <w:sz w:val="28"/>
          <w:szCs w:val="28"/>
          <w:lang w:val="zh-CN" w:eastAsia="zh-CN"/>
          <w14:ligatures w14:val="none"/>
        </w:rPr>
        <w:t>Резиденты инкубатора получают возможность протестировать свою бизнес-модель и продукт в «безопасной» среде перед запуском полноценного стартапа [5].</w:t>
      </w:r>
    </w:p>
    <w:p w14:paraId="5250C007">
      <w:pPr>
        <w:pStyle w:val="38"/>
        <w:numPr>
          <w:numId w:val="0"/>
        </w:numPr>
        <w:shd w:val="clear" w:color="auto" w:fill="FFFFFF"/>
        <w:spacing w:after="0" w:line="360" w:lineRule="auto"/>
        <w:ind w:left="9" w:leftChars="0" w:firstLine="700" w:firstLineChars="250"/>
        <w:jc w:val="both"/>
        <w:rPr>
          <w:rFonts w:hint="default" w:ascii="Times New Roman" w:hAnsi="Times New Roman" w:eastAsia="Times New Roman"/>
          <w:color w:val="333333"/>
          <w:kern w:val="0"/>
          <w:sz w:val="28"/>
          <w:szCs w:val="28"/>
          <w:lang w:val="zh-CN" w:eastAsia="zh-CN"/>
          <w14:ligatures w14:val="none"/>
        </w:rPr>
      </w:pPr>
      <w:r>
        <w:rPr>
          <w:rFonts w:hint="default" w:ascii="Times New Roman" w:hAnsi="Times New Roman" w:eastAsia="Times New Roman"/>
          <w:color w:val="333333"/>
          <w:kern w:val="0"/>
          <w:sz w:val="28"/>
          <w:szCs w:val="28"/>
          <w:lang w:val="zh-CN" w:eastAsia="zh-CN"/>
          <w14:ligatures w14:val="none"/>
        </w:rPr>
        <w:t>Крупные внеуниверситетские инновационные кластеры, такие как фонд «Сколково», предлагают следующий уровень возможностей для команд, чьи проекты уже прошли начальную стадию валидации. Статус резидента такого кластера предоставляет комплекс преференций, включая налоговые льготы,</w:t>
      </w:r>
      <w:r>
        <w:rPr>
          <w:rFonts w:hint="default" w:ascii="Times New Roman" w:hAnsi="Times New Roman" w:eastAsia="Times New Roman"/>
          <w:color w:val="333333"/>
          <w:kern w:val="0"/>
          <w:sz w:val="28"/>
          <w:szCs w:val="28"/>
          <w:lang w:val="ru-RU" w:eastAsia="zh-CN"/>
          <w14:ligatures w14:val="none"/>
        </w:rPr>
        <w:t xml:space="preserve"> </w:t>
      </w:r>
      <w:r>
        <w:rPr>
          <w:rFonts w:hint="default" w:ascii="Times New Roman" w:hAnsi="Times New Roman" w:eastAsia="Times New Roman"/>
          <w:color w:val="333333"/>
          <w:kern w:val="0"/>
          <w:sz w:val="28"/>
          <w:szCs w:val="28"/>
          <w:lang w:val="zh-CN" w:eastAsia="zh-CN"/>
          <w14:ligatures w14:val="none"/>
        </w:rPr>
        <w:t xml:space="preserve">финансирование НИОКР и доступ </w:t>
      </w:r>
      <w:bookmarkStart w:id="4" w:name="_GoBack"/>
      <w:bookmarkEnd w:id="4"/>
      <w:r>
        <w:rPr>
          <w:rFonts w:hint="default" w:ascii="Times New Roman" w:hAnsi="Times New Roman" w:eastAsia="Times New Roman"/>
          <w:color w:val="333333"/>
          <w:kern w:val="0"/>
          <w:sz w:val="28"/>
          <w:szCs w:val="28"/>
          <w:lang w:val="zh-CN" w:eastAsia="zh-CN"/>
          <w14:ligatures w14:val="none"/>
        </w:rPr>
        <w:t>к специализированной лабораторной и офисной инфраструктуре. Для студентов и выпускников здесь действуют целевые акселерационные программы (например, «Сколково Студент»), которые сфокусированы на оттачивании бизнес-составляющей проекта, поиске первых пилотных заказчиков и подготовке к привлечению инвестиций. Погружение в среду кластера, где одновременно работают сотни технологических компаний и стартапов, позволяет молодым исследователям быстро интегрироваться в профессиональное сообщество и налаживать деловые контакты [3].</w:t>
      </w:r>
    </w:p>
    <w:p w14:paraId="76F22F40">
      <w:pPr>
        <w:pStyle w:val="38"/>
        <w:numPr>
          <w:numId w:val="0"/>
        </w:numPr>
        <w:shd w:val="clear" w:color="auto" w:fill="FFFFFF"/>
        <w:spacing w:after="0" w:line="360" w:lineRule="auto"/>
        <w:ind w:left="9" w:leftChars="0" w:firstLine="700" w:firstLineChars="250"/>
        <w:jc w:val="both"/>
        <w:rPr>
          <w:rFonts w:hint="default" w:ascii="Times New Roman" w:hAnsi="Times New Roman" w:eastAsia="Times New Roman"/>
          <w:color w:val="333333"/>
          <w:kern w:val="0"/>
          <w:sz w:val="28"/>
          <w:szCs w:val="28"/>
          <w:lang w:val="zh-CN" w:eastAsia="zh-CN"/>
          <w14:ligatures w14:val="none"/>
        </w:rPr>
      </w:pPr>
      <w:r>
        <w:rPr>
          <w:rFonts w:hint="default" w:ascii="Times New Roman" w:hAnsi="Times New Roman" w:eastAsia="Times New Roman"/>
          <w:color w:val="333333"/>
          <w:kern w:val="0"/>
          <w:sz w:val="28"/>
          <w:szCs w:val="28"/>
          <w:lang w:val="zh-CN" w:eastAsia="zh-CN"/>
          <w14:ligatures w14:val="none"/>
        </w:rPr>
        <w:t>Создание масштабных научно-образовательных центров (НОЦ), подобных «ИТМО Хайпарку», представляет собой современный тренд в организации исследовательской среды. Такие центры проектируются как кампусы полного цикла, где на единой территории интегрированы жилые корпуса для магистрантов и аспирантов, научно-исследовательские лаборатории мирового уровня, коворкинги, опытные производства и офисы индустриальных партнеров. Эта модель устраняет традиционный разрыв между образованием, наукой и промышленностью. Студенты, участвующие в исследовательских проектах, могут напрямую взаимодействовать с инженерами компаний, использовать промышленное оборудование для создания прототипов, а их разработки получают сокращенный путь к внедрению. «ИТМО Хайпарк», фокусируясь на таких направлениях, как фотоника, квантовые технологии и науки о жизни, создает уникальную среду для прорывных междисциплинарных проектов [4].</w:t>
      </w:r>
    </w:p>
    <w:p w14:paraId="5133ECCE">
      <w:pPr>
        <w:pStyle w:val="38"/>
        <w:numPr>
          <w:numId w:val="0"/>
        </w:numPr>
        <w:shd w:val="clear" w:color="auto" w:fill="FFFFFF"/>
        <w:spacing w:after="0" w:line="360" w:lineRule="auto"/>
        <w:ind w:left="9" w:leftChars="0" w:firstLine="700" w:firstLineChars="250"/>
        <w:jc w:val="both"/>
        <w:rPr>
          <w:rFonts w:hint="default" w:ascii="Times New Roman" w:hAnsi="Times New Roman" w:eastAsia="Times New Roman"/>
          <w:color w:val="333333"/>
          <w:kern w:val="0"/>
          <w:sz w:val="28"/>
          <w:szCs w:val="28"/>
          <w:lang w:val="zh-CN" w:eastAsia="zh-CN"/>
          <w14:ligatures w14:val="none"/>
        </w:rPr>
      </w:pPr>
      <w:r>
        <w:rPr>
          <w:rFonts w:hint="default" w:ascii="Times New Roman" w:hAnsi="Times New Roman" w:eastAsia="Times New Roman"/>
          <w:color w:val="333333"/>
          <w:kern w:val="0"/>
          <w:sz w:val="28"/>
          <w:szCs w:val="28"/>
          <w:lang w:val="zh-CN" w:eastAsia="zh-CN"/>
          <w14:ligatures w14:val="none"/>
        </w:rPr>
        <w:t>Конкретные результаты работы данных площадок иллюстрируются через успешные студенческие проекты, которые стали реальными бизнес-кейсами. Например, выпускники ТУСУРа на базе инкубатора «Дружба» основали компанию «ЭнергоИнтеллект», разрабатывающую системы интеллектуального энергоменеджмента для промышленных предприятий на основе AI-алгоритмов прогнозирования нагрузки, что позволяет значительно сократить энергопотребление [6]. Студенческая команда, прошедшая акселерацию в «Сколково», создала проект «БиоСенс Технолоджи» — портативный биохимический анализатор на основе микрофлюидных чипов для быстрой диагностики в полевых условиях, который уже привлек первые инвестиции от биотехнологического фонда [7]. В среде «ИТМО Хайпарка» был разработан проект «КвантЛаб» — облачная платформа для удаленного проведения учебных экспериментов по квантовой оптике, которая сегодня используется в ряде российских университетов для совершенствования образовательного процесса [8].</w:t>
      </w:r>
    </w:p>
    <w:p w14:paraId="35FC69FB">
      <w:pPr>
        <w:pStyle w:val="38"/>
        <w:numPr>
          <w:numId w:val="0"/>
        </w:numPr>
        <w:shd w:val="clear" w:color="auto" w:fill="FFFFFF"/>
        <w:spacing w:after="0" w:line="360" w:lineRule="auto"/>
        <w:ind w:left="9" w:leftChars="0" w:firstLine="700" w:firstLineChars="250"/>
        <w:jc w:val="both"/>
        <w:rPr>
          <w:rFonts w:ascii="Times New Roman" w:hAnsi="Times New Roman" w:eastAsia="Times New Roman" w:cs="Times New Roman"/>
          <w:color w:val="333333"/>
          <w:kern w:val="0"/>
          <w:sz w:val="28"/>
          <w:szCs w:val="28"/>
          <w:lang w:val="zh-CN" w:eastAsia="zh-CN"/>
          <w14:ligatures w14:val="none"/>
        </w:rPr>
      </w:pPr>
      <w:r>
        <w:rPr>
          <w:rFonts w:hint="default" w:ascii="Times New Roman" w:hAnsi="Times New Roman" w:eastAsia="Times New Roman"/>
          <w:color w:val="333333"/>
          <w:kern w:val="0"/>
          <w:sz w:val="28"/>
          <w:szCs w:val="28"/>
          <w:lang w:val="zh-CN" w:eastAsia="zh-CN"/>
          <w14:ligatures w14:val="none"/>
        </w:rPr>
        <w:t>Таким образом, многоуровневая система инновационных площадок – от вузовских инкубаторов до национальных кластеров и научно-образовательных центров – формирует целостную траекторию для реализации научного потенциала студентов. Она обеспечивает последовательное развитие проекта: от проверки идеи в университетской среде до масштабирования в условиях реального рынка при поддержке мощной инфраструктуры. Развитие этой системы является ключевым фактором для выполнения государственной задачи по воспитанию нового поколения ученых, инженеров и предпринимателей, способных создавать конкурентоспособные технологии и обеспечивать технологический суверенитет страны.</w:t>
      </w:r>
    </w:p>
    <w:p w14:paraId="48B95C86">
      <w:pPr>
        <w:pStyle w:val="44"/>
      </w:pPr>
      <w:bookmarkStart w:id="3" w:name="_Hlk215694607"/>
      <w:r>
        <w:t>Список используемых источников</w:t>
      </w:r>
    </w:p>
    <w:bookmarkEnd w:id="3"/>
    <w:p w14:paraId="66E34FD7">
      <w:pPr>
        <w:pStyle w:val="23"/>
        <w:rPr>
          <w:rFonts w:hint="default"/>
        </w:rPr>
      </w:pPr>
      <w:r>
        <w:rPr>
          <w:rFonts w:hint="default"/>
        </w:rPr>
        <w:t>Стратегия научно-технологического развития Российской Федерации : утв. Указом Президента Российской Федерации от 1 декабря 2016 г. № 642.</w:t>
      </w:r>
    </w:p>
    <w:p w14:paraId="047D101B">
      <w:pPr>
        <w:pStyle w:val="23"/>
        <w:rPr>
          <w:rFonts w:hint="default"/>
        </w:rPr>
      </w:pPr>
      <w:r>
        <w:rPr>
          <w:rFonts w:hint="default"/>
        </w:rPr>
        <w:t>Фонд «Сколково» [Электронный ресурс] : офиц. сайт. – URL: https://sk.ru/ (дата обращения: 17.12.2024).</w:t>
      </w:r>
    </w:p>
    <w:p w14:paraId="4DE4EC4F">
      <w:pPr>
        <w:pStyle w:val="23"/>
        <w:rPr>
          <w:rFonts w:hint="default"/>
        </w:rPr>
      </w:pPr>
      <w:r>
        <w:rPr>
          <w:rFonts w:hint="default"/>
        </w:rPr>
        <w:t>ИТМО Хайпарк [Электронный ресурс] : офиц. сайт. – URL: https://park.itmo.ru/ (дата обращения: 17.12.2024).</w:t>
      </w:r>
    </w:p>
    <w:p w14:paraId="29958D35">
      <w:pPr>
        <w:pStyle w:val="23"/>
        <w:rPr>
          <w:rFonts w:hint="default"/>
        </w:rPr>
      </w:pPr>
      <w:r>
        <w:rPr>
          <w:rFonts w:hint="default"/>
        </w:rPr>
        <w:t>Межвузовский студенческий бизнес-инкубатор «Дружба» [Электронный ресурс] : сайт ТУСУР. – URL: https://tusur.ru/ru/innovacii/druzhba (дата обращения: 17.12.2024).</w:t>
      </w:r>
    </w:p>
    <w:p w14:paraId="187D9D6C">
      <w:pPr>
        <w:pStyle w:val="23"/>
        <w:rPr>
          <w:rFonts w:hint="default"/>
        </w:rPr>
      </w:pPr>
      <w:r>
        <w:rPr>
          <w:rFonts w:hint="default"/>
        </w:rPr>
        <w:t>Университет Иннополис [Электронный ресурс] : офиц. сайт. – URL: https://innopolis.university/ (дата обращения: 17.12.2024).</w:t>
      </w:r>
    </w:p>
    <w:p w14:paraId="0C128850">
      <w:pPr>
        <w:pStyle w:val="23"/>
        <w:rPr>
          <w:rFonts w:hint="default"/>
        </w:rPr>
      </w:pPr>
      <w:r>
        <w:rPr>
          <w:rFonts w:hint="default"/>
        </w:rPr>
        <w:t>Завёркин А.Н. Взаимосвязь науки и производства // Известия ФГБОУ ВО «Красноярский государственный педагогический университет им. В.П. Астафьева». 2016. № 4 (38). С. 301–306.</w:t>
      </w:r>
    </w:p>
    <w:p w14:paraId="4FCE967D">
      <w:pPr>
        <w:pStyle w:val="23"/>
        <w:rPr>
          <w:rFonts w:hint="default"/>
        </w:rPr>
      </w:pPr>
      <w:r>
        <w:rPr>
          <w:rFonts w:hint="default"/>
        </w:rPr>
        <w:t>Новиков А.М., Новиков Д.А. Методология научного исследования : учебное пособие. – Москва : Либроком, 2010. – 280 с.</w:t>
      </w:r>
    </w:p>
    <w:p w14:paraId="578C1A42">
      <w:pPr>
        <w:pStyle w:val="23"/>
        <w:rPr>
          <w:rFonts w:hint="default"/>
        </w:rPr>
      </w:pPr>
      <w:r>
        <w:rPr>
          <w:rFonts w:hint="default"/>
        </w:rPr>
        <w:t>Приоритет 2030 [Электронный ресурс] : сайт Томского государственного университета систем управления и радиоэлектроники. – URL: https://tusur.ru/ru/o-tusure/prioritet-2030 (дата обращения: 14.12.2024).</w:t>
      </w:r>
    </w:p>
    <w:p w14:paraId="4BE7DAB2">
      <w:pPr>
        <w:pStyle w:val="23"/>
      </w:pPr>
      <w:r>
        <w:rPr>
          <w:rFonts w:hint="default"/>
        </w:rPr>
        <w:t>Об утверждении перечня технологий, применяемых в рамках экспериментальных правовых режимов в сфере цифровых инноваций : постановление Правительства Российской Федерации от 28 октября 2020 г. № 1750 // Официальный интернет-портал правовой информации. – URL: http://publication.pravo.gov.ru/Document/View/0001202010290030 (дата обращения: 17.12.2024).</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7C6EDD"/>
    <w:multiLevelType w:val="multilevel"/>
    <w:tmpl w:val="2F7C6EDD"/>
    <w:lvl w:ilvl="0" w:tentative="0">
      <w:start w:val="1"/>
      <w:numFmt w:val="decimal"/>
      <w:pStyle w:val="23"/>
      <w:lvlText w:val="%1"/>
      <w:lvlJc w:val="left"/>
      <w:pPr>
        <w:ind w:left="1069" w:hanging="360"/>
      </w:pPr>
      <w:rPr>
        <w:rFonts w:ascii="Times New Roman" w:hAnsi="Times New Roman" w:cs="Times New Roman" w:eastAsiaTheme="minorHAnsi"/>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2A4"/>
    <w:rsid w:val="001C1FF0"/>
    <w:rsid w:val="00227455"/>
    <w:rsid w:val="002B4997"/>
    <w:rsid w:val="002C1E03"/>
    <w:rsid w:val="00357A69"/>
    <w:rsid w:val="003B52A4"/>
    <w:rsid w:val="005C1CD3"/>
    <w:rsid w:val="0082664A"/>
    <w:rsid w:val="009174A3"/>
    <w:rsid w:val="00941A3A"/>
    <w:rsid w:val="009560DC"/>
    <w:rsid w:val="009C73A8"/>
    <w:rsid w:val="00B163BB"/>
    <w:rsid w:val="00B57788"/>
    <w:rsid w:val="00BC2E1E"/>
    <w:rsid w:val="00C77040"/>
    <w:rsid w:val="037A3B41"/>
    <w:rsid w:val="1B5B21A4"/>
    <w:rsid w:val="4A9A2372"/>
    <w:rsid w:val="71136BBD"/>
    <w:rsid w:val="7A97315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000FF"/>
      <w:u w:val="single"/>
    </w:rPr>
  </w:style>
  <w:style w:type="character" w:styleId="15">
    <w:name w:val="Strong"/>
    <w:basedOn w:val="11"/>
    <w:qFormat/>
    <w:uiPriority w:val="22"/>
    <w:rPr>
      <w:b/>
      <w:bCs/>
    </w:rPr>
  </w:style>
  <w:style w:type="paragraph" w:styleId="16">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18">
    <w:name w:val="основной текст"/>
    <w:basedOn w:val="1"/>
    <w:link w:val="19"/>
    <w:autoRedefine/>
    <w:qFormat/>
    <w:uiPriority w:val="0"/>
    <w:pPr>
      <w:suppressAutoHyphens/>
      <w:spacing w:after="0" w:line="480" w:lineRule="auto"/>
      <w:ind w:firstLine="414"/>
      <w:jc w:val="center"/>
    </w:pPr>
    <w:rPr>
      <w:rFonts w:ascii="Arial" w:hAnsi="Arial"/>
      <w:sz w:val="24"/>
      <w:u w:val="double"/>
      <w:lang w:val="ru-RU"/>
      <w14:textOutline w14:w="9525" w14:cap="rnd" w14:cmpd="sng" w14:algn="ctr">
        <w14:solidFill>
          <w14:schemeClr w14:val="tx1"/>
        </w14:solidFill>
        <w14:prstDash w14:val="solid"/>
        <w14:bevel/>
      </w14:textOutline>
    </w:rPr>
  </w:style>
  <w:style w:type="character" w:customStyle="1" w:styleId="19">
    <w:name w:val="основной текст Знак"/>
    <w:basedOn w:val="20"/>
    <w:link w:val="18"/>
    <w:uiPriority w:val="0"/>
    <w:rPr>
      <w:rFonts w:ascii="Arial" w:hAnsi="Arial"/>
      <w:b w:val="0"/>
      <w:caps w:val="0"/>
      <w:sz w:val="24"/>
      <w:u w:val="double"/>
      <w:lang w:val="ru-RU"/>
      <w14:textOutline w14:w="9525" w14:cap="rnd" w14:cmpd="sng" w14:algn="ctr">
        <w14:solidFill>
          <w14:schemeClr w14:val="tx1"/>
        </w14:solidFill>
        <w14:prstDash w14:val="solid"/>
        <w14:bevel/>
      </w14:textOutline>
    </w:rPr>
  </w:style>
  <w:style w:type="character" w:customStyle="1" w:styleId="20">
    <w:name w:val="заголовок Знак"/>
    <w:basedOn w:val="11"/>
    <w:link w:val="21"/>
    <w:uiPriority w:val="0"/>
    <w:rPr>
      <w:rFonts w:ascii="Times New Roman" w:hAnsi="Times New Roman"/>
      <w:b/>
      <w:caps/>
      <w:sz w:val="28"/>
      <w:u w:val="double"/>
      <w14:textOutline w14:w="9525" w14:cap="rnd" w14:cmpd="sng" w14:algn="ctr">
        <w14:solidFill>
          <w14:schemeClr w14:val="tx1"/>
        </w14:solidFill>
        <w14:prstDash w14:val="solid"/>
        <w14:bevel/>
      </w14:textOutline>
    </w:rPr>
  </w:style>
  <w:style w:type="paragraph" w:customStyle="1" w:styleId="21">
    <w:name w:val="заголовок"/>
    <w:basedOn w:val="22"/>
    <w:link w:val="20"/>
    <w:autoRedefine/>
    <w:qFormat/>
    <w:uiPriority w:val="0"/>
    <w:pPr>
      <w:widowControl w:val="0"/>
      <w:suppressAutoHyphens/>
      <w:spacing w:before="280" w:line="360" w:lineRule="auto"/>
      <w:jc w:val="center"/>
    </w:pPr>
    <w:rPr>
      <w:rFonts w:ascii="Times New Roman" w:hAnsi="Times New Roman"/>
      <w:b/>
      <w:caps/>
      <w:sz w:val="28"/>
      <w:u w:val="double"/>
      <w14:textOutline w14:w="9525" w14:cap="rnd" w14:cmpd="sng" w14:algn="ctr">
        <w14:solidFill>
          <w14:schemeClr w14:val="tx1"/>
        </w14:solidFill>
        <w14:prstDash w14:val="solid"/>
        <w14:bevel/>
      </w14:textOutline>
    </w:rPr>
  </w:style>
  <w:style w:type="paragraph" w:styleId="22">
    <w:name w:val="No Spacing"/>
    <w:qFormat/>
    <w:uiPriority w:val="1"/>
    <w:pPr>
      <w:spacing w:after="0" w:line="240" w:lineRule="auto"/>
    </w:pPr>
    <w:rPr>
      <w:rFonts w:asciiTheme="minorHAnsi" w:hAnsiTheme="minorHAnsi" w:eastAsiaTheme="minorHAnsi" w:cstheme="minorBidi"/>
      <w:kern w:val="2"/>
      <w:sz w:val="22"/>
      <w:szCs w:val="22"/>
      <w:lang w:val="zh-CN" w:eastAsia="en-US" w:bidi="ar-SA"/>
      <w14:ligatures w14:val="standardContextual"/>
    </w:rPr>
  </w:style>
  <w:style w:type="paragraph" w:customStyle="1" w:styleId="23">
    <w:name w:val="нумерованный список"/>
    <w:basedOn w:val="1"/>
    <w:link w:val="24"/>
    <w:autoRedefine/>
    <w:qFormat/>
    <w:uiPriority w:val="0"/>
    <w:pPr>
      <w:numPr>
        <w:ilvl w:val="0"/>
        <w:numId w:val="1"/>
      </w:numPr>
      <w:spacing w:after="0" w:line="360" w:lineRule="auto"/>
      <w:ind w:left="0" w:firstLine="709"/>
      <w:jc w:val="both"/>
    </w:pPr>
    <w:rPr>
      <w:rFonts w:ascii="Times New Roman" w:hAnsi="Times New Roman" w:cs="Times New Roman"/>
      <w:sz w:val="28"/>
    </w:rPr>
  </w:style>
  <w:style w:type="character" w:customStyle="1" w:styleId="24">
    <w:name w:val="нумерованный список Знак"/>
    <w:basedOn w:val="11"/>
    <w:link w:val="23"/>
    <w:qFormat/>
    <w:uiPriority w:val="0"/>
    <w:rPr>
      <w:rFonts w:ascii="Times New Roman" w:hAnsi="Times New Roman" w:cs="Times New Roman"/>
      <w:sz w:val="28"/>
    </w:rPr>
  </w:style>
  <w:style w:type="character" w:customStyle="1" w:styleId="25">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6">
    <w:name w:val="Заголовок 2 Знак"/>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7">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28">
    <w:name w:val="Заголовок 4 Знак"/>
    <w:basedOn w:val="11"/>
    <w:link w:val="5"/>
    <w:semiHidden/>
    <w:uiPriority w:val="9"/>
    <w:rPr>
      <w:rFonts w:eastAsiaTheme="majorEastAsia" w:cstheme="majorBidi"/>
      <w:i/>
      <w:iCs/>
      <w:color w:val="2F5597" w:themeColor="accent1" w:themeShade="BF"/>
    </w:rPr>
  </w:style>
  <w:style w:type="character" w:customStyle="1" w:styleId="29">
    <w:name w:val="Заголовок 5 Знак"/>
    <w:basedOn w:val="11"/>
    <w:link w:val="6"/>
    <w:semiHidden/>
    <w:qFormat/>
    <w:uiPriority w:val="9"/>
    <w:rPr>
      <w:rFonts w:eastAsiaTheme="majorEastAsia" w:cstheme="majorBidi"/>
      <w:color w:val="2F5597" w:themeColor="accent1" w:themeShade="BF"/>
    </w:rPr>
  </w:style>
  <w:style w:type="character" w:customStyle="1" w:styleId="30">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35">
    <w:name w:val="Подзаголовок Знак"/>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Цитата 2 Знак"/>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Выделенная цитата Знак"/>
    <w:basedOn w:val="11"/>
    <w:link w:val="40"/>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Unresolved Mention"/>
    <w:basedOn w:val="11"/>
    <w:semiHidden/>
    <w:unhideWhenUsed/>
    <w:uiPriority w:val="99"/>
    <w:rPr>
      <w:color w:val="605E5C"/>
      <w:shd w:val="clear" w:color="auto" w:fill="E1DFDD"/>
    </w:rPr>
  </w:style>
  <w:style w:type="paragraph" w:customStyle="1" w:styleId="44">
    <w:name w:val="Заголовок 1 без уровня"/>
    <w:basedOn w:val="1"/>
    <w:qFormat/>
    <w:uiPriority w:val="0"/>
    <w:pPr>
      <w:keepNext/>
      <w:pageBreakBefore/>
      <w:spacing w:before="280" w:after="280" w:line="360" w:lineRule="auto"/>
      <w:jc w:val="center"/>
    </w:pPr>
    <w:rPr>
      <w:rFonts w:ascii="Times New Roman" w:hAnsi="Times New Roman" w:eastAsia="Times New Roman" w:cs="Times New Roman"/>
      <w:b/>
      <w:bCs/>
      <w:kern w:val="0"/>
      <w:sz w:val="28"/>
      <w:szCs w:val="24"/>
      <w:lang w:val="ru-RU" w:eastAsia="ru-RU"/>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522F9-BDC4-4E32-97F3-92FC9F311039}">
  <ds:schemaRefs/>
</ds:datastoreItem>
</file>

<file path=docProps/app.xml><?xml version="1.0" encoding="utf-8"?>
<Properties xmlns="http://schemas.openxmlformats.org/officeDocument/2006/extended-properties" xmlns:vt="http://schemas.openxmlformats.org/officeDocument/2006/docPropsVTypes">
  <Template>Normal</Template>
  <Pages>4</Pages>
  <Words>1285</Words>
  <Characters>7325</Characters>
  <Lines>61</Lines>
  <Paragraphs>17</Paragraphs>
  <TotalTime>71</TotalTime>
  <ScaleCrop>false</ScaleCrop>
  <LinksUpToDate>false</LinksUpToDate>
  <CharactersWithSpaces>8593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2025-12-03T13:02:00Z</dcterms:created>
  <dc:creator>Екатерина Змейкова</dc:creator>
  <cp:lastModifiedBy>makar</cp:lastModifiedBy>
  <dcterms:modified xsi:type="dcterms:W3CDTF">2025-12-17T23:50:18Z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A80B2D10FB964ADF8ADF2F0DBE269643_12</vt:lpwstr>
  </property>
</Properties>
</file>