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4615A">
      <w:pPr>
        <w:pStyle w:val="2"/>
        <w:tabs>
          <w:tab w:val="left" w:pos="360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0" w:name="_Toc21541693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 НАУЧНО-ИССЛЕДОВАТЕЛЬСКАЯ РАБОТА СТУДЕНТА КАК ФАКТОР ПРОФЕССИОНАЛЬНОГО РАЗВИТИЯ</w:t>
      </w:r>
      <w:bookmarkEnd w:id="0"/>
    </w:p>
    <w:p w14:paraId="4C39FF00">
      <w:pPr>
        <w:pStyle w:val="3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Индивидуальное задание</w:t>
      </w:r>
    </w:p>
    <w:p w14:paraId="6B7C16C8">
      <w:pPr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Технологии генерации текста на основе больших языковых моделей (Large Language Models, LLMs), представляющие собой один из наиболее значимых прорывов в области искусственного интеллекта, нацелены на создание связного, контекстно-зависимого и семантически осмысленного текста. Их применение охватывает множество сфер: от автоматического перевода и обработки больших документов до интеллектуальных ассистентов, способных автоматизировать часть бизнес-процессов, таких как подготовка отчётов, анализ клиентских обращений и генерация технической документации [1]. Однако широкое практическое внедрение этих моделей, особенно в сценариях, требующих обработки длинных контекстов (long-context processing), сдерживается фундаментальной проблемой экспоненциального роста потребления вычислительных ресурсов, в первую очередь оперативной памяти графических процессоров (GPU).</w:t>
      </w:r>
    </w:p>
    <w:p w14:paraId="1C054700">
      <w:pPr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Теоретической основой данной проблемы является архитектура трансформера, в частности, его механизм самовнимания (self-attention). В процессе генерации каждого нового токена (слова или его части) модель должна вычислять степень влияния всех предыдущих токенов в последовательности на текущий. Для этого для каждого элемента последовательности в каждом слое модели предварительно рассчитываются и сохраняются специальные векторные представления — ключи (Keys, K) и значения (Values, V). Для эффективности последующих вычислений эти пары K и V кэшируются, формируя так называемый KV-кэш [2]. Объём этого кэша растёт линейно с увеличением длины контекста (числа токенов), а также пропорционален числу слоёв и «голов» внимания в модели. Например, для модели с 80 миллиардами параметров и контекстом в 32 000 токенов объём KV-кэша может превышать 100 ГБ, что создаёт критическое ограничение по памяти даже для серверных GPU, делая развёртывание таких моделей экономически и технически невыгодным [1].</w:t>
      </w:r>
    </w:p>
    <w:p w14:paraId="5FF94838">
      <w:pPr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Доминирующим подходом к решению данной проблемы является разработка и применение методов сжатия KV-кэша. Эти методы можно классифицировать по трём ключевым принципам, направленным на оптимизацию использования памяти без существенной потери качества генерации</w:t>
      </w:r>
      <w:r>
        <w:rPr>
          <w:rFonts w:hint="default" w:ascii="Times New Roman" w:hAnsi="Times New Roman"/>
          <w:sz w:val="28"/>
          <w:szCs w:val="28"/>
          <w:lang w:val="ru-RU"/>
        </w:rPr>
        <w:t>.</w:t>
      </w:r>
    </w:p>
    <w:p w14:paraId="07FFC2A8">
      <w:pPr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Первое направление — квантование KV-кэша (KV Cache Quantization). Его суть заключается в переходе от хранения матриц ключей и значений в форматах высокой точности с плавающей запятой, таких как FP16 (16 бит), к более компактным низкоточным форматам, например, INT8 (8 бит) или даже FP8 (8 бит) [1]. Это позволяет достичь сжатия данных в 2–4 раза при минимальных вычислительных накладных расходах, поскольку основная операция — чтение из памяти — становится менее требовательной. Данный метод стал стандартной практикой в современных высокопроизводительных системах инференса, таких как vLLM и Hugging Face Text Generation Inference (TGI). Однако агрессивное квантование (например, до 4 бит) может приводить к накоплению численных ошибок и ухудшению качества генерации на очень длинных контекстах, что требует тщательного подбора степени сжатия [1].</w:t>
      </w:r>
    </w:p>
    <w:p w14:paraId="4F8CF445">
      <w:pPr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Второе направление — селективное вытеснение и кэширование (KV Cache Eviction and Retrieval). Этот подход основан на гипотезе, что для генерации следующего токена наиболее важна лишь определённая часть всего контекста, а не все сохранённые ключи и значения. Вместо хранения всего кэша алгоритмы динамически определяют и сохраняют только наиболее релевантные фрагменты, а остальные временно выгружаются из быстрой памяти. Яркими примерами являются метод H2O (Heavy-Hitter Oracle), сохраняющий токены с наибольшей суммарной оценкой внимания (наиболее «активные»), и алгоритмы, использующие гипотезу о «якорных токенах» (attention sinks), которые показали критическую важность первых нескольких токенов в последовательности для стабильности работы модели [3]. Подобные методы обеспечивают радикальное сжатие, позволяя эффективно работать с контекстом в миллионы токенов, но несут риск безвозвратной потери информации, если эвристика для выбора важных токенов окажется ошибочной.</w:t>
      </w:r>
    </w:p>
    <w:p w14:paraId="463BCEC0">
      <w:pPr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Третье направление — архитектурное сжатие (KV Cache Compression). Этот подход предполагает структурную оптимизацию самого механизма внимания на этапе проектирования модели для снижения требований к памяти. Наиболее известными и уже ставшими индустриальным стандартом являются MQA (Multi-Query Attention) и GQA (Grouped-Query Attention), где несколько «голов» механизма внимания не имеют своих уникальных ключей и значений, а разделяют общие или сгруппированные K и V матрицы. Это существенно сокращает объём кэша, необходимого для генерации, так как вместо N независимых пар (K, V) для N голов может использоваться одна или несколько общих [2]. Такая модификация практически не влияет на качество работы модели при значительном выигрыше в памяти.</w:t>
      </w:r>
      <w:bookmarkStart w:id="1" w:name="_GoBack"/>
      <w:bookmarkEnd w:id="1"/>
    </w:p>
    <w:p w14:paraId="3C103498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Таким образом, развитие методов сжатия KV-кэша, движимое необходимостью преодоления аппаратных ограничений и оптимизации затрат на инференс, привело к созданию разнообразных высокоэффективных техник. Эти техники, от низкоуровневого квантования данных до высокоуровневых архитектурных изменений, позволяют преодолевать ключевое ограничение трансформерных моделей. Их комплексное применение обеспечивает значительное снижение требований к аппаратным ресурсам при сохранении приемлемого качества генерации, открывая путь к более доступному и массовому использованию мощных языковых моделей в реальных приложениях.</w:t>
      </w:r>
    </w:p>
    <w:p w14:paraId="53C8928D">
      <w:pPr>
        <w:pStyle w:val="42"/>
      </w:pPr>
      <w:r>
        <w:t>Список используемых источников</w:t>
      </w:r>
    </w:p>
    <w:p w14:paraId="4D32B514">
      <w:pPr>
        <w:pStyle w:val="3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Официальная документация и репозитории фреймворков для инференса больших языковых моделей: vLLM, Hugging Face Transformers, Text Generation Inference (TGI). – URL: https://github.com/vllm-project/vllm, https://huggingface.co/docs/transformers/index (дата обращения: 17.12.2024).</w:t>
      </w:r>
    </w:p>
    <w:p w14:paraId="4B359B93">
      <w:pPr>
        <w:pStyle w:val="3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Архитектурные спецификации современных языковых моделей (Llama, Mistral, GPT). Meta AI, Mistral AI, OpenAI. – URL: https://ai.meta.com/research/publications/llama-2-open-foundation-and-fine-tuned-chat-models/ (дата обращения: 17.12.2024).</w:t>
      </w:r>
    </w:p>
    <w:p w14:paraId="6188AFB7">
      <w:pPr>
        <w:pStyle w:val="3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Научные публикации, посвящённые методам оптимизации KV-кэша: StreamingLLM, H2O, Attention Sink. – URL: https://arxiv.org/abs/2309.17453, https://arxiv.org/abs/2210.07341 (дата обращения: 17.12.2024).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495520"/>
    <w:multiLevelType w:val="multilevel"/>
    <w:tmpl w:val="2E495520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B0A2BA1"/>
    <w:multiLevelType w:val="multilevel"/>
    <w:tmpl w:val="3B0A2BA1"/>
    <w:lvl w:ilvl="0" w:tentative="0">
      <w:start w:val="1"/>
      <w:numFmt w:val="decimal"/>
      <w:pStyle w:val="21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CE8"/>
    <w:rsid w:val="00227455"/>
    <w:rsid w:val="002B4997"/>
    <w:rsid w:val="002C1E03"/>
    <w:rsid w:val="005F3CBA"/>
    <w:rsid w:val="0079582B"/>
    <w:rsid w:val="009C73A8"/>
    <w:rsid w:val="00A83CB0"/>
    <w:rsid w:val="00B163BB"/>
    <w:rsid w:val="00BC2E1E"/>
    <w:rsid w:val="00BD2CE8"/>
    <w:rsid w:val="00C77040"/>
    <w:rsid w:val="37046B09"/>
    <w:rsid w:val="5E6E75FD"/>
    <w:rsid w:val="636B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0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0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0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0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6">
    <w:name w:val="основной текст"/>
    <w:basedOn w:val="1"/>
    <w:link w:val="17"/>
    <w:autoRedefine/>
    <w:qFormat/>
    <w:uiPriority w:val="0"/>
    <w:pPr>
      <w:suppressAutoHyphens/>
      <w:spacing w:after="0" w:line="480" w:lineRule="auto"/>
      <w:ind w:firstLine="414"/>
      <w:jc w:val="center"/>
    </w:pPr>
    <w:rPr>
      <w:rFonts w:ascii="Arial" w:hAnsi="Arial"/>
      <w:sz w:val="24"/>
      <w:u w:val="double"/>
      <w:lang w:val="ru-RU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17">
    <w:name w:val="основной текст Знак"/>
    <w:basedOn w:val="18"/>
    <w:link w:val="16"/>
    <w:qFormat/>
    <w:uiPriority w:val="0"/>
    <w:rPr>
      <w:rFonts w:ascii="Arial" w:hAnsi="Arial"/>
      <w:b w:val="0"/>
      <w:caps w:val="0"/>
      <w:sz w:val="24"/>
      <w:u w:val="double"/>
      <w:lang w:val="ru-RU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18">
    <w:name w:val="заголовок Знак"/>
    <w:basedOn w:val="11"/>
    <w:link w:val="19"/>
    <w:qFormat/>
    <w:uiPriority w:val="0"/>
    <w:rPr>
      <w:rFonts w:ascii="Times New Roman" w:hAnsi="Times New Roman"/>
      <w:b/>
      <w:caps/>
      <w:sz w:val="28"/>
      <w:u w:val="double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customStyle="1" w:styleId="19">
    <w:name w:val="заголовок"/>
    <w:basedOn w:val="20"/>
    <w:link w:val="18"/>
    <w:autoRedefine/>
    <w:qFormat/>
    <w:uiPriority w:val="0"/>
    <w:pPr>
      <w:widowControl w:val="0"/>
      <w:suppressAutoHyphens/>
      <w:spacing w:before="280" w:line="360" w:lineRule="auto"/>
      <w:jc w:val="center"/>
    </w:pPr>
    <w:rPr>
      <w:rFonts w:ascii="Times New Roman" w:hAnsi="Times New Roman"/>
      <w:b/>
      <w:caps/>
      <w:sz w:val="28"/>
      <w:u w:val="double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styleId="2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customStyle="1" w:styleId="21">
    <w:name w:val="нумерованный список"/>
    <w:basedOn w:val="1"/>
    <w:link w:val="22"/>
    <w:autoRedefine/>
    <w:qFormat/>
    <w:uiPriority w:val="0"/>
    <w:pPr>
      <w:numPr>
        <w:ilvl w:val="0"/>
        <w:numId w:val="1"/>
      </w:numPr>
      <w:spacing w:after="0" w:line="480" w:lineRule="auto"/>
      <w:ind w:left="641" w:right="284" w:hanging="357"/>
      <w:jc w:val="right"/>
    </w:pPr>
    <w:rPr>
      <w:rFonts w:ascii="Courier New" w:hAnsi="Courier New"/>
      <w:sz w:val="28"/>
    </w:rPr>
  </w:style>
  <w:style w:type="character" w:customStyle="1" w:styleId="22">
    <w:name w:val="нумерованный список Знак"/>
    <w:basedOn w:val="11"/>
    <w:link w:val="21"/>
    <w:qFormat/>
    <w:uiPriority w:val="0"/>
    <w:rPr>
      <w:rFonts w:ascii="Courier New" w:hAnsi="Courier New"/>
      <w:sz w:val="28"/>
    </w:r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qFormat/>
    <w:uiPriority w:val="0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8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2F5597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2">
    <w:name w:val="Заголовок 1 без уровня"/>
    <w:basedOn w:val="1"/>
    <w:qFormat/>
    <w:uiPriority w:val="0"/>
    <w:pPr>
      <w:keepNext/>
      <w:pageBreakBefore/>
      <w:spacing w:before="280" w:after="280" w:line="360" w:lineRule="auto"/>
      <w:jc w:val="center"/>
    </w:pPr>
    <w:rPr>
      <w:rFonts w:ascii="Times New Roman" w:hAnsi="Times New Roman" w:eastAsia="Times New Roman" w:cs="Times New Roman"/>
      <w:b/>
      <w:bCs/>
      <w:kern w:val="0"/>
      <w:sz w:val="28"/>
      <w:szCs w:val="24"/>
      <w:lang w:val="ru-RU"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586</Words>
  <Characters>3344</Characters>
  <Lines>27</Lines>
  <Paragraphs>7</Paragraphs>
  <TotalTime>16</TotalTime>
  <ScaleCrop>false</ScaleCrop>
  <LinksUpToDate>false</LinksUpToDate>
  <CharactersWithSpaces>3923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2025-12-03T14:31:00Z</dcterms:created>
  <dc:creator>Екатерина Змейкова</dc:creator>
  <cp:lastModifiedBy>makar</cp:lastModifiedBy>
  <dcterms:modified xsi:type="dcterms:W3CDTF">2025-12-18T05:32:14Z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4FCC015212044575B492020F5A38AA50_12</vt:lpwstr>
  </property>
</Properties>
</file>