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7BE1038">
      <w:pPr>
        <w:pStyle w:val="139"/>
        <w:pBdr>
          <w:top w:val="none" w:color="000000" w:sz="4" w:space="0"/>
          <w:left w:val="none" w:color="000000" w:sz="4" w:space="0"/>
          <w:bottom w:val="none" w:color="000000" w:sz="4" w:space="0"/>
          <w:right w:val="none" w:color="000000" w:sz="4" w:space="0"/>
        </w:pBdr>
        <w:spacing/>
        <w:ind w:right="0" w:firstLine="0" w:left="0"/>
        <w:rPr>
          <w:sz w:val="40"/>
          <w:szCs w:val="32"/>
        </w:rPr>
      </w:pPr>
      <w:r>
        <w:rPr>
          <w:rFonts w:ascii="Times New Roman" w:hAnsi="Times New Roman" w:eastAsia="Times New Roman" w:cs="Times New Roman"/>
          <w:b/>
          <w:color w:val="000000"/>
          <w:sz w:val="40"/>
          <w:szCs w:val="32"/>
        </w:rPr>
        <w:t xml:space="preserve">Elevando LWBETA: panorama competitivo y hoja de ruta de funciones para la brecha de seguimiento legislativo en Puerto Rico</w:t>
      </w:r>
      <w:r>
        <w:rPr>
          <w:sz w:val="32"/>
          <w:szCs w:val="32"/>
        </w:rPr>
      </w:r>
    </w:p>
    <w:p w14:paraId="6F74224F">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Puerto Rico es una de las jurisdicciones más desatendidas en el mercado de seguimiento legislativo</w:t>
      </w:r>
      <w:r>
        <w:rPr>
          <w:rFonts w:ascii="Times New Roman" w:hAnsi="Times New Roman" w:eastAsia="Times New Roman" w:cs="Times New Roman"/>
          <w:color w:val="000000"/>
          <w:sz w:val="20"/>
          <w:szCs w:val="18"/>
        </w:rPr>
        <w:t xml:space="preserve">, y LWBETA se encuentra en el centro de una oportunidad real. Ninguna plataforma comercial ni de código abierto ofrece seguimiento completo y confiable de la Asamblea Legislativa de Puerto Rico — un cuerpo bicameral de 78 miembros que gobierna a 3.2 millon</w:t>
      </w:r>
      <w:r>
        <w:rPr>
          <w:rFonts w:ascii="Times New Roman" w:hAnsi="Times New Roman" w:eastAsia="Times New Roman" w:cs="Times New Roman"/>
          <w:color w:val="000000"/>
          <w:sz w:val="20"/>
          <w:szCs w:val="18"/>
        </w:rPr>
        <w:t xml:space="preserve">es de residentes y atrae interés corporativo significativo del continente en farmacéuticas, finanzas y energía. Las plataformas principales (FiscalNote, Quorum, Bloomberg Government) o ignoran PR por completo o ofrecen cobertura inconsistente y de segunda </w:t>
      </w:r>
      <w:r>
        <w:rPr>
          <w:rFonts w:ascii="Times New Roman" w:hAnsi="Times New Roman" w:eastAsia="Times New Roman" w:cs="Times New Roman"/>
          <w:color w:val="000000"/>
          <w:sz w:val="20"/>
          <w:szCs w:val="18"/>
        </w:rPr>
        <w:t xml:space="preserve">clase. Este análisis mapea el panorama competitivo, cataloga el conjunto de funciones de las mejores herramientas de cabildeo, identifica recursos de código abierto reutilizables y recomienda — en orden de prioridad — las funciones que más elevarían a LWBE</w:t>
      </w:r>
      <w:r>
        <w:rPr>
          <w:rFonts w:ascii="Times New Roman" w:hAnsi="Times New Roman" w:eastAsia="Times New Roman" w:cs="Times New Roman"/>
          <w:color w:val="000000"/>
          <w:sz w:val="20"/>
          <w:szCs w:val="18"/>
        </w:rPr>
        <w:t xml:space="preserve">TA de una app beta a una herramienta indispensable para cabilderos, defensores y actores cívicos que operan en Puerto Rico.</w:t>
      </w:r>
      <w:r>
        <w:rPr>
          <w:sz w:val="18"/>
          <w:szCs w:val="18"/>
        </w:rPr>
      </w:r>
    </w:p>
    <w:p w14:paraId="056FF2BB">
      <w:pPr>
        <w:pStyle w:val="140"/>
        <w:pBdr>
          <w:top w:val="none" w:color="000000" w:sz="4" w:space="0"/>
          <w:left w:val="none" w:color="000000" w:sz="4" w:space="0"/>
          <w:bottom w:val="none" w:color="000000" w:sz="4" w:space="0"/>
          <w:right w:val="none" w:color="000000" w:sz="4" w:space="0"/>
        </w:pBdr>
        <w:spacing/>
        <w:ind w:right="0" w:firstLine="0" w:left="0"/>
        <w:rPr>
          <w:sz w:val="28"/>
          <w:szCs w:val="24"/>
        </w:rPr>
      </w:pPr>
      <w:r>
        <w:rPr>
          <w:rFonts w:ascii="Times New Roman" w:hAnsi="Times New Roman" w:eastAsia="Times New Roman" w:cs="Times New Roman"/>
          <w:b/>
          <w:color w:val="000000"/>
          <w:sz w:val="28"/>
          <w:szCs w:val="24"/>
        </w:rPr>
        <w:t xml:space="preserve">El panorama competitivo: los gigantes empresariales ignoran a Puerto Rico</w:t>
      </w:r>
      <w:r>
        <w:rPr>
          <w:sz w:val="24"/>
          <w:szCs w:val="24"/>
        </w:rPr>
      </w:r>
    </w:p>
    <w:p w14:paraId="37FE9DBB">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color w:val="000000"/>
          <w:sz w:val="20"/>
          <w:szCs w:val="18"/>
        </w:rPr>
        <w:t xml:space="preserve">El mercado de seguimiento legislativo se divide en tres niveles. Las </w:t>
      </w:r>
      <w:r>
        <w:rPr>
          <w:rFonts w:ascii="Times New Roman" w:hAnsi="Times New Roman" w:eastAsia="Times New Roman" w:cs="Times New Roman"/>
          <w:b/>
          <w:color w:val="000000"/>
          <w:sz w:val="20"/>
          <w:szCs w:val="18"/>
        </w:rPr>
        <w:t xml:space="preserve">plataformas empresariales</w:t>
      </w:r>
      <w:r>
        <w:rPr>
          <w:rFonts w:ascii="Times New Roman" w:hAnsi="Times New Roman" w:eastAsia="Times New Roman" w:cs="Times New Roman"/>
          <w:color w:val="000000"/>
          <w:sz w:val="20"/>
          <w:szCs w:val="18"/>
        </w:rPr>
        <w:t xml:space="preserve"> cobran entre $15,000 y $100,000+/año y sirven a equipos de asuntos gubernamentales de Fortune 500. Las </w:t>
      </w:r>
      <w:r>
        <w:rPr>
          <w:rFonts w:ascii="Times New Roman" w:hAnsi="Times New Roman" w:eastAsia="Times New Roman" w:cs="Times New Roman"/>
          <w:b/>
          <w:color w:val="000000"/>
          <w:sz w:val="20"/>
          <w:szCs w:val="18"/>
        </w:rPr>
        <w:t xml:space="preserve">herramientas de mercado medio</w:t>
      </w:r>
      <w:r>
        <w:rPr>
          <w:rFonts w:ascii="Times New Roman" w:hAnsi="Times New Roman" w:eastAsia="Times New Roman" w:cs="Times New Roman"/>
          <w:color w:val="000000"/>
          <w:sz w:val="20"/>
          <w:szCs w:val="18"/>
        </w:rPr>
        <w:t xml:space="preserve"> apuntan a firmas más pequeñas y grupos de defensa a $5,000–$30,000/año. Las </w:t>
      </w:r>
      <w:r>
        <w:rPr>
          <w:rFonts w:ascii="Times New Roman" w:hAnsi="Times New Roman" w:eastAsia="Times New Roman" w:cs="Times New Roman"/>
          <w:b/>
          <w:color w:val="000000"/>
          <w:sz w:val="20"/>
          <w:szCs w:val="18"/>
        </w:rPr>
        <w:t xml:space="preserve">herramientas gratuitas/de código abierto</w:t>
      </w:r>
      <w:r>
        <w:rPr>
          <w:rFonts w:ascii="Times New Roman" w:hAnsi="Times New Roman" w:eastAsia="Times New Roman" w:cs="Times New Roman"/>
          <w:color w:val="000000"/>
          <w:sz w:val="20"/>
          <w:szCs w:val="18"/>
        </w:rPr>
        <w:t xml:space="preserve"> sirven a constructores de tecnología cívica, investigadores y ciudadanos. Ninguna sirve bien a Puerto Rico.</w:t>
      </w:r>
      <w:r>
        <w:rPr>
          <w:sz w:val="18"/>
          <w:szCs w:val="18"/>
        </w:rPr>
      </w:r>
    </w:p>
    <w:p w14:paraId="1F83605A">
      <w:pPr>
        <w:pStyle w:val="141"/>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Nivel empresarial</w:t>
      </w:r>
      <w:r>
        <w:rPr>
          <w:sz w:val="22"/>
          <w:szCs w:val="22"/>
        </w:rPr>
      </w:r>
    </w:p>
    <w:p w14:paraId="74B655B9">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FiscalNote/CQ Roll Call</w:t>
      </w:r>
      <w:r>
        <w:rPr>
          <w:rFonts w:ascii="Times New Roman" w:hAnsi="Times New Roman" w:eastAsia="Times New Roman" w:cs="Times New Roman"/>
          <w:color w:val="000000"/>
          <w:sz w:val="20"/>
          <w:szCs w:val="18"/>
        </w:rPr>
        <w:t xml:space="preserve"> es la plataforma más grande tras una agresiva campaña de adquisiciones (CQ Roll Call, VoterVoice, Oxford Analytica). Cubre el Congreso, los 50 estados y más de 30 países con predicción de aprobación de proyectos mediante IA, seguimiento regulatorio y CRM </w:t>
      </w:r>
      <w:r>
        <w:rPr>
          <w:rFonts w:ascii="Times New Roman" w:hAnsi="Times New Roman" w:eastAsia="Times New Roman" w:cs="Times New Roman"/>
          <w:color w:val="000000"/>
          <w:sz w:val="20"/>
          <w:szCs w:val="18"/>
        </w:rPr>
        <w:t xml:space="preserve">legislativo. Afirma tener cobertura territorial, pero </w:t>
      </w:r>
      <w:r>
        <w:rPr>
          <w:rFonts w:ascii="Times New Roman" w:hAnsi="Times New Roman" w:eastAsia="Times New Roman" w:cs="Times New Roman"/>
          <w:b/>
          <w:color w:val="000000"/>
          <w:sz w:val="20"/>
          <w:szCs w:val="18"/>
        </w:rPr>
        <w:t xml:space="preserve">la profundidad y puntualidad de los datos de PR son inconsistentes</w:t>
      </w:r>
      <w:r>
        <w:rPr>
          <w:rFonts w:ascii="Times New Roman" w:hAnsi="Times New Roman" w:eastAsia="Times New Roman" w:cs="Times New Roman"/>
          <w:color w:val="000000"/>
          <w:sz w:val="20"/>
          <w:szCs w:val="18"/>
        </w:rPr>
        <w:t xml:space="preserve"> comparadas con la cobertura estatal. Los precios comienzan en ~$20,000/año.</w:t>
      </w:r>
      <w:r>
        <w:rPr>
          <w:sz w:val="18"/>
          <w:szCs w:val="18"/>
        </w:rPr>
      </w:r>
    </w:p>
    <w:p w14:paraId="2A2B3982">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Quorum</w:t>
      </w:r>
      <w:r>
        <w:rPr>
          <w:rFonts w:ascii="Times New Roman" w:hAnsi="Times New Roman" w:eastAsia="Times New Roman" w:cs="Times New Roman"/>
          <w:color w:val="000000"/>
          <w:sz w:val="20"/>
          <w:szCs w:val="18"/>
        </w:rPr>
        <w:t xml:space="preserve"> es ampliamente reconocida como la plataforma con mejor UI/UX del mercado, combinando seguimiento de proyectos, defensa de base (alertas de acción, páginas de peticiones) y un sólido CRM de partes interesadas con puntuación de interacciones. Cubre el Congr</w:t>
      </w:r>
      <w:r>
        <w:rPr>
          <w:rFonts w:ascii="Times New Roman" w:hAnsi="Times New Roman" w:eastAsia="Times New Roman" w:cs="Times New Roman"/>
          <w:color w:val="000000"/>
          <w:sz w:val="20"/>
          <w:szCs w:val="18"/>
        </w:rPr>
        <w:t xml:space="preserve">eso y 50 estados, pero </w:t>
      </w:r>
      <w:r>
        <w:rPr>
          <w:rFonts w:ascii="Times New Roman" w:hAnsi="Times New Roman" w:eastAsia="Times New Roman" w:cs="Times New Roman"/>
          <w:b/>
          <w:color w:val="000000"/>
          <w:sz w:val="20"/>
          <w:szCs w:val="18"/>
        </w:rPr>
        <w:t xml:space="preserve">PR no está incluida de manera confiable</w:t>
      </w:r>
      <w:r>
        <w:rPr>
          <w:rFonts w:ascii="Times New Roman" w:hAnsi="Times New Roman" w:eastAsia="Times New Roman" w:cs="Times New Roman"/>
          <w:color w:val="000000"/>
          <w:sz w:val="20"/>
          <w:szCs w:val="18"/>
        </w:rPr>
        <w:t xml:space="preserve"> en los paquetes estándar. La integración de flujos de trabajo de cabildeo directo con movilización de base hace de Quorum el modelo competitivo más instructivo para LWBETA.</w:t>
      </w:r>
      <w:r>
        <w:rPr>
          <w:sz w:val="18"/>
          <w:szCs w:val="18"/>
        </w:rPr>
      </w:r>
    </w:p>
    <w:p w14:paraId="5AD67E08">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Bloomberg Government (BGOV)</w:t>
      </w:r>
      <w:r>
        <w:rPr>
          <w:rFonts w:ascii="Times New Roman" w:hAnsi="Times New Roman" w:eastAsia="Times New Roman" w:cs="Times New Roman"/>
          <w:color w:val="000000"/>
          <w:sz w:val="20"/>
          <w:szCs w:val="18"/>
        </w:rPr>
        <w:t xml:space="preserve"> sobresale en profundidad analítica federal — directorios de personal, inteligencia de adquisiciones, archivos de audiencias — pero es débil en el seguimiento a nivel estatal y </w:t>
      </w:r>
      <w:r>
        <w:rPr>
          <w:rFonts w:ascii="Times New Roman" w:hAnsi="Times New Roman" w:eastAsia="Times New Roman" w:cs="Times New Roman"/>
          <w:b/>
          <w:color w:val="000000"/>
          <w:sz w:val="20"/>
          <w:szCs w:val="18"/>
        </w:rPr>
        <w:t xml:space="preserve">no cubre de manera significativa la legislatura territorial de PR</w:t>
      </w:r>
      <w:r>
        <w:rPr>
          <w:rFonts w:ascii="Times New Roman" w:hAnsi="Times New Roman" w:eastAsia="Times New Roman" w:cs="Times New Roman"/>
          <w:color w:val="000000"/>
          <w:sz w:val="20"/>
          <w:szCs w:val="18"/>
        </w:rPr>
        <w:t xml:space="preserve">. Su precio de $6,000–$15,000/asiento apunta a analistas de política, no a cabilderos de campo.</w:t>
      </w:r>
      <w:r>
        <w:rPr>
          <w:sz w:val="18"/>
          <w:szCs w:val="18"/>
        </w:rPr>
      </w:r>
    </w:p>
    <w:p w14:paraId="7DB28C1A">
      <w:pPr>
        <w:pStyle w:val="141"/>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Plataformas de mercado medio y especializadas</w:t>
      </w:r>
      <w:r>
        <w:rPr>
          <w:sz w:val="22"/>
          <w:szCs w:val="22"/>
        </w:rPr>
      </w:r>
    </w:p>
    <w:p w14:paraId="1C6F5176">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Plural Policy</w:t>
      </w:r>
      <w:r>
        <w:rPr>
          <w:rFonts w:ascii="Times New Roman" w:hAnsi="Times New Roman" w:eastAsia="Times New Roman" w:cs="Times New Roman"/>
          <w:color w:val="000000"/>
          <w:sz w:val="20"/>
          <w:szCs w:val="18"/>
        </w:rPr>
        <w:t xml:space="preserve"> (antes Plural) es el nuevo participante más interesante: nativo de IA, UI moderno, precios más accesibles y un nivel freemium. Fue construido desde cero con resumen de proyectos mediante PLN y puntuación de relevancia. Sin embargo, su cobertura de jurisdi</w:t>
      </w:r>
      <w:r>
        <w:rPr>
          <w:rFonts w:ascii="Times New Roman" w:hAnsi="Times New Roman" w:eastAsia="Times New Roman" w:cs="Times New Roman"/>
          <w:color w:val="000000"/>
          <w:sz w:val="20"/>
          <w:szCs w:val="18"/>
        </w:rPr>
        <w:t xml:space="preserve">cciones se enfoca en los 50 estados y el Congreso, </w:t>
      </w:r>
      <w:r>
        <w:rPr>
          <w:rFonts w:ascii="Times New Roman" w:hAnsi="Times New Roman" w:eastAsia="Times New Roman" w:cs="Times New Roman"/>
          <w:b/>
          <w:color w:val="000000"/>
          <w:sz w:val="20"/>
          <w:szCs w:val="18"/>
        </w:rPr>
        <w:t xml:space="preserve">sin cobertura confirmada de PR</w:t>
      </w:r>
      <w:r>
        <w:rPr>
          <w:rFonts w:ascii="Times New Roman" w:hAnsi="Times New Roman" w:eastAsia="Times New Roman" w:cs="Times New Roman"/>
          <w:color w:val="000000"/>
          <w:sz w:val="20"/>
          <w:szCs w:val="18"/>
        </w:rPr>
        <w:t xml:space="preserve">.</w:t>
      </w:r>
      <w:r>
        <w:rPr>
          <w:sz w:val="18"/>
          <w:szCs w:val="18"/>
        </w:rPr>
      </w:r>
    </w:p>
    <w:p w14:paraId="1430EDEB">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LegiScan</w:t>
      </w:r>
      <w:r>
        <w:rPr>
          <w:rFonts w:ascii="Times New Roman" w:hAnsi="Times New Roman" w:eastAsia="Times New Roman" w:cs="Times New Roman"/>
          <w:color w:val="000000"/>
          <w:sz w:val="20"/>
          <w:szCs w:val="18"/>
        </w:rPr>
        <w:t xml:space="preserve"> es la plataforma más amigable para desarrolladores, ofreciendo acceso completo a API y conjuntos de datos masivos. Es </w:t>
      </w:r>
      <w:r>
        <w:rPr>
          <w:rFonts w:ascii="Times New Roman" w:hAnsi="Times New Roman" w:eastAsia="Times New Roman" w:cs="Times New Roman"/>
          <w:b/>
          <w:color w:val="000000"/>
          <w:sz w:val="20"/>
          <w:szCs w:val="18"/>
        </w:rPr>
        <w:t xml:space="preserve">una de las pocas plataformas que lista explícitamente a Puerto Rico</w:t>
      </w:r>
      <w:r>
        <w:rPr>
          <w:rFonts w:ascii="Times New Roman" w:hAnsi="Times New Roman" w:eastAsia="Times New Roman" w:cs="Times New Roman"/>
          <w:color w:val="000000"/>
          <w:sz w:val="20"/>
          <w:szCs w:val="18"/>
        </w:rPr>
        <w:t xml:space="preserve"> como jurisdicción cubierta (legiscan.com/PR), aunque la puntualidad y completitud de los datos de PR debe verificarse. Sus planes gratuitos y de API de $30–$500/mes lo convierten en una fuente de datos potencial para LWBETA.</w:t>
      </w:r>
      <w:r>
        <w:rPr>
          <w:sz w:val="18"/>
          <w:szCs w:val="18"/>
        </w:rPr>
      </w:r>
    </w:p>
    <w:p w14:paraId="29027842">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Capitol Canary</w:t>
      </w:r>
      <w:r>
        <w:rPr>
          <w:rFonts w:ascii="Times New Roman" w:hAnsi="Times New Roman" w:eastAsia="Times New Roman" w:cs="Times New Roman"/>
          <w:color w:val="000000"/>
          <w:sz w:val="20"/>
          <w:szCs w:val="18"/>
        </w:rPr>
        <w:t xml:space="preserve"> (antes Phone2Action) lidera en defensa de base — llamadas de conexión directa, contacto multicanal con legisladores, analítica de campañas — pero su seguimiento de proyectos es secundario. Adquirió Civic Eagle y OpenStates, heredando algo de infraestructu</w:t>
      </w:r>
      <w:r>
        <w:rPr>
          <w:rFonts w:ascii="Times New Roman" w:hAnsi="Times New Roman" w:eastAsia="Times New Roman" w:cs="Times New Roman"/>
          <w:color w:val="000000"/>
          <w:sz w:val="20"/>
          <w:szCs w:val="18"/>
        </w:rPr>
        <w:t xml:space="preserve">ra de scrapers de PR.</w:t>
      </w:r>
      <w:r>
        <w:rPr>
          <w:sz w:val="18"/>
          <w:szCs w:val="18"/>
        </w:rPr>
      </w:r>
    </w:p>
    <w:p w14:paraId="21258238">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BillTrack50</w:t>
      </w:r>
      <w:r>
        <w:rPr>
          <w:rFonts w:ascii="Times New Roman" w:hAnsi="Times New Roman" w:eastAsia="Times New Roman" w:cs="Times New Roman"/>
          <w:color w:val="000000"/>
          <w:sz w:val="20"/>
          <w:szCs w:val="18"/>
        </w:rPr>
        <w:t xml:space="preserve"> ofrece un nivel gratuito generoso para 50 estados pero, como indica su nombre, </w:t>
      </w:r>
      <w:r>
        <w:rPr>
          <w:rFonts w:ascii="Times New Roman" w:hAnsi="Times New Roman" w:eastAsia="Times New Roman" w:cs="Times New Roman"/>
          <w:b/>
          <w:color w:val="000000"/>
          <w:sz w:val="20"/>
          <w:szCs w:val="18"/>
        </w:rPr>
        <w:t xml:space="preserve">no cubre PR</w:t>
      </w:r>
      <w:r>
        <w:rPr>
          <w:rFonts w:ascii="Times New Roman" w:hAnsi="Times New Roman" w:eastAsia="Times New Roman" w:cs="Times New Roman"/>
          <w:color w:val="000000"/>
          <w:sz w:val="20"/>
          <w:szCs w:val="18"/>
        </w:rPr>
        <w:t xml:space="preserve">. </w:t>
      </w:r>
      <w:r>
        <w:rPr>
          <w:rFonts w:ascii="Times New Roman" w:hAnsi="Times New Roman" w:eastAsia="Times New Roman" w:cs="Times New Roman"/>
          <w:b/>
          <w:color w:val="000000"/>
          <w:sz w:val="20"/>
          <w:szCs w:val="18"/>
        </w:rPr>
        <w:t xml:space="preserve">MultiState</w:t>
      </w:r>
      <w:r>
        <w:rPr>
          <w:rFonts w:ascii="Times New Roman" w:hAnsi="Times New Roman" w:eastAsia="Times New Roman" w:cs="Times New Roman"/>
          <w:color w:val="000000"/>
          <w:sz w:val="20"/>
          <w:szCs w:val="18"/>
        </w:rPr>
        <w:t xml:space="preserve"> y </w:t>
      </w:r>
      <w:r>
        <w:rPr>
          <w:rFonts w:ascii="Times New Roman" w:hAnsi="Times New Roman" w:eastAsia="Times New Roman" w:cs="Times New Roman"/>
          <w:b/>
          <w:color w:val="000000"/>
          <w:sz w:val="20"/>
          <w:szCs w:val="18"/>
        </w:rPr>
        <w:t xml:space="preserve">Stateside Associates</w:t>
      </w:r>
      <w:r>
        <w:rPr>
          <w:rFonts w:ascii="Times New Roman" w:hAnsi="Times New Roman" w:eastAsia="Times New Roman" w:cs="Times New Roman"/>
          <w:color w:val="000000"/>
          <w:sz w:val="20"/>
          <w:szCs w:val="18"/>
        </w:rPr>
        <w:t xml:space="preserve"> operan como híbridos de consultoría-tecnología enfocados en cumplimiento multiestatal, con PR disponible solo mediante compromisos personalizados a precios empresariales.</w:t>
      </w:r>
      <w:r>
        <w:rPr>
          <w:sz w:val="18"/>
          <w:szCs w:val="18"/>
        </w:rPr>
      </w:r>
    </w:p>
    <w:p w14:paraId="44B8D799">
      <w:pPr>
        <w:pStyle w:val="141"/>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La brecha de Puerto Rico</w:t>
      </w:r>
      <w:r>
        <w:rPr>
          <w:sz w:val="22"/>
          <w:szCs w:val="22"/>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49"/>
        <w:gridCol w:w="2999"/>
        <w:gridCol w:w="2359"/>
        <w:gridCol w:w="1813"/>
      </w:tblGrid>
      <w:tr>
        <w:trPr/>
        <w:tc>
          <w:tcPr>
            <w:tcBorders/>
            <w:tcMar>
              <w:left w:w="15" w:type="dxa"/>
              <w:top w:w="15" w:type="dxa"/>
              <w:right w:w="15" w:type="dxa"/>
              <w:bottom w:w="15" w:type="dxa"/>
            </w:tcMar>
            <w:tcW w:w="1549" w:type="dxa"/>
            <w:vAlign w:val="center"/>
          </w:tcPr>
          <w:p w14:paraId="6B701360">
            <w:pPr>
              <w:pBdr/>
              <w:spacing w:after="0" w:before="0" w:line="240"/>
              <w:ind/>
              <w:jc w:val="center"/>
              <w:rPr>
                <w:sz w:val="18"/>
                <w:szCs w:val="18"/>
              </w:rPr>
            </w:pPr>
            <w:r>
              <w:rPr>
                <w:rFonts w:ascii="Times New Roman" w:hAnsi="Times New Roman" w:eastAsia="Times New Roman" w:cs="Times New Roman"/>
                <w:b/>
                <w:color w:val="000000"/>
                <w:sz w:val="20"/>
                <w:szCs w:val="18"/>
              </w:rPr>
              <w:t xml:space="preserve">Plataforma</w:t>
            </w:r>
            <w:r>
              <w:rPr>
                <w:sz w:val="18"/>
                <w:szCs w:val="18"/>
              </w:rPr>
            </w:r>
          </w:p>
        </w:tc>
        <w:tc>
          <w:tcPr>
            <w:tcBorders/>
            <w:tcMar>
              <w:left w:w="15" w:type="dxa"/>
              <w:top w:w="15" w:type="dxa"/>
              <w:right w:w="15" w:type="dxa"/>
              <w:bottom w:w="15" w:type="dxa"/>
            </w:tcMar>
            <w:tcW w:w="2999" w:type="dxa"/>
            <w:vAlign w:val="center"/>
          </w:tcPr>
          <w:p w14:paraId="720DBEF4">
            <w:pPr>
              <w:pBdr/>
              <w:spacing w:after="0" w:before="0" w:line="240"/>
              <w:ind/>
              <w:jc w:val="center"/>
              <w:rPr>
                <w:sz w:val="18"/>
                <w:szCs w:val="18"/>
              </w:rPr>
            </w:pPr>
            <w:r>
              <w:rPr>
                <w:rFonts w:ascii="Times New Roman" w:hAnsi="Times New Roman" w:eastAsia="Times New Roman" w:cs="Times New Roman"/>
                <w:b/>
                <w:color w:val="000000"/>
                <w:sz w:val="20"/>
                <w:szCs w:val="18"/>
              </w:rPr>
              <w:t xml:space="preserve">Cobertura PR</w:t>
            </w:r>
            <w:r>
              <w:rPr>
                <w:sz w:val="18"/>
                <w:szCs w:val="18"/>
              </w:rPr>
            </w:r>
          </w:p>
        </w:tc>
        <w:tc>
          <w:tcPr>
            <w:tcBorders/>
            <w:tcMar>
              <w:left w:w="15" w:type="dxa"/>
              <w:top w:w="15" w:type="dxa"/>
              <w:right w:w="15" w:type="dxa"/>
              <w:bottom w:w="15" w:type="dxa"/>
            </w:tcMar>
            <w:tcW w:w="2359" w:type="dxa"/>
            <w:vAlign w:val="center"/>
          </w:tcPr>
          <w:p w14:paraId="4BBB07EF">
            <w:pPr>
              <w:pBdr/>
              <w:spacing w:after="0" w:before="0" w:line="240"/>
              <w:ind/>
              <w:jc w:val="center"/>
              <w:rPr>
                <w:sz w:val="18"/>
                <w:szCs w:val="18"/>
              </w:rPr>
            </w:pPr>
            <w:r>
              <w:rPr>
                <w:rFonts w:ascii="Times New Roman" w:hAnsi="Times New Roman" w:eastAsia="Times New Roman" w:cs="Times New Roman"/>
                <w:b/>
                <w:color w:val="000000"/>
                <w:sz w:val="20"/>
                <w:szCs w:val="18"/>
              </w:rPr>
              <w:t xml:space="preserve">Calidad</w:t>
            </w:r>
            <w:r>
              <w:rPr>
                <w:sz w:val="18"/>
                <w:szCs w:val="18"/>
              </w:rPr>
            </w:r>
          </w:p>
        </w:tc>
        <w:tc>
          <w:tcPr>
            <w:tcBorders/>
            <w:tcMar>
              <w:left w:w="15" w:type="dxa"/>
              <w:top w:w="15" w:type="dxa"/>
              <w:right w:w="15" w:type="dxa"/>
              <w:bottom w:w="15" w:type="dxa"/>
            </w:tcMar>
            <w:tcW w:w="1813" w:type="dxa"/>
            <w:vAlign w:val="center"/>
          </w:tcPr>
          <w:p w14:paraId="2AE64D2B">
            <w:pPr>
              <w:pBdr/>
              <w:spacing w:after="0" w:before="0" w:line="240"/>
              <w:ind/>
              <w:jc w:val="center"/>
              <w:rPr>
                <w:sz w:val="18"/>
                <w:szCs w:val="18"/>
              </w:rPr>
            </w:pPr>
            <w:r>
              <w:rPr>
                <w:rFonts w:ascii="Times New Roman" w:hAnsi="Times New Roman" w:eastAsia="Times New Roman" w:cs="Times New Roman"/>
                <w:b/>
                <w:color w:val="000000"/>
                <w:sz w:val="20"/>
                <w:szCs w:val="18"/>
              </w:rPr>
              <w:t xml:space="preserve">Costo</w:t>
            </w:r>
            <w:r>
              <w:rPr>
                <w:sz w:val="18"/>
                <w:szCs w:val="18"/>
              </w:rPr>
            </w:r>
          </w:p>
        </w:tc>
      </w:tr>
      <w:tr>
        <w:trPr/>
        <w:tc>
          <w:tcPr>
            <w:tcBorders/>
            <w:tcMar>
              <w:left w:w="15" w:type="dxa"/>
              <w:top w:w="15" w:type="dxa"/>
              <w:right w:w="15" w:type="dxa"/>
              <w:bottom w:w="15" w:type="dxa"/>
            </w:tcMar>
            <w:tcW w:w="1549" w:type="dxa"/>
            <w:vAlign w:val="center"/>
          </w:tcPr>
          <w:p w14:paraId="0465748E">
            <w:pPr>
              <w:pBdr/>
              <w:spacing w:after="0" w:before="0" w:line="240"/>
              <w:ind/>
              <w:rPr>
                <w:sz w:val="18"/>
                <w:szCs w:val="18"/>
              </w:rPr>
            </w:pPr>
            <w:r>
              <w:rPr>
                <w:rFonts w:ascii="Times New Roman" w:hAnsi="Times New Roman" w:eastAsia="Times New Roman" w:cs="Times New Roman"/>
                <w:color w:val="000000"/>
                <w:sz w:val="20"/>
                <w:szCs w:val="18"/>
              </w:rPr>
              <w:t xml:space="preserve">FiscalNote</w:t>
            </w:r>
            <w:r>
              <w:rPr>
                <w:sz w:val="18"/>
                <w:szCs w:val="18"/>
              </w:rPr>
            </w:r>
          </w:p>
        </w:tc>
        <w:tc>
          <w:tcPr>
            <w:tcBorders/>
            <w:tcMar>
              <w:left w:w="15" w:type="dxa"/>
              <w:top w:w="15" w:type="dxa"/>
              <w:right w:w="15" w:type="dxa"/>
              <w:bottom w:w="15" w:type="dxa"/>
            </w:tcMar>
            <w:tcW w:w="2999" w:type="dxa"/>
            <w:vAlign w:val="center"/>
          </w:tcPr>
          <w:p w14:paraId="6654462D">
            <w:pPr>
              <w:pBdr/>
              <w:spacing w:after="0" w:before="0" w:line="240"/>
              <w:ind/>
              <w:rPr>
                <w:sz w:val="18"/>
                <w:szCs w:val="18"/>
              </w:rPr>
            </w:pPr>
            <w:r>
              <w:rPr>
                <w:rFonts w:ascii="Times New Roman" w:hAnsi="Times New Roman" w:eastAsia="Times New Roman" w:cs="Times New Roman"/>
                <w:color w:val="000000"/>
                <w:sz w:val="20"/>
                <w:szCs w:val="18"/>
              </w:rPr>
              <w:t xml:space="preserve">Parcial</w:t>
            </w:r>
            <w:r>
              <w:rPr>
                <w:sz w:val="18"/>
                <w:szCs w:val="18"/>
              </w:rPr>
            </w:r>
          </w:p>
        </w:tc>
        <w:tc>
          <w:tcPr>
            <w:tcBorders/>
            <w:tcMar>
              <w:left w:w="15" w:type="dxa"/>
              <w:top w:w="15" w:type="dxa"/>
              <w:right w:w="15" w:type="dxa"/>
              <w:bottom w:w="15" w:type="dxa"/>
            </w:tcMar>
            <w:tcW w:w="2359" w:type="dxa"/>
            <w:vAlign w:val="center"/>
          </w:tcPr>
          <w:p w14:paraId="1A80C407">
            <w:pPr>
              <w:pBdr/>
              <w:spacing w:after="0" w:before="0" w:line="240"/>
              <w:ind/>
              <w:rPr>
                <w:sz w:val="18"/>
                <w:szCs w:val="18"/>
              </w:rPr>
            </w:pPr>
            <w:r>
              <w:rPr>
                <w:rFonts w:ascii="Times New Roman" w:hAnsi="Times New Roman" w:eastAsia="Times New Roman" w:cs="Times New Roman"/>
                <w:color w:val="000000"/>
                <w:sz w:val="20"/>
                <w:szCs w:val="18"/>
              </w:rPr>
              <w:t xml:space="preserve">Inconsistente</w:t>
            </w:r>
            <w:r>
              <w:rPr>
                <w:sz w:val="18"/>
                <w:szCs w:val="18"/>
              </w:rPr>
            </w:r>
          </w:p>
        </w:tc>
        <w:tc>
          <w:tcPr>
            <w:tcBorders/>
            <w:tcMar>
              <w:left w:w="15" w:type="dxa"/>
              <w:top w:w="15" w:type="dxa"/>
              <w:right w:w="15" w:type="dxa"/>
              <w:bottom w:w="15" w:type="dxa"/>
            </w:tcMar>
            <w:tcW w:w="1813" w:type="dxa"/>
            <w:vAlign w:val="center"/>
          </w:tcPr>
          <w:p w14:paraId="5877C309">
            <w:pPr>
              <w:pBdr/>
              <w:spacing w:after="0" w:before="0" w:line="240"/>
              <w:ind/>
              <w:rPr>
                <w:sz w:val="18"/>
                <w:szCs w:val="18"/>
              </w:rPr>
            </w:pPr>
            <w:r>
              <w:rPr>
                <w:rFonts w:ascii="Times New Roman" w:hAnsi="Times New Roman" w:eastAsia="Times New Roman" w:cs="Times New Roman"/>
                <w:color w:val="000000"/>
                <w:sz w:val="20"/>
                <w:szCs w:val="18"/>
              </w:rPr>
              <w:t xml:space="preserve">$20K–$100K/año</w:t>
            </w:r>
            <w:r>
              <w:rPr>
                <w:sz w:val="18"/>
                <w:szCs w:val="18"/>
              </w:rPr>
            </w:r>
          </w:p>
        </w:tc>
      </w:tr>
      <w:tr>
        <w:trPr/>
        <w:tc>
          <w:tcPr>
            <w:tcBorders/>
            <w:tcMar>
              <w:left w:w="15" w:type="dxa"/>
              <w:top w:w="15" w:type="dxa"/>
              <w:right w:w="15" w:type="dxa"/>
              <w:bottom w:w="15" w:type="dxa"/>
            </w:tcMar>
            <w:tcW w:w="1549" w:type="dxa"/>
            <w:vAlign w:val="center"/>
          </w:tcPr>
          <w:p w14:paraId="15747393">
            <w:pPr>
              <w:pBdr/>
              <w:spacing w:after="0" w:before="0" w:line="240"/>
              <w:ind/>
              <w:rPr>
                <w:sz w:val="18"/>
                <w:szCs w:val="18"/>
              </w:rPr>
            </w:pPr>
            <w:r>
              <w:rPr>
                <w:rFonts w:ascii="Times New Roman" w:hAnsi="Times New Roman" w:eastAsia="Times New Roman" w:cs="Times New Roman"/>
                <w:color w:val="000000"/>
                <w:sz w:val="20"/>
                <w:szCs w:val="18"/>
              </w:rPr>
              <w:t xml:space="preserve">Quorum</w:t>
            </w:r>
            <w:r>
              <w:rPr>
                <w:sz w:val="18"/>
                <w:szCs w:val="18"/>
              </w:rPr>
            </w:r>
          </w:p>
        </w:tc>
        <w:tc>
          <w:tcPr>
            <w:tcBorders/>
            <w:tcMar>
              <w:left w:w="15" w:type="dxa"/>
              <w:top w:w="15" w:type="dxa"/>
              <w:right w:w="15" w:type="dxa"/>
              <w:bottom w:w="15" w:type="dxa"/>
            </w:tcMar>
            <w:tcW w:w="2999" w:type="dxa"/>
            <w:vAlign w:val="center"/>
          </w:tcPr>
          <w:p w14:paraId="1A5AB47E">
            <w:pPr>
              <w:pBdr/>
              <w:spacing w:after="0" w:before="0" w:line="240"/>
              <w:ind/>
              <w:rPr>
                <w:sz w:val="18"/>
                <w:szCs w:val="18"/>
              </w:rPr>
            </w:pPr>
            <w:r>
              <w:rPr>
                <w:rFonts w:ascii="Times New Roman" w:hAnsi="Times New Roman" w:eastAsia="Times New Roman" w:cs="Times New Roman"/>
                <w:color w:val="000000"/>
                <w:sz w:val="20"/>
                <w:szCs w:val="18"/>
              </w:rPr>
              <w:t xml:space="preserve">Limitada/ausente</w:t>
            </w:r>
            <w:r>
              <w:rPr>
                <w:sz w:val="18"/>
                <w:szCs w:val="18"/>
              </w:rPr>
            </w:r>
          </w:p>
        </w:tc>
        <w:tc>
          <w:tcPr>
            <w:tcBorders/>
            <w:tcMar>
              <w:left w:w="15" w:type="dxa"/>
              <w:top w:w="15" w:type="dxa"/>
              <w:right w:w="15" w:type="dxa"/>
              <w:bottom w:w="15" w:type="dxa"/>
            </w:tcMar>
            <w:tcW w:w="2359" w:type="dxa"/>
            <w:vAlign w:val="center"/>
          </w:tcPr>
          <w:p w14:paraId="77D07FE8">
            <w:pPr>
              <w:pBdr/>
              <w:spacing w:after="0" w:before="0" w:line="240"/>
              <w:ind/>
              <w:rPr>
                <w:sz w:val="18"/>
                <w:szCs w:val="18"/>
              </w:rPr>
            </w:pPr>
            <w:r>
              <w:rPr>
                <w:rFonts w:ascii="Times New Roman" w:hAnsi="Times New Roman" w:eastAsia="Times New Roman" w:cs="Times New Roman"/>
                <w:color w:val="000000"/>
                <w:sz w:val="20"/>
                <w:szCs w:val="18"/>
              </w:rPr>
              <w:t xml:space="preserve">No confiable</w:t>
            </w:r>
            <w:r>
              <w:rPr>
                <w:sz w:val="18"/>
                <w:szCs w:val="18"/>
              </w:rPr>
            </w:r>
          </w:p>
        </w:tc>
        <w:tc>
          <w:tcPr>
            <w:tcBorders/>
            <w:tcMar>
              <w:left w:w="15" w:type="dxa"/>
              <w:top w:w="15" w:type="dxa"/>
              <w:right w:w="15" w:type="dxa"/>
              <w:bottom w:w="15" w:type="dxa"/>
            </w:tcMar>
            <w:tcW w:w="1813" w:type="dxa"/>
            <w:vAlign w:val="center"/>
          </w:tcPr>
          <w:p w14:paraId="07F8C26F">
            <w:pPr>
              <w:pBdr/>
              <w:spacing w:after="0" w:before="0" w:line="240"/>
              <w:ind/>
              <w:rPr>
                <w:sz w:val="18"/>
                <w:szCs w:val="18"/>
              </w:rPr>
            </w:pPr>
            <w:r>
              <w:rPr>
                <w:rFonts w:ascii="Times New Roman" w:hAnsi="Times New Roman" w:eastAsia="Times New Roman" w:cs="Times New Roman"/>
                <w:color w:val="000000"/>
                <w:sz w:val="20"/>
                <w:szCs w:val="18"/>
              </w:rPr>
              <w:t xml:space="preserve">$12K–$60K/año</w:t>
            </w:r>
            <w:r>
              <w:rPr>
                <w:sz w:val="18"/>
                <w:szCs w:val="18"/>
              </w:rPr>
            </w:r>
          </w:p>
        </w:tc>
      </w:tr>
      <w:tr>
        <w:trPr/>
        <w:tc>
          <w:tcPr>
            <w:tcBorders/>
            <w:tcMar>
              <w:left w:w="15" w:type="dxa"/>
              <w:top w:w="15" w:type="dxa"/>
              <w:right w:w="15" w:type="dxa"/>
              <w:bottom w:w="15" w:type="dxa"/>
            </w:tcMar>
            <w:tcW w:w="1549" w:type="dxa"/>
            <w:vAlign w:val="center"/>
          </w:tcPr>
          <w:p w14:paraId="577406F5">
            <w:pPr>
              <w:pBdr/>
              <w:spacing w:after="0" w:before="0" w:line="240"/>
              <w:ind/>
              <w:rPr>
                <w:sz w:val="18"/>
                <w:szCs w:val="18"/>
              </w:rPr>
            </w:pPr>
            <w:r>
              <w:rPr>
                <w:rFonts w:ascii="Times New Roman" w:hAnsi="Times New Roman" w:eastAsia="Times New Roman" w:cs="Times New Roman"/>
                <w:color w:val="000000"/>
                <w:sz w:val="20"/>
                <w:szCs w:val="18"/>
              </w:rPr>
              <w:t xml:space="preserve">LegiScan</w:t>
            </w:r>
            <w:r>
              <w:rPr>
                <w:sz w:val="18"/>
                <w:szCs w:val="18"/>
              </w:rPr>
            </w:r>
          </w:p>
        </w:tc>
        <w:tc>
          <w:tcPr>
            <w:tcBorders/>
            <w:tcMar>
              <w:left w:w="15" w:type="dxa"/>
              <w:top w:w="15" w:type="dxa"/>
              <w:right w:w="15" w:type="dxa"/>
              <w:bottom w:w="15" w:type="dxa"/>
            </w:tcMar>
            <w:tcW w:w="2999" w:type="dxa"/>
            <w:vAlign w:val="center"/>
          </w:tcPr>
          <w:p w14:paraId="2CCE0F70">
            <w:pPr>
              <w:pBdr/>
              <w:spacing w:after="0" w:before="0" w:line="240"/>
              <w:ind/>
              <w:rPr>
                <w:sz w:val="18"/>
                <w:szCs w:val="18"/>
              </w:rPr>
            </w:pPr>
            <w:r>
              <w:rPr>
                <w:rFonts w:ascii="Times New Roman" w:hAnsi="Times New Roman" w:eastAsia="Times New Roman" w:cs="Times New Roman"/>
                <w:color w:val="000000"/>
                <w:sz w:val="20"/>
                <w:szCs w:val="18"/>
              </w:rPr>
              <w:t xml:space="preserve">Listada como cubierta</w:t>
            </w:r>
            <w:r>
              <w:rPr>
                <w:sz w:val="18"/>
                <w:szCs w:val="18"/>
              </w:rPr>
            </w:r>
          </w:p>
        </w:tc>
        <w:tc>
          <w:tcPr>
            <w:tcBorders/>
            <w:tcMar>
              <w:left w:w="15" w:type="dxa"/>
              <w:top w:w="15" w:type="dxa"/>
              <w:right w:w="15" w:type="dxa"/>
              <w:bottom w:w="15" w:type="dxa"/>
            </w:tcMar>
            <w:tcW w:w="2359" w:type="dxa"/>
            <w:vAlign w:val="center"/>
          </w:tcPr>
          <w:p w14:paraId="1B378306">
            <w:pPr>
              <w:pBdr/>
              <w:spacing w:after="0" w:before="0" w:line="240"/>
              <w:ind/>
              <w:rPr>
                <w:sz w:val="18"/>
                <w:szCs w:val="18"/>
              </w:rPr>
            </w:pPr>
            <w:r>
              <w:rPr>
                <w:rFonts w:ascii="Times New Roman" w:hAnsi="Times New Roman" w:eastAsia="Times New Roman" w:cs="Times New Roman"/>
                <w:color w:val="000000"/>
                <w:sz w:val="20"/>
                <w:szCs w:val="18"/>
              </w:rPr>
              <w:t xml:space="preserve">Puntualidad sin verificar</w:t>
            </w:r>
            <w:r>
              <w:rPr>
                <w:sz w:val="18"/>
                <w:szCs w:val="18"/>
              </w:rPr>
            </w:r>
          </w:p>
        </w:tc>
        <w:tc>
          <w:tcPr>
            <w:tcBorders/>
            <w:tcMar>
              <w:left w:w="15" w:type="dxa"/>
              <w:top w:w="15" w:type="dxa"/>
              <w:right w:w="15" w:type="dxa"/>
              <w:bottom w:w="15" w:type="dxa"/>
            </w:tcMar>
            <w:tcW w:w="1813" w:type="dxa"/>
            <w:vAlign w:val="center"/>
          </w:tcPr>
          <w:p w14:paraId="08C045F1">
            <w:pPr>
              <w:pBdr/>
              <w:spacing w:after="0" w:before="0" w:line="240"/>
              <w:ind/>
              <w:rPr>
                <w:sz w:val="18"/>
                <w:szCs w:val="18"/>
              </w:rPr>
            </w:pPr>
            <w:r>
              <w:rPr>
                <w:rFonts w:ascii="Times New Roman" w:hAnsi="Times New Roman" w:eastAsia="Times New Roman" w:cs="Times New Roman"/>
                <w:color w:val="000000"/>
                <w:sz w:val="20"/>
                <w:szCs w:val="18"/>
              </w:rPr>
              <w:t xml:space="preserve">$30–$500/mes</w:t>
            </w:r>
            <w:r>
              <w:rPr>
                <w:sz w:val="18"/>
                <w:szCs w:val="18"/>
              </w:rPr>
            </w:r>
          </w:p>
        </w:tc>
      </w:tr>
      <w:tr>
        <w:trPr/>
        <w:tc>
          <w:tcPr>
            <w:tcBorders/>
            <w:tcMar>
              <w:left w:w="15" w:type="dxa"/>
              <w:top w:w="15" w:type="dxa"/>
              <w:right w:w="15" w:type="dxa"/>
              <w:bottom w:w="15" w:type="dxa"/>
            </w:tcMar>
            <w:tcW w:w="1549" w:type="dxa"/>
            <w:vAlign w:val="center"/>
          </w:tcPr>
          <w:p w14:paraId="6C5CF0B5">
            <w:pPr>
              <w:pBdr/>
              <w:spacing w:after="0" w:before="0" w:line="240"/>
              <w:ind/>
              <w:rPr>
                <w:sz w:val="18"/>
                <w:szCs w:val="18"/>
              </w:rPr>
            </w:pPr>
            <w:r>
              <w:rPr>
                <w:rFonts w:ascii="Times New Roman" w:hAnsi="Times New Roman" w:eastAsia="Times New Roman" w:cs="Times New Roman"/>
                <w:color w:val="000000"/>
                <w:sz w:val="20"/>
                <w:szCs w:val="18"/>
              </w:rPr>
              <w:t xml:space="preserve">OpenStates</w:t>
            </w:r>
            <w:r>
              <w:rPr>
                <w:sz w:val="18"/>
                <w:szCs w:val="18"/>
              </w:rPr>
            </w:r>
          </w:p>
        </w:tc>
        <w:tc>
          <w:tcPr>
            <w:tcBorders/>
            <w:tcMar>
              <w:left w:w="15" w:type="dxa"/>
              <w:top w:w="15" w:type="dxa"/>
              <w:right w:w="15" w:type="dxa"/>
              <w:bottom w:w="15" w:type="dxa"/>
            </w:tcMar>
            <w:tcW w:w="2999" w:type="dxa"/>
            <w:vAlign w:val="center"/>
          </w:tcPr>
          <w:p w14:paraId="379F4215">
            <w:pPr>
              <w:pBdr/>
              <w:spacing w:after="0" w:before="0" w:line="240"/>
              <w:ind/>
              <w:rPr>
                <w:sz w:val="18"/>
                <w:szCs w:val="18"/>
              </w:rPr>
            </w:pPr>
            <w:r>
              <w:rPr>
                <w:rFonts w:ascii="Times New Roman" w:hAnsi="Times New Roman" w:eastAsia="Times New Roman" w:cs="Times New Roman"/>
                <w:color w:val="000000"/>
                <w:sz w:val="20"/>
                <w:szCs w:val="18"/>
              </w:rPr>
              <w:t xml:space="preserve">Scraper existe</w:t>
            </w:r>
            <w:r>
              <w:rPr>
                <w:sz w:val="18"/>
                <w:szCs w:val="18"/>
              </w:rPr>
            </w:r>
          </w:p>
        </w:tc>
        <w:tc>
          <w:tcPr>
            <w:tcBorders/>
            <w:tcMar>
              <w:left w:w="15" w:type="dxa"/>
              <w:top w:w="15" w:type="dxa"/>
              <w:right w:w="15" w:type="dxa"/>
              <w:bottom w:w="15" w:type="dxa"/>
            </w:tcMar>
            <w:tcW w:w="2359" w:type="dxa"/>
            <w:vAlign w:val="center"/>
          </w:tcPr>
          <w:p w14:paraId="12017A33">
            <w:pPr>
              <w:pBdr/>
              <w:spacing w:after="0" w:before="0" w:line="240"/>
              <w:ind/>
              <w:rPr>
                <w:sz w:val="18"/>
                <w:szCs w:val="18"/>
              </w:rPr>
            </w:pPr>
            <w:r>
              <w:rPr>
                <w:rFonts w:ascii="Times New Roman" w:hAnsi="Times New Roman" w:eastAsia="Times New Roman" w:cs="Times New Roman"/>
                <w:color w:val="000000"/>
                <w:sz w:val="20"/>
                <w:szCs w:val="18"/>
              </w:rPr>
              <w:t xml:space="preserve">Históricamente irregular</w:t>
            </w:r>
            <w:r>
              <w:rPr>
                <w:sz w:val="18"/>
                <w:szCs w:val="18"/>
              </w:rPr>
            </w:r>
          </w:p>
        </w:tc>
        <w:tc>
          <w:tcPr>
            <w:tcBorders/>
            <w:tcMar>
              <w:left w:w="15" w:type="dxa"/>
              <w:top w:w="15" w:type="dxa"/>
              <w:right w:w="15" w:type="dxa"/>
              <w:bottom w:w="15" w:type="dxa"/>
            </w:tcMar>
            <w:tcW w:w="1813" w:type="dxa"/>
            <w:vAlign w:val="center"/>
          </w:tcPr>
          <w:p w14:paraId="4F0DD6AA">
            <w:pPr>
              <w:pBdr/>
              <w:spacing w:after="0" w:before="0" w:line="240"/>
              <w:ind/>
              <w:rPr>
                <w:sz w:val="18"/>
                <w:szCs w:val="18"/>
              </w:rPr>
            </w:pPr>
            <w:r>
              <w:rPr>
                <w:rFonts w:ascii="Times New Roman" w:hAnsi="Times New Roman" w:eastAsia="Times New Roman" w:cs="Times New Roman"/>
                <w:color w:val="000000"/>
                <w:sz w:val="20"/>
                <w:szCs w:val="18"/>
              </w:rPr>
              <w:t xml:space="preserve">Gratis</w:t>
            </w:r>
            <w:r>
              <w:rPr>
                <w:sz w:val="18"/>
                <w:szCs w:val="18"/>
              </w:rPr>
            </w:r>
          </w:p>
        </w:tc>
      </w:tr>
      <w:tr>
        <w:trPr/>
        <w:tc>
          <w:tcPr>
            <w:tcBorders/>
            <w:tcMar>
              <w:left w:w="15" w:type="dxa"/>
              <w:top w:w="15" w:type="dxa"/>
              <w:right w:w="15" w:type="dxa"/>
              <w:bottom w:w="15" w:type="dxa"/>
            </w:tcMar>
            <w:tcW w:w="1549" w:type="dxa"/>
            <w:vAlign w:val="center"/>
          </w:tcPr>
          <w:p w14:paraId="2F4FF590">
            <w:pPr>
              <w:pBdr/>
              <w:spacing w:after="0" w:before="0" w:line="240"/>
              <w:ind/>
              <w:rPr>
                <w:sz w:val="18"/>
                <w:szCs w:val="18"/>
              </w:rPr>
            </w:pPr>
            <w:r>
              <w:rPr>
                <w:rFonts w:ascii="Times New Roman" w:hAnsi="Times New Roman" w:eastAsia="Times New Roman" w:cs="Times New Roman"/>
                <w:color w:val="000000"/>
                <w:sz w:val="20"/>
                <w:szCs w:val="18"/>
              </w:rPr>
              <w:t xml:space="preserve">Bloomberg Gov</w:t>
            </w:r>
            <w:r>
              <w:rPr>
                <w:sz w:val="18"/>
                <w:szCs w:val="18"/>
              </w:rPr>
            </w:r>
          </w:p>
        </w:tc>
        <w:tc>
          <w:tcPr>
            <w:tcBorders/>
            <w:tcMar>
              <w:left w:w="15" w:type="dxa"/>
              <w:top w:w="15" w:type="dxa"/>
              <w:right w:w="15" w:type="dxa"/>
              <w:bottom w:w="15" w:type="dxa"/>
            </w:tcMar>
            <w:tcW w:w="2999" w:type="dxa"/>
            <w:vAlign w:val="center"/>
          </w:tcPr>
          <w:p w14:paraId="30198798">
            <w:pPr>
              <w:pBdr/>
              <w:spacing w:after="0" w:before="0" w:line="240"/>
              <w:ind/>
              <w:rPr>
                <w:sz w:val="18"/>
                <w:szCs w:val="18"/>
              </w:rPr>
            </w:pPr>
            <w:r>
              <w:rPr>
                <w:rFonts w:ascii="Times New Roman" w:hAnsi="Times New Roman" w:eastAsia="Times New Roman" w:cs="Times New Roman"/>
                <w:color w:val="000000"/>
                <w:sz w:val="20"/>
                <w:szCs w:val="18"/>
              </w:rPr>
              <w:t xml:space="preserve">Solo proyectos federales de PR</w:t>
            </w:r>
            <w:r>
              <w:rPr>
                <w:sz w:val="18"/>
                <w:szCs w:val="18"/>
              </w:rPr>
            </w:r>
          </w:p>
        </w:tc>
        <w:tc>
          <w:tcPr>
            <w:tcBorders/>
            <w:tcMar>
              <w:left w:w="15" w:type="dxa"/>
              <w:top w:w="15" w:type="dxa"/>
              <w:right w:w="15" w:type="dxa"/>
              <w:bottom w:w="15" w:type="dxa"/>
            </w:tcMar>
            <w:tcW w:w="2359" w:type="dxa"/>
            <w:vAlign w:val="center"/>
          </w:tcPr>
          <w:p w14:paraId="394D49FF">
            <w:pPr>
              <w:pBdr/>
              <w:spacing w:after="0" w:before="0" w:line="240"/>
              <w:ind/>
              <w:rPr>
                <w:sz w:val="18"/>
                <w:szCs w:val="18"/>
              </w:rPr>
            </w:pPr>
            <w:r>
              <w:rPr>
                <w:rFonts w:ascii="Times New Roman" w:hAnsi="Times New Roman" w:eastAsia="Times New Roman" w:cs="Times New Roman"/>
                <w:color w:val="000000"/>
                <w:sz w:val="20"/>
                <w:szCs w:val="18"/>
              </w:rPr>
              <w:t xml:space="preserve">Buena (federal)</w:t>
            </w:r>
            <w:r>
              <w:rPr>
                <w:sz w:val="18"/>
                <w:szCs w:val="18"/>
              </w:rPr>
            </w:r>
          </w:p>
        </w:tc>
        <w:tc>
          <w:tcPr>
            <w:tcBorders/>
            <w:tcMar>
              <w:left w:w="15" w:type="dxa"/>
              <w:top w:w="15" w:type="dxa"/>
              <w:right w:w="15" w:type="dxa"/>
              <w:bottom w:w="15" w:type="dxa"/>
            </w:tcMar>
            <w:tcW w:w="1813" w:type="dxa"/>
            <w:vAlign w:val="center"/>
          </w:tcPr>
          <w:p w14:paraId="799E100C">
            <w:pPr>
              <w:pBdr/>
              <w:spacing w:after="0" w:before="0" w:line="240"/>
              <w:ind/>
              <w:rPr>
                <w:sz w:val="18"/>
                <w:szCs w:val="18"/>
              </w:rPr>
            </w:pPr>
            <w:r>
              <w:rPr>
                <w:rFonts w:ascii="Times New Roman" w:hAnsi="Times New Roman" w:eastAsia="Times New Roman" w:cs="Times New Roman"/>
                <w:color w:val="000000"/>
                <w:sz w:val="20"/>
                <w:szCs w:val="18"/>
              </w:rPr>
              <w:t xml:space="preserve">$6K–$15K/asiento</w:t>
            </w:r>
            <w:r>
              <w:rPr>
                <w:sz w:val="18"/>
                <w:szCs w:val="18"/>
              </w:rPr>
            </w:r>
          </w:p>
        </w:tc>
      </w:tr>
      <w:tr>
        <w:trPr/>
        <w:tc>
          <w:tcPr>
            <w:tcBorders/>
            <w:tcMar>
              <w:left w:w="15" w:type="dxa"/>
              <w:top w:w="15" w:type="dxa"/>
              <w:right w:w="15" w:type="dxa"/>
              <w:bottom w:w="15" w:type="dxa"/>
            </w:tcMar>
            <w:tcW w:w="1549" w:type="dxa"/>
            <w:vAlign w:val="center"/>
          </w:tcPr>
          <w:p w14:paraId="46AAC795">
            <w:pPr>
              <w:pBdr/>
              <w:spacing w:after="0" w:before="0" w:line="240"/>
              <w:ind/>
              <w:rPr>
                <w:sz w:val="18"/>
                <w:szCs w:val="18"/>
              </w:rPr>
            </w:pPr>
            <w:r>
              <w:rPr>
                <w:rFonts w:ascii="Times New Roman" w:hAnsi="Times New Roman" w:eastAsia="Times New Roman" w:cs="Times New Roman"/>
                <w:color w:val="000000"/>
                <w:sz w:val="20"/>
                <w:szCs w:val="18"/>
              </w:rPr>
              <w:t xml:space="preserve">BillTrack50</w:t>
            </w:r>
            <w:r>
              <w:rPr>
                <w:sz w:val="18"/>
                <w:szCs w:val="18"/>
              </w:rPr>
            </w:r>
          </w:p>
        </w:tc>
        <w:tc>
          <w:tcPr>
            <w:tcBorders/>
            <w:tcMar>
              <w:left w:w="15" w:type="dxa"/>
              <w:top w:w="15" w:type="dxa"/>
              <w:right w:w="15" w:type="dxa"/>
              <w:bottom w:w="15" w:type="dxa"/>
            </w:tcMar>
            <w:tcW w:w="2999" w:type="dxa"/>
            <w:vAlign w:val="center"/>
          </w:tcPr>
          <w:p w14:paraId="4D895251">
            <w:pPr>
              <w:pBdr/>
              <w:spacing w:after="0" w:before="0" w:line="240"/>
              <w:ind/>
              <w:rPr>
                <w:sz w:val="18"/>
                <w:szCs w:val="18"/>
              </w:rPr>
            </w:pPr>
            <w:r>
              <w:rPr>
                <w:rFonts w:ascii="Times New Roman" w:hAnsi="Times New Roman" w:eastAsia="Times New Roman" w:cs="Times New Roman"/>
                <w:color w:val="000000"/>
                <w:sz w:val="20"/>
                <w:szCs w:val="18"/>
              </w:rPr>
              <w:t xml:space="preserve">Ninguna</w:t>
            </w:r>
            <w:r>
              <w:rPr>
                <w:sz w:val="18"/>
                <w:szCs w:val="18"/>
              </w:rPr>
            </w:r>
          </w:p>
        </w:tc>
        <w:tc>
          <w:tcPr>
            <w:tcBorders/>
            <w:tcMar>
              <w:left w:w="15" w:type="dxa"/>
              <w:top w:w="15" w:type="dxa"/>
              <w:right w:w="15" w:type="dxa"/>
              <w:bottom w:w="15" w:type="dxa"/>
            </w:tcMar>
            <w:tcW w:w="2359" w:type="dxa"/>
            <w:vAlign w:val="center"/>
          </w:tcPr>
          <w:p w14:paraId="6A8CC2B4">
            <w:pPr>
              <w:pBdr/>
              <w:spacing w:after="0" w:before="0" w:line="240"/>
              <w:ind/>
              <w:rPr>
                <w:sz w:val="18"/>
                <w:szCs w:val="18"/>
              </w:rPr>
            </w:pPr>
            <w:r>
              <w:rPr>
                <w:rFonts w:ascii="Times New Roman" w:hAnsi="Times New Roman" w:eastAsia="Times New Roman" w:cs="Times New Roman"/>
                <w:color w:val="000000"/>
                <w:sz w:val="20"/>
                <w:szCs w:val="18"/>
              </w:rPr>
              <w:t xml:space="preserve">N/A</w:t>
            </w:r>
            <w:r>
              <w:rPr>
                <w:sz w:val="18"/>
                <w:szCs w:val="18"/>
              </w:rPr>
            </w:r>
          </w:p>
        </w:tc>
        <w:tc>
          <w:tcPr>
            <w:tcBorders/>
            <w:tcMar>
              <w:left w:w="15" w:type="dxa"/>
              <w:top w:w="15" w:type="dxa"/>
              <w:right w:w="15" w:type="dxa"/>
              <w:bottom w:w="15" w:type="dxa"/>
            </w:tcMar>
            <w:tcW w:w="1813" w:type="dxa"/>
            <w:vAlign w:val="center"/>
          </w:tcPr>
          <w:p w14:paraId="23C9FD14">
            <w:pPr>
              <w:pBdr/>
              <w:spacing w:after="0" w:before="0" w:line="240"/>
              <w:ind/>
              <w:rPr>
                <w:sz w:val="18"/>
                <w:szCs w:val="18"/>
              </w:rPr>
            </w:pPr>
            <w:r>
              <w:rPr>
                <w:rFonts w:ascii="Times New Roman" w:hAnsi="Times New Roman" w:eastAsia="Times New Roman" w:cs="Times New Roman"/>
                <w:color w:val="000000"/>
                <w:sz w:val="20"/>
                <w:szCs w:val="18"/>
              </w:rPr>
              <w:t xml:space="preserve">Gratis</w:t>
            </w:r>
            <w:r>
              <w:rPr>
                <w:sz w:val="18"/>
                <w:szCs w:val="18"/>
              </w:rPr>
            </w:r>
          </w:p>
        </w:tc>
      </w:tr>
      <w:tr>
        <w:trPr/>
        <w:tc>
          <w:tcPr>
            <w:tcBorders/>
            <w:tcMar>
              <w:left w:w="15" w:type="dxa"/>
              <w:top w:w="15" w:type="dxa"/>
              <w:right w:w="15" w:type="dxa"/>
              <w:bottom w:w="15" w:type="dxa"/>
            </w:tcMar>
            <w:tcW w:w="1549" w:type="dxa"/>
            <w:vAlign w:val="center"/>
          </w:tcPr>
          <w:p w14:paraId="20775E11">
            <w:pPr>
              <w:pBdr/>
              <w:spacing w:after="0" w:before="0" w:line="240"/>
              <w:ind/>
              <w:rPr>
                <w:sz w:val="18"/>
                <w:szCs w:val="18"/>
              </w:rPr>
            </w:pPr>
            <w:r>
              <w:rPr>
                <w:rFonts w:ascii="Times New Roman" w:hAnsi="Times New Roman" w:eastAsia="Times New Roman" w:cs="Times New Roman"/>
                <w:color w:val="000000"/>
                <w:sz w:val="20"/>
                <w:szCs w:val="18"/>
              </w:rPr>
              <w:t xml:space="preserve">Plural Policy</w:t>
            </w:r>
            <w:r>
              <w:rPr>
                <w:sz w:val="18"/>
                <w:szCs w:val="18"/>
              </w:rPr>
            </w:r>
          </w:p>
        </w:tc>
        <w:tc>
          <w:tcPr>
            <w:tcBorders/>
            <w:tcMar>
              <w:left w:w="15" w:type="dxa"/>
              <w:top w:w="15" w:type="dxa"/>
              <w:right w:w="15" w:type="dxa"/>
              <w:bottom w:w="15" w:type="dxa"/>
            </w:tcMar>
            <w:tcW w:w="2999" w:type="dxa"/>
            <w:vAlign w:val="center"/>
          </w:tcPr>
          <w:p w14:paraId="5A64DD02">
            <w:pPr>
              <w:pBdr/>
              <w:spacing w:after="0" w:before="0" w:line="240"/>
              <w:ind/>
              <w:rPr>
                <w:sz w:val="18"/>
                <w:szCs w:val="18"/>
              </w:rPr>
            </w:pPr>
            <w:r>
              <w:rPr>
                <w:rFonts w:ascii="Times New Roman" w:hAnsi="Times New Roman" w:eastAsia="Times New Roman" w:cs="Times New Roman"/>
                <w:color w:val="000000"/>
                <w:sz w:val="20"/>
                <w:szCs w:val="18"/>
              </w:rPr>
              <w:t xml:space="preserve">Ninguna confirmada</w:t>
            </w:r>
            <w:r>
              <w:rPr>
                <w:sz w:val="18"/>
                <w:szCs w:val="18"/>
              </w:rPr>
            </w:r>
          </w:p>
        </w:tc>
        <w:tc>
          <w:tcPr>
            <w:tcBorders/>
            <w:tcMar>
              <w:left w:w="15" w:type="dxa"/>
              <w:top w:w="15" w:type="dxa"/>
              <w:right w:w="15" w:type="dxa"/>
              <w:bottom w:w="15" w:type="dxa"/>
            </w:tcMar>
            <w:tcW w:w="2359" w:type="dxa"/>
            <w:vAlign w:val="center"/>
          </w:tcPr>
          <w:p w14:paraId="0784FCED">
            <w:pPr>
              <w:pBdr/>
              <w:spacing w:after="0" w:before="0" w:line="240"/>
              <w:ind/>
              <w:rPr>
                <w:sz w:val="18"/>
                <w:szCs w:val="18"/>
              </w:rPr>
            </w:pPr>
            <w:r>
              <w:rPr>
                <w:rFonts w:ascii="Times New Roman" w:hAnsi="Times New Roman" w:eastAsia="Times New Roman" w:cs="Times New Roman"/>
                <w:color w:val="000000"/>
                <w:sz w:val="20"/>
                <w:szCs w:val="18"/>
              </w:rPr>
              <w:t xml:space="preserve">N/A</w:t>
            </w:r>
            <w:r>
              <w:rPr>
                <w:sz w:val="18"/>
                <w:szCs w:val="18"/>
              </w:rPr>
            </w:r>
          </w:p>
        </w:tc>
        <w:tc>
          <w:tcPr>
            <w:tcBorders/>
            <w:tcMar>
              <w:left w:w="15" w:type="dxa"/>
              <w:top w:w="15" w:type="dxa"/>
              <w:right w:w="15" w:type="dxa"/>
              <w:bottom w:w="15" w:type="dxa"/>
            </w:tcMar>
            <w:tcW w:w="1813" w:type="dxa"/>
            <w:vAlign w:val="center"/>
          </w:tcPr>
          <w:p w14:paraId="661359D0">
            <w:pPr>
              <w:pBdr/>
              <w:spacing w:after="0" w:before="0" w:line="240"/>
              <w:ind/>
              <w:rPr>
                <w:sz w:val="18"/>
                <w:szCs w:val="18"/>
              </w:rPr>
            </w:pPr>
            <w:r>
              <w:rPr>
                <w:rFonts w:ascii="Times New Roman" w:hAnsi="Times New Roman" w:eastAsia="Times New Roman" w:cs="Times New Roman"/>
                <w:color w:val="000000"/>
                <w:sz w:val="20"/>
                <w:szCs w:val="18"/>
              </w:rPr>
              <w:t xml:space="preserve">Freemium</w:t>
            </w:r>
            <w:r>
              <w:rPr>
                <w:sz w:val="18"/>
                <w:szCs w:val="18"/>
              </w:rPr>
            </w:r>
          </w:p>
        </w:tc>
      </w:tr>
    </w:tbl>
    <w:p w14:paraId="796FF92D">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Ninguna plataforma ofrece interfaces en español</w:t>
      </w:r>
      <w:r>
        <w:rPr>
          <w:rFonts w:ascii="Times New Roman" w:hAnsi="Times New Roman" w:eastAsia="Times New Roman" w:cs="Times New Roman"/>
          <w:color w:val="000000"/>
          <w:sz w:val="20"/>
          <w:szCs w:val="18"/>
        </w:rPr>
        <w:t xml:space="preserve">, a pesar de que todo el contenido legislativo de PR está en español. Ninguna plataforma rastrea la </w:t>
      </w:r>
      <w:r>
        <w:rPr>
          <w:rFonts w:ascii="Times New Roman" w:hAnsi="Times New Roman" w:eastAsia="Times New Roman" w:cs="Times New Roman"/>
          <w:b/>
          <w:color w:val="000000"/>
          <w:sz w:val="20"/>
          <w:szCs w:val="18"/>
        </w:rPr>
        <w:t xml:space="preserve">Junta de Supervisión Fiscal (FOMB)</w:t>
      </w:r>
      <w:r>
        <w:rPr>
          <w:rFonts w:ascii="Times New Roman" w:hAnsi="Times New Roman" w:eastAsia="Times New Roman" w:cs="Times New Roman"/>
          <w:color w:val="000000"/>
          <w:sz w:val="20"/>
          <w:szCs w:val="18"/>
        </w:rPr>
        <w:t xml:space="preserve">, que puede vetar efectivamente legislación que conflija con el plan fiscal certificado. Ninguna plataforma integra </w:t>
      </w:r>
      <w:r>
        <w:rPr>
          <w:rFonts w:ascii="Times New Roman" w:hAnsi="Times New Roman" w:eastAsia="Times New Roman" w:cs="Times New Roman"/>
          <w:b/>
          <w:color w:val="000000"/>
          <w:sz w:val="20"/>
          <w:szCs w:val="18"/>
        </w:rPr>
        <w:t xml:space="preserve">notas fiscales de OGP</w:t>
      </w:r>
      <w:r>
        <w:rPr>
          <w:rFonts w:ascii="Times New Roman" w:hAnsi="Times New Roman" w:eastAsia="Times New Roman" w:cs="Times New Roman"/>
          <w:color w:val="000000"/>
          <w:sz w:val="20"/>
          <w:szCs w:val="18"/>
        </w:rPr>
        <w:t xml:space="preserve"> (impacto fiscal), que determinan si los proyectos son viables dados los límites fiscales de PR. Estas no son situaciones marginales — son centrales para cómo se mueve la legislación en Puerto Rico.</w:t>
      </w:r>
      <w:r>
        <w:rPr>
          <w:sz w:val="18"/>
          <w:szCs w:val="18"/>
        </w:rPr>
      </w:r>
    </w:p>
    <w:p w14:paraId="006FBA3E">
      <w:pPr>
        <w:pStyle w:val="140"/>
        <w:pBdr>
          <w:top w:val="none" w:color="000000" w:sz="4" w:space="0"/>
          <w:left w:val="none" w:color="000000" w:sz="4" w:space="0"/>
          <w:bottom w:val="none" w:color="000000" w:sz="4" w:space="0"/>
          <w:right w:val="none" w:color="000000" w:sz="4" w:space="0"/>
        </w:pBdr>
        <w:spacing/>
        <w:ind w:right="0" w:firstLine="0" w:left="0"/>
        <w:rPr>
          <w:sz w:val="28"/>
          <w:szCs w:val="24"/>
        </w:rPr>
      </w:pPr>
      <w:r>
        <w:rPr>
          <w:rFonts w:ascii="Times New Roman" w:hAnsi="Times New Roman" w:eastAsia="Times New Roman" w:cs="Times New Roman"/>
          <w:b/>
          <w:color w:val="000000"/>
          <w:sz w:val="28"/>
          <w:szCs w:val="24"/>
        </w:rPr>
        <w:t xml:space="preserve">Lo que hacen las apps profesionales de cabildeo: 15 capacidades esenciales</w:t>
      </w:r>
      <w:r>
        <w:rPr>
          <w:sz w:val="24"/>
          <w:szCs w:val="24"/>
        </w:rPr>
      </w:r>
    </w:p>
    <w:p w14:paraId="6A775526">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color w:val="000000"/>
          <w:sz w:val="20"/>
          <w:szCs w:val="18"/>
        </w:rPr>
        <w:t xml:space="preserve">Las mejores plataformas como FiscalNote, Quorum y BGOV han convergido en un conjunto de funciones común. Entender estas capacidades es esencial para priorizar la hoja de ruta de LWBETA.</w:t>
      </w:r>
      <w:r>
        <w:rPr>
          <w:sz w:val="18"/>
          <w:szCs w:val="18"/>
        </w:rPr>
      </w:r>
    </w:p>
    <w:p w14:paraId="03708CD2">
      <w:pPr>
        <w:pStyle w:val="141"/>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El núcleo esencial (funciones que todas las plataformas tienen)</w:t>
      </w:r>
      <w:r>
        <w:rPr>
          <w:sz w:val="22"/>
          <w:szCs w:val="22"/>
        </w:rPr>
      </w:r>
    </w:p>
    <w:p w14:paraId="49A9DD41">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Seguimiento de proyectos y alertas</w:t>
      </w:r>
      <w:r>
        <w:rPr>
          <w:rFonts w:ascii="Times New Roman" w:hAnsi="Times New Roman" w:eastAsia="Times New Roman" w:cs="Times New Roman"/>
          <w:color w:val="000000"/>
          <w:sz w:val="20"/>
          <w:szCs w:val="18"/>
        </w:rPr>
        <w:t xml:space="preserve"> es la función fundamental. Las mejores plataformas ingieren introducciones de proyectos, cambios de estado, enmiendas, referidos a comisiones y votos en pleno en tiempo casi real. Los tipos de alerta incluyen: basadas en palabras clave (lógica Booleana so</w:t>
      </w:r>
      <w:r>
        <w:rPr>
          <w:rFonts w:ascii="Times New Roman" w:hAnsi="Times New Roman" w:eastAsia="Times New Roman" w:cs="Times New Roman"/>
          <w:color w:val="000000"/>
          <w:sz w:val="20"/>
          <w:szCs w:val="18"/>
        </w:rPr>
        <w:t xml:space="preserve">bre el texto completo del proyecto), disparadores de cambio de estado, basadas en autores, basadas en comisiones, y puntuación de relevancia impulsada por IA que identifica proyectos que coinciden con los intereses de política de un usuario incluso sin coi</w:t>
      </w:r>
      <w:r>
        <w:rPr>
          <w:rFonts w:ascii="Times New Roman" w:hAnsi="Times New Roman" w:eastAsia="Times New Roman" w:cs="Times New Roman"/>
          <w:color w:val="000000"/>
          <w:sz w:val="20"/>
          <w:szCs w:val="18"/>
        </w:rPr>
        <w:t xml:space="preserve">ncidencias exactas de palabras clave.</w:t>
      </w:r>
      <w:r>
        <w:rPr>
          <w:sz w:val="18"/>
          <w:szCs w:val="18"/>
        </w:rPr>
      </w:r>
    </w:p>
    <w:p w14:paraId="22B91AD0">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Monitoreo de comisiones</w:t>
      </w:r>
      <w:r>
        <w:rPr>
          <w:rFonts w:ascii="Times New Roman" w:hAnsi="Times New Roman" w:eastAsia="Times New Roman" w:cs="Times New Roman"/>
          <w:color w:val="000000"/>
          <w:sz w:val="20"/>
          <w:szCs w:val="18"/>
        </w:rPr>
        <w:t xml:space="preserve"> rastrea calendarios de vistas, agendas, listas de testigos, enmiendas en comisión, rosters de membresía y actividad de subcomisiones. Para un cabildero, </w:t>
      </w:r>
      <w:r>
        <w:rPr>
          <w:rFonts w:ascii="Times New Roman" w:hAnsi="Times New Roman" w:eastAsia="Times New Roman" w:cs="Times New Roman"/>
          <w:b/>
          <w:color w:val="000000"/>
          <w:sz w:val="20"/>
          <w:szCs w:val="18"/>
        </w:rPr>
        <w:t xml:space="preserve">las comisiones son donde los proyectos viven o mueren</w:t>
      </w:r>
      <w:r>
        <w:rPr>
          <w:rFonts w:ascii="Times New Roman" w:hAnsi="Times New Roman" w:eastAsia="Times New Roman" w:cs="Times New Roman"/>
          <w:color w:val="000000"/>
          <w:sz w:val="20"/>
          <w:szCs w:val="18"/>
        </w:rPr>
        <w:t xml:space="preserve"> — la mayoría de la legislación nunca llega al pleno. Saber que un proyecto ha sido colocado en la agenda de una comisión activa la preparación de testimonio y la divulgación dirigida.</w:t>
      </w:r>
      <w:r>
        <w:rPr>
          <w:sz w:val="18"/>
          <w:szCs w:val="18"/>
        </w:rPr>
      </w:r>
    </w:p>
    <w:p w14:paraId="622F0312">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Seguimiento y análisis de votos</w:t>
      </w:r>
      <w:r>
        <w:rPr>
          <w:rFonts w:ascii="Times New Roman" w:hAnsi="Times New Roman" w:eastAsia="Times New Roman" w:cs="Times New Roman"/>
          <w:color w:val="000000"/>
          <w:sz w:val="20"/>
          <w:szCs w:val="18"/>
        </w:rPr>
        <w:t xml:space="preserve"> captura votaciones nominales, patrones de votación, puntajes de unidad partidaria y, en plataformas avanzadas, modelos predictivos para resultados de votaciones. Las tarjetas de puntuación personalizadas permiten a organizaciones calificar legisladores ba</w:t>
      </w:r>
      <w:r>
        <w:rPr>
          <w:rFonts w:ascii="Times New Roman" w:hAnsi="Times New Roman" w:eastAsia="Times New Roman" w:cs="Times New Roman"/>
          <w:color w:val="000000"/>
          <w:sz w:val="20"/>
          <w:szCs w:val="18"/>
        </w:rPr>
        <w:t xml:space="preserve">sándose en votos sobre proyectos prioritarios.</w:t>
      </w:r>
      <w:r>
        <w:rPr>
          <w:sz w:val="18"/>
          <w:szCs w:val="18"/>
        </w:rPr>
      </w:r>
    </w:p>
    <w:p w14:paraId="13756AA7">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Calendarios legislativos</w:t>
      </w:r>
      <w:r>
        <w:rPr>
          <w:rFonts w:ascii="Times New Roman" w:hAnsi="Times New Roman" w:eastAsia="Times New Roman" w:cs="Times New Roman"/>
          <w:color w:val="000000"/>
          <w:sz w:val="20"/>
          <w:szCs w:val="18"/>
        </w:rPr>
        <w:t xml:space="preserve"> muestran días de sesión, períodos de receso, calendarios de pleno, fechas de vistas, plazos de introducción de proyectos y fechas de cruce. Los conteos regresivos de sesión crean urgencia. La integración con Outlook y Google Calendar es estándar.</w:t>
      </w:r>
      <w:r>
        <w:rPr>
          <w:sz w:val="18"/>
          <w:szCs w:val="18"/>
        </w:rPr>
      </w:r>
    </w:p>
    <w:p w14:paraId="426F5966">
      <w:pPr>
        <w:pStyle w:val="141"/>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El diferenciador medio (funciones que separan lo bueno de lo excelente)</w:t>
      </w:r>
      <w:r>
        <w:rPr>
          <w:sz w:val="22"/>
          <w:szCs w:val="22"/>
        </w:rPr>
      </w:r>
    </w:p>
    <w:p w14:paraId="585C7C12">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CRM de relaciones con legisladores</w:t>
      </w:r>
      <w:r>
        <w:rPr>
          <w:rFonts w:ascii="Times New Roman" w:hAnsi="Times New Roman" w:eastAsia="Times New Roman" w:cs="Times New Roman"/>
          <w:color w:val="000000"/>
          <w:sz w:val="20"/>
          <w:szCs w:val="18"/>
        </w:rPr>
        <w:t xml:space="preserve"> rastrea cada interacción con legisladores y personal — reuniones, llamadas, correos, eventos — etiquetados por asunto y resultado. El "puntaje de interacción" de Quorum cuantifica la fortaleza de la relación. El seguimiento del personal (jefes de gabinete</w:t>
      </w:r>
      <w:r>
        <w:rPr>
          <w:rFonts w:ascii="Times New Roman" w:hAnsi="Times New Roman" w:eastAsia="Times New Roman" w:cs="Times New Roman"/>
          <w:color w:val="000000"/>
          <w:sz w:val="20"/>
          <w:szCs w:val="18"/>
        </w:rPr>
        <w:t xml:space="preserve">, directores legislativos, asesores de comisiones) es frecuentemente </w:t>
      </w:r>
      <w:r>
        <w:rPr>
          <w:rFonts w:ascii="Times New Roman" w:hAnsi="Times New Roman" w:eastAsia="Times New Roman" w:cs="Times New Roman"/>
          <w:b/>
          <w:color w:val="000000"/>
          <w:sz w:val="20"/>
          <w:szCs w:val="18"/>
        </w:rPr>
        <w:t xml:space="preserve">más importante que rastrear a los propios legisladores</w:t>
      </w:r>
      <w:r>
        <w:rPr>
          <w:rFonts w:ascii="Times New Roman" w:hAnsi="Times New Roman" w:eastAsia="Times New Roman" w:cs="Times New Roman"/>
          <w:color w:val="000000"/>
          <w:sz w:val="20"/>
          <w:szCs w:val="18"/>
        </w:rPr>
        <w:t xml:space="preserve">, ya que el personal impulsa los detalles de política.</w:t>
      </w:r>
      <w:r>
        <w:rPr>
          <w:sz w:val="18"/>
          <w:szCs w:val="18"/>
        </w:rPr>
      </w:r>
    </w:p>
    <w:p w14:paraId="105E9614">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Seguimiento de posiciones y conteos de votos</w:t>
      </w:r>
      <w:r>
        <w:rPr>
          <w:rFonts w:ascii="Times New Roman" w:hAnsi="Times New Roman" w:eastAsia="Times New Roman" w:cs="Times New Roman"/>
          <w:color w:val="000000"/>
          <w:sz w:val="20"/>
          <w:szCs w:val="18"/>
        </w:rPr>
        <w:t xml:space="preserve"> mapea la postura de cada legislador sobre proyectos específicos (sí, no, inclinado a favor, inclinado en contra, indeciso, desconocido) con vínculos de evidencia. Los tableros visuales de conteo muestran recuentos a favor/en contra con análisis de brechas</w:t>
      </w:r>
      <w:r>
        <w:rPr>
          <w:rFonts w:ascii="Times New Roman" w:hAnsi="Times New Roman" w:eastAsia="Times New Roman" w:cs="Times New Roman"/>
          <w:color w:val="000000"/>
          <w:sz w:val="20"/>
          <w:szCs w:val="18"/>
        </w:rPr>
        <w:t xml:space="preserve"> que identifican dónde se necesita divulgación. Esta es la </w:t>
      </w:r>
      <w:r>
        <w:rPr>
          <w:rFonts w:ascii="Times New Roman" w:hAnsi="Times New Roman" w:eastAsia="Times New Roman" w:cs="Times New Roman"/>
          <w:b/>
          <w:color w:val="000000"/>
          <w:sz w:val="20"/>
          <w:szCs w:val="18"/>
        </w:rPr>
        <w:t xml:space="preserve">herramienta estratégica central para campañas legislativas</w:t>
      </w:r>
      <w:r>
        <w:rPr>
          <w:rFonts w:ascii="Times New Roman" w:hAnsi="Times New Roman" w:eastAsia="Times New Roman" w:cs="Times New Roman"/>
          <w:color w:val="000000"/>
          <w:sz w:val="20"/>
          <w:szCs w:val="18"/>
        </w:rPr>
        <w:t xml:space="preserve">.</w:t>
      </w:r>
      <w:r>
        <w:rPr>
          <w:sz w:val="18"/>
          <w:szCs w:val="18"/>
        </w:rPr>
      </w:r>
    </w:p>
    <w:p w14:paraId="5CBA4529">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Análisis impulsado por IA</w:t>
      </w:r>
      <w:r>
        <w:rPr>
          <w:rFonts w:ascii="Times New Roman" w:hAnsi="Times New Roman" w:eastAsia="Times New Roman" w:cs="Times New Roman"/>
          <w:color w:val="000000"/>
          <w:sz w:val="20"/>
          <w:szCs w:val="18"/>
        </w:rPr>
        <w:t xml:space="preserve"> ahora incluye resumen de proyectos mediante PLN, análisis de impacto identificando qué leyes existentes modificaría un proyecto, búsqueda semántica entre jurisdicciones, comparación automatizada de texto de proyectos (marcas de revisión entre versiones) y</w:t>
      </w:r>
      <w:r>
        <w:rPr>
          <w:rFonts w:ascii="Times New Roman" w:hAnsi="Times New Roman" w:eastAsia="Times New Roman" w:cs="Times New Roman"/>
          <w:color w:val="000000"/>
          <w:sz w:val="20"/>
          <w:szCs w:val="18"/>
        </w:rPr>
        <w:t xml:space="preserve"> puntuación de relevancia.</w:t>
      </w:r>
      <w:r>
        <w:rPr>
          <w:sz w:val="18"/>
          <w:szCs w:val="18"/>
        </w:rPr>
      </w:r>
    </w:p>
    <w:p w14:paraId="1B2056AF">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Movilización de base</w:t>
      </w:r>
      <w:r>
        <w:rPr>
          <w:rFonts w:ascii="Times New Roman" w:hAnsi="Times New Roman" w:eastAsia="Times New Roman" w:cs="Times New Roman"/>
          <w:color w:val="000000"/>
          <w:sz w:val="20"/>
          <w:szCs w:val="18"/>
        </w:rPr>
        <w:t xml:space="preserve"> permite a organizaciones enviar alertas de acción a simpatizantes, emparejar constituyentes con legisladores por dirección, proporcionar mensajes pre-redactados con un clic y rastrear analíticas de campaña.</w:t>
      </w:r>
      <w:r>
        <w:rPr>
          <w:sz w:val="18"/>
          <w:szCs w:val="18"/>
        </w:rPr>
      </w:r>
    </w:p>
    <w:p w14:paraId="4068490F">
      <w:pPr>
        <w:pStyle w:val="141"/>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Capacidades avanzadas (funciones solo empresariales)</w:t>
      </w:r>
      <w:r>
        <w:rPr>
          <w:sz w:val="22"/>
          <w:szCs w:val="22"/>
        </w:rPr>
      </w:r>
    </w:p>
    <w:p w14:paraId="068B2CBB">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Divulgación de cabildeo y cumplimiento</w:t>
      </w:r>
      <w:r>
        <w:rPr>
          <w:rFonts w:ascii="Times New Roman" w:hAnsi="Times New Roman" w:eastAsia="Times New Roman" w:cs="Times New Roman"/>
          <w:color w:val="000000"/>
          <w:sz w:val="20"/>
          <w:szCs w:val="18"/>
        </w:rPr>
        <w:t xml:space="preserve"> gestiona registros y reportes periódicos. PR tiene su propio marco bajo la </w:t>
      </w:r>
      <w:r>
        <w:rPr>
          <w:rFonts w:ascii="Times New Roman" w:hAnsi="Times New Roman" w:eastAsia="Times New Roman" w:cs="Times New Roman"/>
          <w:b/>
          <w:color w:val="000000"/>
          <w:sz w:val="20"/>
          <w:szCs w:val="18"/>
        </w:rPr>
        <w:t xml:space="preserve">Ley 118-2003</w:t>
      </w:r>
      <w:r>
        <w:rPr>
          <w:rFonts w:ascii="Times New Roman" w:hAnsi="Times New Roman" w:eastAsia="Times New Roman" w:cs="Times New Roman"/>
          <w:color w:val="000000"/>
          <w:sz w:val="20"/>
          <w:szCs w:val="18"/>
        </w:rPr>
        <w:t xml:space="preserve"> (Ley para la Reglamentación del Cabildeo en Puerto Rico), que requiere registro ante la Oficina del Contralor.</w:t>
      </w:r>
      <w:r>
        <w:rPr>
          <w:sz w:val="18"/>
          <w:szCs w:val="18"/>
        </w:rPr>
      </w:r>
    </w:p>
    <w:p w14:paraId="118435AE">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Seguimiento regulatorio</w:t>
      </w:r>
      <w:r>
        <w:rPr>
          <w:rFonts w:ascii="Times New Roman" w:hAnsi="Times New Roman" w:eastAsia="Times New Roman" w:cs="Times New Roman"/>
          <w:color w:val="000000"/>
          <w:sz w:val="20"/>
          <w:szCs w:val="18"/>
        </w:rPr>
        <w:t xml:space="preserve"> monitorea acciones de agencias ejecutivas, órdenes ejecutivas y períodos de comentario público. </w:t>
      </w:r>
      <w:r>
        <w:rPr>
          <w:rFonts w:ascii="Times New Roman" w:hAnsi="Times New Roman" w:eastAsia="Times New Roman" w:cs="Times New Roman"/>
          <w:b/>
          <w:color w:val="000000"/>
          <w:sz w:val="20"/>
          <w:szCs w:val="18"/>
        </w:rPr>
        <w:t xml:space="preserve">Seguimiento de finanzas de campaña</w:t>
      </w:r>
      <w:r>
        <w:rPr>
          <w:rFonts w:ascii="Times New Roman" w:hAnsi="Times New Roman" w:eastAsia="Times New Roman" w:cs="Times New Roman"/>
          <w:color w:val="000000"/>
          <w:sz w:val="20"/>
          <w:szCs w:val="18"/>
        </w:rPr>
        <w:t xml:space="preserve"> cubre gestión de PAC y cumplimiento de divulgaciones. </w:t>
      </w:r>
      <w:r>
        <w:rPr>
          <w:rFonts w:ascii="Times New Roman" w:hAnsi="Times New Roman" w:eastAsia="Times New Roman" w:cs="Times New Roman"/>
          <w:b/>
          <w:color w:val="000000"/>
          <w:sz w:val="20"/>
          <w:szCs w:val="18"/>
        </w:rPr>
        <w:t xml:space="preserve">Herramientas de construcción de coaliciones</w:t>
      </w:r>
      <w:r>
        <w:rPr>
          <w:rFonts w:ascii="Times New Roman" w:hAnsi="Times New Roman" w:eastAsia="Times New Roman" w:cs="Times New Roman"/>
          <w:color w:val="000000"/>
          <w:sz w:val="20"/>
          <w:szCs w:val="18"/>
        </w:rPr>
        <w:t xml:space="preserve"> mapean aliados, oponentes y partes interesadas persuadibles. </w:t>
      </w:r>
      <w:r>
        <w:rPr>
          <w:rFonts w:ascii="Times New Roman" w:hAnsi="Times New Roman" w:eastAsia="Times New Roman" w:cs="Times New Roman"/>
          <w:b/>
          <w:color w:val="000000"/>
          <w:sz w:val="20"/>
          <w:szCs w:val="18"/>
        </w:rPr>
        <w:t xml:space="preserve">Informes y analíticas</w:t>
      </w:r>
      <w:r>
        <w:rPr>
          <w:rFonts w:ascii="Times New Roman" w:hAnsi="Times New Roman" w:eastAsia="Times New Roman" w:cs="Times New Roman"/>
          <w:color w:val="000000"/>
          <w:sz w:val="20"/>
          <w:szCs w:val="18"/>
        </w:rPr>
        <w:t xml:space="preserve"> generan tableros personalizados, registros de actividad y métricas de ROI.</w:t>
      </w:r>
      <w:r>
        <w:rPr>
          <w:sz w:val="18"/>
          <w:szCs w:val="18"/>
        </w:rPr>
      </w:r>
    </w:p>
    <w:p w14:paraId="2002DC6E">
      <w:pPr>
        <w:pStyle w:val="140"/>
        <w:pBdr>
          <w:top w:val="none" w:color="000000" w:sz="4" w:space="0"/>
          <w:left w:val="none" w:color="000000" w:sz="4" w:space="0"/>
          <w:bottom w:val="none" w:color="000000" w:sz="4" w:space="0"/>
          <w:right w:val="none" w:color="000000" w:sz="4" w:space="0"/>
        </w:pBdr>
        <w:spacing/>
        <w:ind w:right="0" w:firstLine="0" w:left="0"/>
        <w:rPr>
          <w:sz w:val="28"/>
          <w:szCs w:val="24"/>
        </w:rPr>
      </w:pPr>
      <w:r>
        <w:rPr>
          <w:rFonts w:ascii="Times New Roman" w:hAnsi="Times New Roman" w:eastAsia="Times New Roman" w:cs="Times New Roman"/>
          <w:b/>
          <w:color w:val="000000"/>
          <w:sz w:val="28"/>
          <w:szCs w:val="24"/>
        </w:rPr>
        <w:t xml:space="preserve">Repositorios de código abierto y fuentes de datos relevantes para LWBETA</w:t>
      </w:r>
      <w:r>
        <w:rPr>
          <w:sz w:val="24"/>
          <w:szCs w:val="24"/>
        </w:rPr>
      </w:r>
    </w:p>
    <w:p w14:paraId="4E13D5FF">
      <w:pPr>
        <w:pStyle w:val="141"/>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Referencias de mayor prioridad</w:t>
      </w:r>
      <w:r>
        <w:rPr>
          <w:sz w:val="22"/>
          <w:szCs w:val="22"/>
        </w:rPr>
      </w:r>
    </w:p>
    <w:p w14:paraId="23B6449B">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OpenStates</w:t>
      </w:r>
      <w:r>
        <w:rPr>
          <w:rFonts w:ascii="Times New Roman" w:hAnsi="Times New Roman" w:eastAsia="Times New Roman" w:cs="Times New Roman"/>
          <w:color w:val="000000"/>
          <w:sz w:val="20"/>
          <w:szCs w:val="18"/>
        </w:rPr>
        <w:t xml:space="preserve"> (github.com/openstates) es la referencia más importante. Su repositorio de scrapers contiene un </w:t>
      </w:r>
      <w:r>
        <w:rPr>
          <w:rFonts w:ascii="Times New Roman" w:hAnsi="Times New Roman" w:eastAsia="Times New Roman" w:cs="Times New Roman"/>
          <w:b/>
          <w:color w:val="000000"/>
          <w:sz w:val="20"/>
          <w:szCs w:val="18"/>
        </w:rPr>
        <w:t xml:space="preserve">módulo de scraper para Puerto Rico</w:t>
      </w:r>
      <w:r>
        <w:rPr>
          <w:rFonts w:ascii="Times New Roman" w:hAnsi="Times New Roman" w:eastAsia="Times New Roman" w:cs="Times New Roman"/>
          <w:color w:val="000000"/>
          <w:sz w:val="20"/>
          <w:szCs w:val="18"/>
        </w:rPr>
        <w:t xml:space="preserve"> que extrae proyectos, votos y legisladores de OSLPR. La arquitectura — scrapers en Python usando el framework "spatula", almacenamiento en PostgreSQL, capa de API Django/FastAPI, frontend en React — está probada a escala en todos los estados de EE.UU.</w:t>
      </w:r>
      <w:r>
        <w:rPr>
          <w:sz w:val="18"/>
          <w:szCs w:val="18"/>
        </w:rPr>
      </w:r>
    </w:p>
    <w:p w14:paraId="4291D65E">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@unitedstates/congress</w:t>
      </w:r>
      <w:r>
        <w:rPr>
          <w:rFonts w:ascii="Times New Roman" w:hAnsi="Times New Roman" w:eastAsia="Times New Roman" w:cs="Times New Roman"/>
          <w:color w:val="000000"/>
          <w:sz w:val="20"/>
          <w:szCs w:val="18"/>
        </w:rPr>
        <w:t xml:space="preserve"> proporciona los esquemas de datos mejor diseñados para proyectos, acciones, votos, autores y enmiendas. Sus formatos de salida JSON y arquitectura de pipeline son material de referencia limpio.</w:t>
      </w:r>
      <w:r>
        <w:rPr>
          <w:sz w:val="18"/>
          <w:szCs w:val="18"/>
        </w:rPr>
      </w:r>
    </w:p>
    <w:p w14:paraId="113BC2E0">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django-councilmatic</w:t>
      </w:r>
      <w:r>
        <w:rPr>
          <w:rFonts w:ascii="Times New Roman" w:hAnsi="Times New Roman" w:eastAsia="Times New Roman" w:cs="Times New Roman"/>
          <w:color w:val="000000"/>
          <w:sz w:val="20"/>
          <w:szCs w:val="18"/>
        </w:rPr>
        <w:t xml:space="preserve"> de DataMade es el mejor framework de UI de código abierto para seguimiento legislativo, impulsando rastreadores de consejos municipales en Chicago, NYC y LA. Su arquitectura Django con búsqueda (Elasticsearch), alertas y perfiles de legisladores se mapea </w:t>
      </w:r>
      <w:r>
        <w:rPr>
          <w:rFonts w:ascii="Times New Roman" w:hAnsi="Times New Roman" w:eastAsia="Times New Roman" w:cs="Times New Roman"/>
          <w:color w:val="000000"/>
          <w:sz w:val="20"/>
          <w:szCs w:val="18"/>
        </w:rPr>
        <w:t xml:space="preserve">directamente a las necesidades de una app de cabildeo de PR.</w:t>
      </w:r>
      <w:r>
        <w:rPr>
          <w:sz w:val="18"/>
          <w:szCs w:val="18"/>
        </w:rPr>
      </w:r>
    </w:p>
    <w:p w14:paraId="0D1B87BD">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GovTrack</w:t>
      </w:r>
      <w:r>
        <w:rPr>
          <w:rFonts w:ascii="Times New Roman" w:hAnsi="Times New Roman" w:eastAsia="Times New Roman" w:cs="Times New Roman"/>
          <w:color w:val="000000"/>
          <w:sz w:val="20"/>
          <w:szCs w:val="18"/>
        </w:rPr>
        <w:t xml:space="preserve"> ofrece excelente referencia para visualización del estado de proyectos, sistemas de alerta por correo y páginas de perfil de legisladores.</w:t>
      </w:r>
      <w:r>
        <w:rPr>
          <w:sz w:val="18"/>
          <w:szCs w:val="18"/>
        </w:rPr>
      </w:r>
    </w:p>
    <w:p w14:paraId="29E0726B">
      <w:pPr>
        <w:pStyle w:val="141"/>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Fuentes de datos específicas de PR</w:t>
      </w:r>
      <w:r>
        <w:rPr>
          <w:sz w:val="22"/>
          <w:szCs w:val="22"/>
        </w:rPr>
      </w:r>
    </w:p>
    <w:p w14:paraId="00110A49">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color w:val="000000"/>
          <w:sz w:val="20"/>
          <w:szCs w:val="18"/>
        </w:rPr>
        <w:t xml:space="preserve">Las fuentes primarias son </w:t>
      </w:r>
      <w:r>
        <w:rPr>
          <w:rFonts w:ascii="Times New Roman" w:hAnsi="Times New Roman" w:eastAsia="Times New Roman" w:cs="Times New Roman"/>
          <w:b/>
          <w:color w:val="000000"/>
          <w:sz w:val="20"/>
          <w:szCs w:val="18"/>
        </w:rPr>
        <w:t xml:space="preserve">OSLPR</w:t>
      </w:r>
      <w:r>
        <w:rPr>
          <w:rFonts w:ascii="Times New Roman" w:hAnsi="Times New Roman" w:eastAsia="Times New Roman" w:cs="Times New Roman"/>
          <w:color w:val="000000"/>
          <w:sz w:val="20"/>
          <w:szCs w:val="18"/>
        </w:rPr>
        <w:t xml:space="preserve"> (oslpr.org) con su sistema SUTRA, el </w:t>
      </w:r>
      <w:r>
        <w:rPr>
          <w:rFonts w:ascii="Times New Roman" w:hAnsi="Times New Roman" w:eastAsia="Times New Roman" w:cs="Times New Roman"/>
          <w:b/>
          <w:color w:val="000000"/>
          <w:sz w:val="20"/>
          <w:szCs w:val="18"/>
        </w:rPr>
        <w:t xml:space="preserve">Senado</w:t>
      </w:r>
      <w:r>
        <w:rPr>
          <w:rFonts w:ascii="Times New Roman" w:hAnsi="Times New Roman" w:eastAsia="Times New Roman" w:cs="Times New Roman"/>
          <w:color w:val="000000"/>
          <w:sz w:val="20"/>
          <w:szCs w:val="18"/>
        </w:rPr>
        <w:t xml:space="preserve"> (senado.pr.gov) y la </w:t>
      </w:r>
      <w:r>
        <w:rPr>
          <w:rFonts w:ascii="Times New Roman" w:hAnsi="Times New Roman" w:eastAsia="Times New Roman" w:cs="Times New Roman"/>
          <w:b/>
          <w:color w:val="000000"/>
          <w:sz w:val="20"/>
          <w:szCs w:val="18"/>
        </w:rPr>
        <w:t xml:space="preserve">Cámara</w:t>
      </w:r>
      <w:r>
        <w:rPr>
          <w:rFonts w:ascii="Times New Roman" w:hAnsi="Times New Roman" w:eastAsia="Times New Roman" w:cs="Times New Roman"/>
          <w:color w:val="000000"/>
          <w:sz w:val="20"/>
          <w:szCs w:val="18"/>
        </w:rPr>
        <w:t xml:space="preserve"> (camara.pr.gov). Estas proporcionan texto de proyectos, estado, información de comisiones y calendarios de vistas — pero carecen de APIs, exportaciones de datos estructurados o disponibilidad confiable. La Oficina del Contralor mantiene el registro de cab</w:t>
      </w:r>
      <w:r>
        <w:rPr>
          <w:rFonts w:ascii="Times New Roman" w:hAnsi="Times New Roman" w:eastAsia="Times New Roman" w:cs="Times New Roman"/>
          <w:color w:val="000000"/>
          <w:sz w:val="20"/>
          <w:szCs w:val="18"/>
        </w:rPr>
        <w:t xml:space="preserve">ilderos, mientras que OGP publica notas fiscales y datos presupuestarios.</w:t>
      </w:r>
      <w:r>
        <w:rPr>
          <w:sz w:val="18"/>
          <w:szCs w:val="18"/>
        </w:rPr>
      </w:r>
    </w:p>
    <w:p w14:paraId="5A6FE7E7">
      <w:pPr>
        <w:pStyle w:val="140"/>
        <w:pBdr>
          <w:top w:val="none" w:color="000000" w:sz="4" w:space="0"/>
          <w:left w:val="none" w:color="000000" w:sz="4" w:space="0"/>
          <w:bottom w:val="none" w:color="000000" w:sz="4" w:space="0"/>
          <w:right w:val="none" w:color="000000" w:sz="4" w:space="0"/>
        </w:pBdr>
        <w:spacing/>
        <w:ind w:right="0" w:firstLine="0" w:left="0"/>
        <w:rPr>
          <w:sz w:val="28"/>
          <w:szCs w:val="24"/>
        </w:rPr>
      </w:pPr>
      <w:r>
        <w:rPr>
          <w:rFonts w:ascii="Times New Roman" w:hAnsi="Times New Roman" w:eastAsia="Times New Roman" w:cs="Times New Roman"/>
          <w:b/>
          <w:color w:val="000000"/>
          <w:sz w:val="28"/>
          <w:szCs w:val="24"/>
        </w:rPr>
        <w:t xml:space="preserve">Recomendaciones de funciones por prioridad para LWBETA</w:t>
      </w:r>
      <w:r>
        <w:rPr>
          <w:sz w:val="24"/>
          <w:szCs w:val="24"/>
        </w:rPr>
      </w:r>
    </w:p>
    <w:p w14:paraId="7F5BB34A">
      <w:pPr>
        <w:pStyle w:val="141"/>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Prioridad 1 — La base no negociable</w:t>
      </w:r>
      <w:r>
        <w:rPr>
          <w:sz w:val="22"/>
          <w:szCs w:val="22"/>
        </w:rPr>
      </w:r>
    </w:p>
    <w:p w14:paraId="7DD30AB1">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1. Seguimiento completo y en tiempo real de proyectos con alertas inteligentes.</w:t>
      </w:r>
      <w:r>
        <w:rPr>
          <w:rFonts w:ascii="Times New Roman" w:hAnsi="Times New Roman" w:eastAsia="Times New Roman" w:cs="Times New Roman"/>
          <w:color w:val="000000"/>
          <w:sz w:val="20"/>
          <w:szCs w:val="18"/>
        </w:rPr>
        <w:t xml:space="preserve"> LWBETA debe rastrear cada P. del S. y P. de la C. introducido en la Asamblea Legislativa, con actualizaciones de estado en tiempo real. Alertas por palabra clave en texto de proyectos en español, por cambio de estado, por autor, y por comisión. Listas de </w:t>
      </w:r>
      <w:r>
        <w:rPr>
          <w:rFonts w:ascii="Times New Roman" w:hAnsi="Times New Roman" w:eastAsia="Times New Roman" w:cs="Times New Roman"/>
          <w:color w:val="000000"/>
          <w:sz w:val="20"/>
          <w:szCs w:val="18"/>
        </w:rPr>
        <w:t xml:space="preserve">seguimiento personalizadas por área temática o cliente. </w:t>
      </w:r>
      <w:r>
        <w:rPr>
          <w:rFonts w:ascii="Times New Roman" w:hAnsi="Times New Roman" w:eastAsia="Times New Roman" w:cs="Times New Roman"/>
          <w:b/>
          <w:color w:val="000000"/>
          <w:sz w:val="20"/>
          <w:szCs w:val="18"/>
        </w:rPr>
        <w:t xml:space="preserve">El diferenciador clave</w:t>
      </w:r>
      <w:r>
        <w:rPr>
          <w:rFonts w:ascii="Times New Roman" w:hAnsi="Times New Roman" w:eastAsia="Times New Roman" w:cs="Times New Roman"/>
          <w:color w:val="000000"/>
          <w:sz w:val="20"/>
          <w:szCs w:val="18"/>
        </w:rPr>
        <w:t xml:space="preserve">: hacerlo de manera confiable para PR, donde ninguna otra plataforma lo hace bien.</w:t>
      </w:r>
      <w:r>
        <w:rPr>
          <w:sz w:val="18"/>
          <w:szCs w:val="18"/>
        </w:rPr>
      </w:r>
    </w:p>
    <w:p w14:paraId="42450E81">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2. Perfiles completos de legisladores con asignaciones de comisiones.</w:t>
      </w:r>
      <w:r>
        <w:rPr>
          <w:rFonts w:ascii="Times New Roman" w:hAnsi="Times New Roman" w:eastAsia="Times New Roman" w:cs="Times New Roman"/>
          <w:color w:val="000000"/>
          <w:sz w:val="20"/>
          <w:szCs w:val="18"/>
        </w:rPr>
        <w:t xml:space="preserve"> Los 27 senadores y 51 representantes necesitan perfiles completos: afiliación partidaria (PNP, PPD, PIP, MVC, Proyecto Dignidad), distrito, asignaciones de comisiones (incluyendo roles de presidente/vicepresidente), información de contacto, personal de of</w:t>
      </w:r>
      <w:r>
        <w:rPr>
          <w:rFonts w:ascii="Times New Roman" w:hAnsi="Times New Roman" w:eastAsia="Times New Roman" w:cs="Times New Roman"/>
          <w:color w:val="000000"/>
          <w:sz w:val="20"/>
          <w:szCs w:val="18"/>
        </w:rPr>
        <w:t xml:space="preserve">icina y redes sociales. Dado el sistema multipartidario de PR y la legislatura compacta, </w:t>
      </w:r>
      <w:r>
        <w:rPr>
          <w:rFonts w:ascii="Times New Roman" w:hAnsi="Times New Roman" w:eastAsia="Times New Roman" w:cs="Times New Roman"/>
          <w:b/>
          <w:color w:val="000000"/>
          <w:sz w:val="20"/>
          <w:szCs w:val="18"/>
        </w:rPr>
        <w:t xml:space="preserve">cada escaño en comisión y rol de liderazgo es estratégicamente significativo</w:t>
      </w:r>
      <w:r>
        <w:rPr>
          <w:rFonts w:ascii="Times New Roman" w:hAnsi="Times New Roman" w:eastAsia="Times New Roman" w:cs="Times New Roman"/>
          <w:color w:val="000000"/>
          <w:sz w:val="20"/>
          <w:szCs w:val="18"/>
        </w:rPr>
        <w:t xml:space="preserve">.</w:t>
      </w:r>
      <w:r>
        <w:rPr>
          <w:sz w:val="18"/>
          <w:szCs w:val="18"/>
        </w:rPr>
      </w:r>
    </w:p>
    <w:p w14:paraId="036CB279">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3. Calendario y seguimiento de agendas de vistas de comisiones.</w:t>
      </w:r>
      <w:r>
        <w:rPr>
          <w:rFonts w:ascii="Times New Roman" w:hAnsi="Times New Roman" w:eastAsia="Times New Roman" w:cs="Times New Roman"/>
          <w:color w:val="000000"/>
          <w:sz w:val="20"/>
          <w:szCs w:val="18"/>
        </w:rPr>
        <w:t xml:space="preserve"> Agregar calendarios de vistas de todas las comisiones del Senado y la Cámara, mostrar agendas con los proyectos que serán atendidos, y enviar alertas cuando proyectos rastreados aparezcan en agendas de comisiones.</w:t>
      </w:r>
      <w:r>
        <w:rPr>
          <w:sz w:val="18"/>
          <w:szCs w:val="18"/>
        </w:rPr>
      </w:r>
    </w:p>
    <w:p w14:paraId="0668468E">
      <w:pPr>
        <w:pStyle w:val="141"/>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Prioridad 2 — Lo que separa un rastreador de una plataforma de cabildeo</w:t>
      </w:r>
      <w:r>
        <w:rPr>
          <w:sz w:val="22"/>
          <w:szCs w:val="22"/>
        </w:rPr>
      </w:r>
    </w:p>
    <w:p w14:paraId="792CD0F8">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4. Seguimiento de posición de legisladores y tableros de conteo de votos.</w:t>
      </w:r>
      <w:r>
        <w:rPr>
          <w:rFonts w:ascii="Times New Roman" w:hAnsi="Times New Roman" w:eastAsia="Times New Roman" w:cs="Times New Roman"/>
          <w:color w:val="000000"/>
          <w:sz w:val="20"/>
          <w:szCs w:val="18"/>
        </w:rPr>
        <w:t xml:space="preserve"> Para cualquier proyecto que un cabildero esté trabajando, necesita mapear dónde está cada legislador: apoyo, oposición, inclinado a favor, inclinado en contra, indeciso, desconocido. Con solo 27 senadores y 51 representantes, </w:t>
      </w:r>
      <w:r>
        <w:rPr>
          <w:rFonts w:ascii="Times New Roman" w:hAnsi="Times New Roman" w:eastAsia="Times New Roman" w:cs="Times New Roman"/>
          <w:b/>
          <w:color w:val="000000"/>
          <w:sz w:val="20"/>
          <w:szCs w:val="18"/>
        </w:rPr>
        <w:t xml:space="preserve">cada voto es proporcionalmente más significativo que en legislaturas estatales más grandes</w:t>
      </w:r>
      <w:r>
        <w:rPr>
          <w:rFonts w:ascii="Times New Roman" w:hAnsi="Times New Roman" w:eastAsia="Times New Roman" w:cs="Times New Roman"/>
          <w:color w:val="000000"/>
          <w:sz w:val="20"/>
          <w:szCs w:val="18"/>
        </w:rPr>
        <w:t xml:space="preserve">.</w:t>
      </w:r>
      <w:r>
        <w:rPr>
          <w:sz w:val="18"/>
          <w:szCs w:val="18"/>
        </w:rPr>
      </w:r>
    </w:p>
    <w:p w14:paraId="7F2F3500">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5. Registro de interacciones y CRM de relaciones.</w:t>
      </w:r>
      <w:r>
        <w:rPr>
          <w:rFonts w:ascii="Times New Roman" w:hAnsi="Times New Roman" w:eastAsia="Times New Roman" w:cs="Times New Roman"/>
          <w:color w:val="000000"/>
          <w:sz w:val="20"/>
          <w:szCs w:val="18"/>
        </w:rPr>
        <w:t xml:space="preserve"> Los cabilderos deben registrar cada reunión, llamada y comunicación con legisladores y su personal, etiquetados por proyecto, asunto y resultado. En la cultura política de PR orientada a las relaciones, </w:t>
      </w:r>
      <w:r>
        <w:rPr>
          <w:rFonts w:ascii="Times New Roman" w:hAnsi="Times New Roman" w:eastAsia="Times New Roman" w:cs="Times New Roman"/>
          <w:b/>
          <w:color w:val="000000"/>
          <w:sz w:val="20"/>
          <w:szCs w:val="18"/>
        </w:rPr>
        <w:t xml:space="preserve">la memoria institucional de interacciones es una ventaja competitiva</w:t>
      </w:r>
      <w:r>
        <w:rPr>
          <w:rFonts w:ascii="Times New Roman" w:hAnsi="Times New Roman" w:eastAsia="Times New Roman" w:cs="Times New Roman"/>
          <w:color w:val="000000"/>
          <w:sz w:val="20"/>
          <w:szCs w:val="18"/>
        </w:rPr>
        <w:t xml:space="preserve">.</w:t>
      </w:r>
      <w:r>
        <w:rPr>
          <w:sz w:val="18"/>
          <w:szCs w:val="18"/>
        </w:rPr>
      </w:r>
    </w:p>
    <w:p w14:paraId="45D60387">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6. Integración de notas fiscales de OGP.</w:t>
      </w:r>
      <w:r>
        <w:rPr>
          <w:rFonts w:ascii="Times New Roman" w:hAnsi="Times New Roman" w:eastAsia="Times New Roman" w:cs="Times New Roman"/>
          <w:color w:val="000000"/>
          <w:sz w:val="20"/>
          <w:szCs w:val="18"/>
        </w:rPr>
        <w:t xml:space="preserve"> Esto es único de PR e increíblemente valioso. La OGP revisa cada proyecto con impacto fiscal y emite informes de impacto fiscal. Bajo la supervisión fiscal de la FOMB/Junta, </w:t>
      </w:r>
      <w:r>
        <w:rPr>
          <w:rFonts w:ascii="Times New Roman" w:hAnsi="Times New Roman" w:eastAsia="Times New Roman" w:cs="Times New Roman"/>
          <w:b/>
          <w:color w:val="000000"/>
          <w:sz w:val="20"/>
          <w:szCs w:val="18"/>
        </w:rPr>
        <w:t xml:space="preserve">una nota fiscal negativa de OGP puede efectivamente matar un proyecto</w:t>
      </w:r>
      <w:r>
        <w:rPr>
          <w:rFonts w:ascii="Times New Roman" w:hAnsi="Times New Roman" w:eastAsia="Times New Roman" w:cs="Times New Roman"/>
          <w:color w:val="000000"/>
          <w:sz w:val="20"/>
          <w:szCs w:val="18"/>
        </w:rPr>
        <w:t xml:space="preserve">. Ninguna plataforma comercial hace esto — sería un diferenciador inmediato.</w:t>
      </w:r>
      <w:r>
        <w:rPr>
          <w:sz w:val="18"/>
          <w:szCs w:val="18"/>
        </w:rPr>
      </w:r>
    </w:p>
    <w:p w14:paraId="61DAE8B6">
      <w:pPr>
        <w:pStyle w:val="141"/>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Prioridad 3 — Elevando a capacidad de nivel profesional</w:t>
      </w:r>
      <w:r>
        <w:rPr>
          <w:sz w:val="22"/>
          <w:szCs w:val="22"/>
        </w:rPr>
      </w:r>
    </w:p>
    <w:p w14:paraId="5AB009FD">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7. Seguimiento de la FOMB/Junta de Supervisión Fiscal.</w:t>
      </w:r>
      <w:r>
        <w:rPr>
          <w:rFonts w:ascii="Times New Roman" w:hAnsi="Times New Roman" w:eastAsia="Times New Roman" w:cs="Times New Roman"/>
          <w:color w:val="000000"/>
          <w:sz w:val="20"/>
          <w:szCs w:val="18"/>
        </w:rPr>
        <w:t xml:space="preserve"> Único de Puerto Rico, la FOMB puede rechazar legislación que conflija con el plan fiscal certificado. LWBETA debe rastrear declaraciones públicas de la FOMB, disposiciones del plan fiscal certificado relevantes para legislación pendiente, y cualquier acci</w:t>
      </w:r>
      <w:r>
        <w:rPr>
          <w:rFonts w:ascii="Times New Roman" w:hAnsi="Times New Roman" w:eastAsia="Times New Roman" w:cs="Times New Roman"/>
          <w:color w:val="000000"/>
          <w:sz w:val="20"/>
          <w:szCs w:val="18"/>
        </w:rPr>
        <w:t xml:space="preserve">ón formal de la junta sobre proyectos. </w:t>
      </w:r>
      <w:r>
        <w:rPr>
          <w:rFonts w:ascii="Times New Roman" w:hAnsi="Times New Roman" w:eastAsia="Times New Roman" w:cs="Times New Roman"/>
          <w:b/>
          <w:color w:val="000000"/>
          <w:sz w:val="20"/>
          <w:szCs w:val="18"/>
        </w:rPr>
        <w:t xml:space="preserve">Ignorar a la Junta significa ignorar al jugador de veto más poderoso del sistema</w:t>
      </w:r>
      <w:r>
        <w:rPr>
          <w:rFonts w:ascii="Times New Roman" w:hAnsi="Times New Roman" w:eastAsia="Times New Roman" w:cs="Times New Roman"/>
          <w:color w:val="000000"/>
          <w:sz w:val="20"/>
          <w:szCs w:val="18"/>
        </w:rPr>
        <w:t xml:space="preserve">. Esta función no tiene competencia en ninguna plataforma existente.</w:t>
      </w:r>
      <w:r>
        <w:rPr>
          <w:sz w:val="18"/>
          <w:szCs w:val="18"/>
        </w:rPr>
      </w:r>
    </w:p>
    <w:p w14:paraId="1E793C4A">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8. Seguimiento de votos con patrones históricos.</w:t>
      </w:r>
      <w:r>
        <w:rPr>
          <w:rFonts w:ascii="Times New Roman" w:hAnsi="Times New Roman" w:eastAsia="Times New Roman" w:cs="Times New Roman"/>
          <w:color w:val="000000"/>
          <w:sz w:val="20"/>
          <w:szCs w:val="18"/>
        </w:rPr>
        <w:t xml:space="preserve"> Registrar votaciones nominales de ambas cámaras, mostrar el historial de votación de cada legislador en asuntos rastreados y generar tarjetas de puntuación personalizadas.</w:t>
      </w:r>
      <w:r>
        <w:rPr>
          <w:sz w:val="18"/>
          <w:szCs w:val="18"/>
        </w:rPr>
      </w:r>
    </w:p>
    <w:p w14:paraId="5B1E7D3F">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9. Herramientas de cumplimiento de divulgación de cabildeo para PR.</w:t>
      </w:r>
      <w:r>
        <w:rPr>
          <w:rFonts w:ascii="Times New Roman" w:hAnsi="Times New Roman" w:eastAsia="Times New Roman" w:cs="Times New Roman"/>
          <w:color w:val="000000"/>
          <w:sz w:val="20"/>
          <w:szCs w:val="18"/>
        </w:rPr>
        <w:t xml:space="preserve"> Bajo la Ley 118-2003, los cabilderos deben registrarse ante la Oficina del Contralor y presentar informes periódicos. LWBETA debería proporcionar recordatorios de plazos, listas de verificación de presentación y seguimiento de actividades.</w:t>
      </w:r>
      <w:r>
        <w:rPr>
          <w:sz w:val="18"/>
          <w:szCs w:val="18"/>
        </w:rPr>
      </w:r>
    </w:p>
    <w:p w14:paraId="55937A21">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10. Interfaz completamente bilingüe (español/inglés).</w:t>
      </w:r>
      <w:r>
        <w:rPr>
          <w:rFonts w:ascii="Times New Roman" w:hAnsi="Times New Roman" w:eastAsia="Times New Roman" w:cs="Times New Roman"/>
          <w:color w:val="000000"/>
          <w:sz w:val="20"/>
          <w:szCs w:val="18"/>
        </w:rPr>
        <w:t xml:space="preserve"> Todo el contenido legislativo de PR está en español. LWBETA debe manejar el español nativamente, con búsqueda de proyectos funcionando en texto en español. Un toggle de inglés para resúmenes serviría a equipos corporativos de asuntos gubernamentales basad</w:t>
      </w:r>
      <w:r>
        <w:rPr>
          <w:rFonts w:ascii="Times New Roman" w:hAnsi="Times New Roman" w:eastAsia="Times New Roman" w:cs="Times New Roman"/>
          <w:color w:val="000000"/>
          <w:sz w:val="20"/>
          <w:szCs w:val="18"/>
        </w:rPr>
        <w:t xml:space="preserve">os en el continente. </w:t>
      </w:r>
      <w:r>
        <w:rPr>
          <w:rFonts w:ascii="Times New Roman" w:hAnsi="Times New Roman" w:eastAsia="Times New Roman" w:cs="Times New Roman"/>
          <w:b/>
          <w:color w:val="000000"/>
          <w:sz w:val="20"/>
          <w:szCs w:val="18"/>
        </w:rPr>
        <w:t xml:space="preserve">Ninguna plataforma competidora ofrece esta capacidad bilingüe</w:t>
      </w:r>
      <w:r>
        <w:rPr>
          <w:rFonts w:ascii="Times New Roman" w:hAnsi="Times New Roman" w:eastAsia="Times New Roman" w:cs="Times New Roman"/>
          <w:color w:val="000000"/>
          <w:sz w:val="20"/>
          <w:szCs w:val="18"/>
        </w:rPr>
        <w:t xml:space="preserve">.</w:t>
      </w:r>
      <w:r>
        <w:rPr>
          <w:sz w:val="18"/>
          <w:szCs w:val="18"/>
        </w:rPr>
      </w:r>
    </w:p>
    <w:p w14:paraId="37680F73">
      <w:pPr>
        <w:pStyle w:val="141"/>
        <w:pBdr>
          <w:top w:val="none" w:color="000000" w:sz="4" w:space="0"/>
          <w:left w:val="none" w:color="000000" w:sz="4" w:space="0"/>
          <w:bottom w:val="none" w:color="000000" w:sz="4" w:space="0"/>
          <w:right w:val="none" w:color="000000" w:sz="4" w:space="0"/>
        </w:pBdr>
        <w:spacing/>
        <w:ind w:right="0" w:firstLine="0" w:left="0"/>
        <w:rPr>
          <w:sz w:val="22"/>
          <w:szCs w:val="22"/>
        </w:rPr>
      </w:pPr>
      <w:r>
        <w:rPr>
          <w:rFonts w:ascii="Times New Roman" w:hAnsi="Times New Roman" w:eastAsia="Times New Roman" w:cs="Times New Roman"/>
          <w:b/>
          <w:color w:val="000000"/>
          <w:sz w:val="22"/>
          <w:szCs w:val="22"/>
        </w:rPr>
        <w:t xml:space="preserve">Prioridad 4 — Funciones avanzadas para liderazgo de mercado</w:t>
      </w:r>
      <w:r>
        <w:rPr>
          <w:sz w:val="22"/>
          <w:szCs w:val="22"/>
        </w:rPr>
      </w:r>
    </w:p>
    <w:p w14:paraId="3812DBB5">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11. Resumen de proyectos e análisis de impacto impulsado por IA.</w:t>
      </w:r>
      <w:r>
        <w:rPr>
          <w:rFonts w:ascii="Times New Roman" w:hAnsi="Times New Roman" w:eastAsia="Times New Roman" w:cs="Times New Roman"/>
          <w:color w:val="000000"/>
          <w:sz w:val="20"/>
          <w:szCs w:val="18"/>
        </w:rPr>
        <w:t xml:space="preserve"> Usar LLMs para generar resúmenes en lenguaje sencillo en español e inglés, identificar qué leyes de PR existentes serían modificadas, y señalar impactos potenciales por sector.</w:t>
      </w:r>
      <w:r>
        <w:rPr>
          <w:sz w:val="18"/>
          <w:szCs w:val="18"/>
        </w:rPr>
      </w:r>
    </w:p>
    <w:p w14:paraId="60FACDDF">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12. Comparación de documentos y seguimiento de enmiendas.</w:t>
      </w:r>
      <w:r>
        <w:rPr>
          <w:rFonts w:ascii="Times New Roman" w:hAnsi="Times New Roman" w:eastAsia="Times New Roman" w:cs="Times New Roman"/>
          <w:color w:val="000000"/>
          <w:sz w:val="20"/>
          <w:szCs w:val="18"/>
        </w:rPr>
        <w:t xml:space="preserve"> Permitir marcas de revisión lado a lado de versiones de proyectos — según introducido vs. según enmendado en comisión vs. según aprobado.</w:t>
      </w:r>
      <w:r>
        <w:rPr>
          <w:sz w:val="18"/>
          <w:szCs w:val="18"/>
        </w:rPr>
      </w:r>
    </w:p>
    <w:p w14:paraId="5298E314">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13. Herramientas de compromiso de base y coalición.</w:t>
      </w:r>
      <w:r>
        <w:rPr>
          <w:rFonts w:ascii="Times New Roman" w:hAnsi="Times New Roman" w:eastAsia="Times New Roman" w:cs="Times New Roman"/>
          <w:color w:val="000000"/>
          <w:sz w:val="20"/>
          <w:szCs w:val="18"/>
        </w:rPr>
        <w:t xml:space="preserve"> Permitir a organizaciones enviar alertas de acción a simpatizantes, emparejar constituyentes con sus legisladores de PR por municipio, y proporcionar mecanismos de contacto con un clic.</w:t>
      </w:r>
      <w:r>
        <w:rPr>
          <w:sz w:val="18"/>
          <w:szCs w:val="18"/>
        </w:rPr>
      </w:r>
    </w:p>
    <w:p w14:paraId="73B89783">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14. Seguimiento de órdenes ejecutivas y regulatorio.</w:t>
      </w:r>
      <w:r>
        <w:rPr>
          <w:rFonts w:ascii="Times New Roman" w:hAnsi="Times New Roman" w:eastAsia="Times New Roman" w:cs="Times New Roman"/>
          <w:color w:val="000000"/>
          <w:sz w:val="20"/>
          <w:szCs w:val="18"/>
        </w:rPr>
        <w:t xml:space="preserve"> Monitorear órdenes ejecutivas gubernatoriales, directrices administrativas de OGP y reglamentación de agencias.</w:t>
      </w:r>
      <w:r>
        <w:rPr>
          <w:sz w:val="18"/>
          <w:szCs w:val="18"/>
        </w:rPr>
      </w:r>
    </w:p>
    <w:p w14:paraId="0E2A015E">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b/>
          <w:color w:val="000000"/>
          <w:sz w:val="20"/>
          <w:szCs w:val="18"/>
        </w:rPr>
        <w:t xml:space="preserve">15. Tableros de informes y analíticas.</w:t>
      </w:r>
      <w:r>
        <w:rPr>
          <w:rFonts w:ascii="Times New Roman" w:hAnsi="Times New Roman" w:eastAsia="Times New Roman" w:cs="Times New Roman"/>
          <w:color w:val="000000"/>
          <w:sz w:val="20"/>
          <w:szCs w:val="18"/>
        </w:rPr>
        <w:t xml:space="preserve"> Generar informes personalizados para liderazgo, juntas directivas o clientes mostrando resúmenes de actividad legislativa, métricas de compromiso de defensa y seguimiento de resultados.</w:t>
      </w:r>
      <w:r>
        <w:rPr>
          <w:sz w:val="18"/>
          <w:szCs w:val="18"/>
        </w:rPr>
      </w:r>
    </w:p>
    <w:p w14:paraId="0C06E8E3">
      <w:pPr>
        <w:pStyle w:val="140"/>
        <w:pBdr>
          <w:top w:val="none" w:color="000000" w:sz="4" w:space="0"/>
          <w:left w:val="none" w:color="000000" w:sz="4" w:space="0"/>
          <w:bottom w:val="none" w:color="000000" w:sz="4" w:space="0"/>
          <w:right w:val="none" w:color="000000" w:sz="4" w:space="0"/>
        </w:pBdr>
        <w:spacing/>
        <w:ind w:right="0" w:firstLine="0" w:left="0"/>
        <w:rPr>
          <w:sz w:val="28"/>
          <w:szCs w:val="24"/>
        </w:rPr>
      </w:pPr>
      <w:r>
        <w:rPr>
          <w:rFonts w:ascii="Times New Roman" w:hAnsi="Times New Roman" w:eastAsia="Times New Roman" w:cs="Times New Roman"/>
          <w:b/>
          <w:color w:val="000000"/>
          <w:sz w:val="28"/>
          <w:szCs w:val="24"/>
        </w:rPr>
        <w:t xml:space="preserve">LWBETA ocupa una posición única y defendible</w:t>
      </w:r>
      <w:r>
        <w:rPr>
          <w:sz w:val="24"/>
          <w:szCs w:val="24"/>
        </w:rPr>
      </w:r>
    </w:p>
    <w:p w14:paraId="0DF9B21F">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color w:val="000000"/>
          <w:sz w:val="20"/>
          <w:szCs w:val="18"/>
        </w:rPr>
        <w:t xml:space="preserve">El análisis competitivo revela un hallazgo claro: </w:t>
      </w:r>
      <w:r>
        <w:rPr>
          <w:rFonts w:ascii="Times New Roman" w:hAnsi="Times New Roman" w:eastAsia="Times New Roman" w:cs="Times New Roman"/>
          <w:b/>
          <w:color w:val="000000"/>
          <w:sz w:val="20"/>
          <w:szCs w:val="18"/>
        </w:rPr>
        <w:t xml:space="preserve">el mercado de seguimiento legislativo de Puerto Rico está esencialmente sin atender</w:t>
      </w:r>
      <w:r>
        <w:rPr>
          <w:rFonts w:ascii="Times New Roman" w:hAnsi="Times New Roman" w:eastAsia="Times New Roman" w:cs="Times New Roman"/>
          <w:color w:val="000000"/>
          <w:sz w:val="20"/>
          <w:szCs w:val="18"/>
        </w:rPr>
        <w:t xml:space="preserve">. Las plataformas empresariales tratan a PR como un complemento. Las herramientas de código abierto tienen scrapers inconsistentes de PR. Ninguna plataforma maneja texto de proyectos en español de forma nativa. Ninguna plataforma rastrea notas fiscales de </w:t>
      </w:r>
      <w:r>
        <w:rPr>
          <w:rFonts w:ascii="Times New Roman" w:hAnsi="Times New Roman" w:eastAsia="Times New Roman" w:cs="Times New Roman"/>
          <w:color w:val="000000"/>
          <w:sz w:val="20"/>
          <w:szCs w:val="18"/>
        </w:rPr>
        <w:t xml:space="preserve">OGP ni acciones de la FOMB. Ninguna plataforma ofrece herramientas de cumplimiento de cabildeo específicas para PR.</w:t>
      </w:r>
      <w:r>
        <w:rPr>
          <w:sz w:val="18"/>
          <w:szCs w:val="18"/>
        </w:rPr>
      </w:r>
    </w:p>
    <w:p w14:paraId="0BDE7E14">
      <w:pPr>
        <w:pBdr>
          <w:top w:val="none" w:color="000000" w:sz="4" w:space="0"/>
          <w:left w:val="none" w:color="000000" w:sz="4" w:space="0"/>
          <w:bottom w:val="none" w:color="000000" w:sz="4" w:space="0"/>
          <w:right w:val="none" w:color="000000" w:sz="4" w:space="0"/>
        </w:pBdr>
        <w:spacing/>
        <w:ind w:right="0" w:firstLine="0" w:left="0"/>
        <w:rPr>
          <w:sz w:val="20"/>
          <w:szCs w:val="18"/>
        </w:rPr>
      </w:pPr>
      <w:r>
        <w:rPr>
          <w:rFonts w:ascii="Times New Roman" w:hAnsi="Times New Roman" w:eastAsia="Times New Roman" w:cs="Times New Roman"/>
          <w:color w:val="000000"/>
          <w:sz w:val="20"/>
          <w:szCs w:val="18"/>
        </w:rPr>
        <w:t xml:space="preserve">LWBETA no necesita superar a FiscalNote o Quorum en los 50 estados. Necesita ser </w:t>
      </w:r>
      <w:r>
        <w:rPr>
          <w:rFonts w:ascii="Times New Roman" w:hAnsi="Times New Roman" w:eastAsia="Times New Roman" w:cs="Times New Roman"/>
          <w:b/>
          <w:color w:val="000000"/>
          <w:sz w:val="20"/>
          <w:szCs w:val="18"/>
        </w:rPr>
        <w:t xml:space="preserve">definitivamente la mejor herramienta para cualquiera que haga trabajo legislativo en Puerto Rico</w:t>
      </w:r>
      <w:r>
        <w:rPr>
          <w:rFonts w:ascii="Times New Roman" w:hAnsi="Times New Roman" w:eastAsia="Times New Roman" w:cs="Times New Roman"/>
          <w:color w:val="000000"/>
          <w:sz w:val="20"/>
          <w:szCs w:val="18"/>
        </w:rPr>
        <w:t xml:space="preserve"> — cabilderos, defensores, equipos corporativos de asuntos gubernamentales, organizaciones cívicas, periodistas y los propios legisladores. La legislatura de 78 miembros, la dinámica multipartidaria, las restricciones fiscales de la FOMB y el contexto de i</w:t>
      </w:r>
      <w:r>
        <w:rPr>
          <w:rFonts w:ascii="Times New Roman" w:hAnsi="Times New Roman" w:eastAsia="Times New Roman" w:cs="Times New Roman"/>
          <w:color w:val="000000"/>
          <w:sz w:val="20"/>
          <w:szCs w:val="18"/>
        </w:rPr>
        <w:t xml:space="preserve">dioma español crean un nicho defendible. Una app que domine este contexto específico puede convertirse en la infraestructura indispensable para el ecosistema de asuntos gubernamentales de Puerto Rico.</w:t>
      </w:r>
      <w:r>
        <w:rPr>
          <w:sz w:val="18"/>
          <w:szCs w:val="18"/>
        </w:rPr>
      </w:r>
    </w:p>
    <w:p>
      <w:pPr>
        <w:pBdr/>
        <w:spacing/>
        <w:ind/>
        <w:rPr>
          <w:sz w:val="18"/>
          <w:szCs w:val="18"/>
        </w:rPr>
      </w:pPr>
      <w:r>
        <w:rPr>
          <w:sz w:val="18"/>
          <w:szCs w:val="18"/>
        </w:rPr>
      </w:r>
      <w:r>
        <w:rPr>
          <w:sz w:val="18"/>
          <w:szCs w:val="1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2026-03-07T05:52:34Z</dcterms:modified>
</cp:coreProperties>
</file>