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40" w:lineRule="auto"/>
        <w:rPr>
          <w:rFonts w:ascii="Google Sans" w:hAnsi="Google Sans" w:eastAsia="Google Sans" w:cs="Google Sans"/>
          <w:b/>
          <w:color w:val="0070C0"/>
          <w:u w:val="single"/>
        </w:rPr>
      </w:pPr>
    </w:p>
    <w:p w14:paraId="00000002">
      <w:pPr>
        <w:spacing w:before="200" w:after="200" w:line="360" w:lineRule="auto"/>
        <w:ind w:left="-360" w:right="-360" w:firstLine="0"/>
        <w:rPr>
          <w:rFonts w:hint="default" w:ascii="Times New Roman" w:hAnsi="Times New Roman" w:eastAsia="Google Sans" w:cs="Times New Roman"/>
          <w:b/>
          <w:color w:val="3C4043"/>
          <w:sz w:val="40"/>
          <w:szCs w:val="40"/>
        </w:rPr>
      </w:pPr>
      <w:r>
        <w:rPr>
          <w:rFonts w:hint="default" w:ascii="Times New Roman" w:hAnsi="Times New Roman" w:eastAsia="Google Sans" w:cs="Times New Roman"/>
          <w:b/>
          <w:color w:val="3C4043"/>
          <w:sz w:val="40"/>
          <w:szCs w:val="40"/>
          <w:rtl w:val="0"/>
        </w:rPr>
        <w:t>Incident report analysis</w:t>
      </w:r>
      <w:bookmarkStart w:id="0" w:name="_GoBack"/>
      <w:bookmarkEnd w:id="0"/>
    </w:p>
    <w:p w14:paraId="00000003">
      <w:pPr>
        <w:spacing w:after="200" w:line="360" w:lineRule="auto"/>
        <w:ind w:left="-360" w:right="-360" w:firstLine="0"/>
        <w:rPr>
          <w:rFonts w:hint="default" w:ascii="Times New Roman" w:hAnsi="Times New Roman" w:eastAsia="Google Sans" w:cs="Times New Roman"/>
          <w:sz w:val="24"/>
          <w:szCs w:val="24"/>
        </w:rPr>
      </w:pPr>
      <w:r>
        <w:rPr>
          <w:rFonts w:hint="default" w:ascii="Times New Roman" w:hAnsi="Times New Roman" w:eastAsia="Google Sans" w:cs="Times New Roman"/>
          <w:b/>
          <w:color w:val="34A853"/>
          <w:sz w:val="24"/>
          <w:szCs w:val="24"/>
          <w:rtl w:val="0"/>
        </w:rPr>
        <w:t>Instructions</w:t>
      </w:r>
    </w:p>
    <w:p w14:paraId="00000004">
      <w:pPr>
        <w:spacing w:after="200" w:line="360" w:lineRule="auto"/>
        <w:ind w:left="-360" w:right="-360" w:firstLine="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As you continue through this course, you may use this template to record your findings after completing an activity or just to take notes on what you've learned about a specific tool or concept. You can also use this chart as a way to continue practicing applying the NIST CSF framework to different situations you may encounter.</w:t>
      </w:r>
    </w:p>
    <w:tbl>
      <w:tblPr>
        <w:tblStyle w:val="14"/>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14:paraId="19EB74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05">
            <w:pPr>
              <w:widowControl w:val="0"/>
              <w:spacing w:line="360" w:lineRule="auto"/>
              <w:rPr>
                <w:rFonts w:hint="default" w:ascii="Times New Roman" w:hAnsi="Times New Roman" w:eastAsia="Google Sans" w:cs="Times New Roman"/>
                <w:b/>
              </w:rPr>
            </w:pPr>
            <w:r>
              <w:rPr>
                <w:rFonts w:hint="default" w:ascii="Times New Roman" w:hAnsi="Times New Roman" w:eastAsia="Google Sans" w:cs="Times New Roman"/>
                <w:b/>
                <w:rtl w:val="0"/>
              </w:rPr>
              <w:t>Summary</w:t>
            </w:r>
          </w:p>
        </w:tc>
        <w:tc>
          <w:tcPr>
            <w:shd w:val="clear" w:color="auto" w:fill="auto"/>
            <w:tcMar>
              <w:top w:w="100" w:type="dxa"/>
              <w:left w:w="100" w:type="dxa"/>
              <w:bottom w:w="100" w:type="dxa"/>
              <w:right w:w="100" w:type="dxa"/>
            </w:tcMar>
            <w:vAlign w:val="top"/>
          </w:tcPr>
          <w:p w14:paraId="00000006">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14:paraId="3C3588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09">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Identify</w:t>
            </w:r>
          </w:p>
        </w:tc>
        <w:tc>
          <w:tcPr>
            <w:shd w:val="clear" w:color="auto" w:fill="auto"/>
            <w:tcMar>
              <w:top w:w="100" w:type="dxa"/>
              <w:left w:w="100" w:type="dxa"/>
              <w:bottom w:w="100" w:type="dxa"/>
              <w:right w:w="100" w:type="dxa"/>
            </w:tcMar>
            <w:vAlign w:val="top"/>
          </w:tcPr>
          <w:p w14:paraId="0000000A">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A malicious actor or actors targeted the company with an ICMP flood attack. The entire internal network was affected. All critical network resources needed to be secured and restored to a functioning state.</w:t>
            </w:r>
          </w:p>
        </w:tc>
      </w:tr>
      <w:tr w14:paraId="1E386C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0D">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Protect</w:t>
            </w:r>
          </w:p>
        </w:tc>
        <w:tc>
          <w:tcPr>
            <w:shd w:val="clear" w:color="auto" w:fill="auto"/>
            <w:tcMar>
              <w:top w:w="100" w:type="dxa"/>
              <w:left w:w="100" w:type="dxa"/>
              <w:bottom w:w="100" w:type="dxa"/>
              <w:right w:w="100" w:type="dxa"/>
            </w:tcMar>
            <w:vAlign w:val="top"/>
          </w:tcPr>
          <w:p w14:paraId="0000000E">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The cybersecurity team implemented a new firewall rule to limit the rate of incoming ICMP packets and an IDS/IPS system to filter out some ICMP traffic based on suspicious characteristics.</w:t>
            </w:r>
          </w:p>
        </w:tc>
      </w:tr>
      <w:tr w14:paraId="4A5504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1" w:hRule="atLeast"/>
        </w:trPr>
        <w:tc>
          <w:tcPr>
            <w:shd w:val="clear" w:color="auto" w:fill="auto"/>
            <w:tcMar>
              <w:top w:w="100" w:type="dxa"/>
              <w:left w:w="100" w:type="dxa"/>
              <w:bottom w:w="100" w:type="dxa"/>
              <w:right w:w="100" w:type="dxa"/>
            </w:tcMar>
            <w:vAlign w:val="top"/>
          </w:tcPr>
          <w:p w14:paraId="00000011">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Detect</w:t>
            </w:r>
          </w:p>
        </w:tc>
        <w:tc>
          <w:tcPr>
            <w:shd w:val="clear" w:color="auto" w:fill="auto"/>
            <w:tcMar>
              <w:top w:w="100" w:type="dxa"/>
              <w:left w:w="100" w:type="dxa"/>
              <w:bottom w:w="100" w:type="dxa"/>
              <w:right w:w="100" w:type="dxa"/>
            </w:tcMar>
            <w:vAlign w:val="top"/>
          </w:tcPr>
          <w:p w14:paraId="00000012">
            <w:pPr>
              <w:widowControl w:val="0"/>
              <w:spacing w:line="360" w:lineRule="auto"/>
              <w:ind w:left="0" w:firstLine="0"/>
              <w:rPr>
                <w:rFonts w:hint="default" w:ascii="Times New Roman" w:hAnsi="Times New Roman" w:eastAsia="Google Sans" w:cs="Times New Roman"/>
              </w:rPr>
            </w:pPr>
            <w:r>
              <w:rPr>
                <w:rFonts w:hint="default" w:ascii="Times New Roman" w:hAnsi="Times New Roman" w:eastAsia="Google Sans" w:cs="Times New Roman"/>
                <w:rtl w:val="0"/>
              </w:rPr>
              <w:t xml:space="preserve">The cybersecurity team configured source IP address verification on the firewall to check for spoofed IP addresses on incoming ICMP packets and implemented network monitoring software to detect abnormal traffic patterns. </w:t>
            </w:r>
          </w:p>
        </w:tc>
      </w:tr>
      <w:tr w14:paraId="7B496C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15">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Respond</w:t>
            </w:r>
          </w:p>
        </w:tc>
        <w:tc>
          <w:tcPr>
            <w:shd w:val="clear" w:color="auto" w:fill="auto"/>
            <w:tcMar>
              <w:top w:w="100" w:type="dxa"/>
              <w:left w:w="100" w:type="dxa"/>
              <w:bottom w:w="100" w:type="dxa"/>
              <w:right w:w="100" w:type="dxa"/>
            </w:tcMar>
            <w:vAlign w:val="top"/>
          </w:tcPr>
          <w:p w14:paraId="00000016">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14:paraId="74B55B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19">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Recover</w:t>
            </w:r>
          </w:p>
        </w:tc>
        <w:tc>
          <w:tcPr>
            <w:shd w:val="clear" w:color="auto" w:fill="auto"/>
            <w:tcMar>
              <w:top w:w="100" w:type="dxa"/>
              <w:left w:w="100" w:type="dxa"/>
              <w:bottom w:w="100" w:type="dxa"/>
              <w:right w:w="100" w:type="dxa"/>
            </w:tcMar>
            <w:vAlign w:val="top"/>
          </w:tcPr>
          <w:p w14:paraId="0000001A">
            <w:pPr>
              <w:widowControl w:val="0"/>
              <w:spacing w:line="360" w:lineRule="auto"/>
              <w:rPr>
                <w:rFonts w:hint="default" w:ascii="Times New Roman" w:hAnsi="Times New Roman" w:eastAsia="Google Sans" w:cs="Times New Roman"/>
              </w:rPr>
            </w:pPr>
            <w:r>
              <w:rPr>
                <w:rFonts w:hint="default" w:ascii="Times New Roman" w:hAnsi="Times New Roman" w:eastAsia="Google Sans" w:cs="Times New Roman"/>
                <w:rtl w:val="0"/>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0000001D">
      <w:pPr>
        <w:spacing w:after="200" w:line="360" w:lineRule="auto"/>
        <w:ind w:left="-360" w:right="-360" w:firstLine="0"/>
        <w:rPr>
          <w:rFonts w:hint="default" w:ascii="Times New Roman" w:hAnsi="Times New Roman" w:eastAsia="Google Sans" w:cs="Times New Roman"/>
        </w:rPr>
      </w:pPr>
    </w:p>
    <w:p w14:paraId="0000001E">
      <w:pPr>
        <w:spacing w:after="200" w:line="360" w:lineRule="auto"/>
        <w:ind w:left="-360" w:right="-360" w:firstLine="0"/>
        <w:rPr>
          <w:rFonts w:hint="default" w:ascii="Times New Roman" w:hAnsi="Times New Roman" w:eastAsia="Google Sans" w:cs="Times New Roman"/>
        </w:rPr>
      </w:pPr>
      <w:r>
        <w:rPr>
          <w:rFonts w:hint="default"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1F">
      <w:pPr>
        <w:spacing w:line="360" w:lineRule="auto"/>
        <w:ind w:left="-360" w:right="-360" w:firstLine="0"/>
        <w:rPr>
          <w:rFonts w:hint="default" w:ascii="Times New Roman" w:hAnsi="Times New Roman" w:eastAsia="Google Sans" w:cs="Times New Roman"/>
        </w:rPr>
      </w:pPr>
    </w:p>
    <w:tbl>
      <w:tblPr>
        <w:tblStyle w:val="15"/>
        <w:tblW w:w="10065"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65"/>
      </w:tblGrid>
      <w:tr w14:paraId="081FD5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Google Sans" w:cs="Times New Roman"/>
              </w:rPr>
            </w:pPr>
            <w:r>
              <w:rPr>
                <w:rFonts w:hint="default" w:ascii="Times New Roman" w:hAnsi="Times New Roman" w:eastAsia="Google Sans" w:cs="Times New Roman"/>
                <w:rtl w:val="0"/>
              </w:rPr>
              <w:t>Reflections/Notes:</w:t>
            </w:r>
          </w:p>
        </w:tc>
      </w:tr>
    </w:tbl>
    <w:p w14:paraId="00000021">
      <w:pPr>
        <w:spacing w:line="360" w:lineRule="auto"/>
        <w:ind w:left="-360" w:right="-360" w:firstLine="0"/>
        <w:rPr>
          <w:rFonts w:ascii="Google Sans" w:hAnsi="Google Sans" w:eastAsia="Google Sans" w:cs="Google Sans"/>
        </w:rPr>
      </w:pPr>
    </w:p>
    <w:sectPr>
      <w:headerReference r:id="rId5" w:type="firs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3">
    <w:pPr>
      <w:rPr>
        <w:rFonts w:hint="default"/>
        <w:lang w:val="en-US"/>
      </w:rPr>
    </w:pPr>
    <w:r>
      <w:rPr>
        <w:rFonts w:hint="default"/>
        <w:lang w:val="en-US"/>
      </w:rPr>
      <w:t xml:space="preserve"> </w:t>
    </w:r>
  </w:p>
  <w:p w14:paraId="249A51E4">
    <w:pPr>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1D176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2</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2024-08-31T14:48:32Z</dcterms:created>
  <dc:creator>n</dc:creator>
  <cp:lastModifiedBy>n</cp:lastModifiedBy>
  <dcterms:modified xsi:type="dcterms:W3CDTF">2024-08-31T14:51:29Z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2068EBCE32BC4FABA9C8F4B979604ECE_13</vt:lpwstr>
  </property>
</Properties>
</file>