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“Variation Among Fitness-Related Traits in Different Butterfly Species in Comparison to Their Nutritional Intake”</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Jonathan Mitchell </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BIOL 461</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April, 2022</w:t>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Makayla Ball</w:t>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19">
      <w:pPr>
        <w:spacing w:line="480" w:lineRule="auto"/>
        <w:ind w:firstLine="720"/>
        <w:rPr>
          <w:rFonts w:ascii="Times New Roman" w:cs="Times New Roman" w:eastAsia="Times New Roman" w:hAnsi="Times New Roman"/>
          <w:color w:val="1c1d1e"/>
          <w:sz w:val="24"/>
          <w:szCs w:val="24"/>
        </w:rPr>
      </w:pPr>
      <w:r w:rsidDel="00000000" w:rsidR="00000000" w:rsidRPr="00000000">
        <w:rPr>
          <w:rFonts w:ascii="Times New Roman" w:cs="Times New Roman" w:eastAsia="Times New Roman" w:hAnsi="Times New Roman"/>
          <w:color w:val="1c1d1e"/>
          <w:sz w:val="24"/>
          <w:szCs w:val="24"/>
          <w:highlight w:val="white"/>
          <w:rtl w:val="0"/>
        </w:rPr>
        <w:t xml:space="preserve">Over the course of time, an analytical framework known as the life-history theory has focused heavily on why variation occurs so widely in fitness-related traits among organisms </w:t>
      </w:r>
      <w:r w:rsidDel="00000000" w:rsidR="00000000" w:rsidRPr="00000000">
        <w:rPr>
          <w:rFonts w:ascii="Times New Roman" w:cs="Times New Roman" w:eastAsia="Times New Roman" w:hAnsi="Times New Roman"/>
          <w:color w:val="1c1d1e"/>
          <w:sz w:val="24"/>
          <w:szCs w:val="24"/>
          <w:rtl w:val="0"/>
        </w:rPr>
        <w:t xml:space="preserve">(</w:t>
      </w:r>
      <w:r w:rsidDel="00000000" w:rsidR="00000000" w:rsidRPr="00000000">
        <w:rPr>
          <w:rFonts w:ascii="Times New Roman" w:cs="Times New Roman" w:eastAsia="Times New Roman" w:hAnsi="Times New Roman"/>
          <w:color w:val="333333"/>
          <w:sz w:val="24"/>
          <w:szCs w:val="24"/>
          <w:rtl w:val="0"/>
        </w:rPr>
        <w:t xml:space="preserve">Snell‐Rood et al., 2015</w:t>
      </w:r>
      <w:r w:rsidDel="00000000" w:rsidR="00000000" w:rsidRPr="00000000">
        <w:rPr>
          <w:rFonts w:ascii="Times New Roman" w:cs="Times New Roman" w:eastAsia="Times New Roman" w:hAnsi="Times New Roman"/>
          <w:color w:val="1c1d1e"/>
          <w:sz w:val="24"/>
          <w:szCs w:val="24"/>
          <w:rtl w:val="0"/>
        </w:rPr>
        <w:t xml:space="preserve">)</w:t>
      </w:r>
      <w:r w:rsidDel="00000000" w:rsidR="00000000" w:rsidRPr="00000000">
        <w:rPr>
          <w:rFonts w:ascii="Times New Roman" w:cs="Times New Roman" w:eastAsia="Times New Roman" w:hAnsi="Times New Roman"/>
          <w:color w:val="1c1d1e"/>
          <w:sz w:val="24"/>
          <w:szCs w:val="24"/>
          <w:rtl w:val="0"/>
        </w:rPr>
        <w:t xml:space="preserve">.</w:t>
      </w:r>
      <w:r w:rsidDel="00000000" w:rsidR="00000000" w:rsidRPr="00000000">
        <w:rPr>
          <w:rFonts w:ascii="Times New Roman" w:cs="Times New Roman" w:eastAsia="Times New Roman" w:hAnsi="Times New Roman"/>
          <w:color w:val="1c1d1e"/>
          <w:sz w:val="24"/>
          <w:szCs w:val="24"/>
          <w:highlight w:val="white"/>
          <w:rtl w:val="0"/>
        </w:rPr>
        <w:t xml:space="preserve"> Traits such as wing length and eye size in butterflies show a wide range of variation among species and some studies show that nutritional intake could be linked to variation in traits that impact fitness among butterfly species.</w:t>
      </w:r>
      <w:r w:rsidDel="00000000" w:rsidR="00000000" w:rsidRPr="00000000">
        <w:rPr>
          <w:rFonts w:ascii="Times New Roman" w:cs="Times New Roman" w:eastAsia="Times New Roman" w:hAnsi="Times New Roman"/>
          <w:color w:val="1c1d1e"/>
          <w:sz w:val="24"/>
          <w:szCs w:val="24"/>
          <w:highlight w:val="white"/>
          <w:rtl w:val="0"/>
        </w:rPr>
        <w:t xml:space="preserve"> One such example, n</w:t>
      </w:r>
      <w:r w:rsidDel="00000000" w:rsidR="00000000" w:rsidRPr="00000000">
        <w:rPr>
          <w:rFonts w:ascii="Times New Roman" w:cs="Times New Roman" w:eastAsia="Times New Roman" w:hAnsi="Times New Roman"/>
          <w:color w:val="1c1d1e"/>
          <w:sz w:val="24"/>
          <w:szCs w:val="24"/>
          <w:highlight w:val="white"/>
          <w:rtl w:val="0"/>
        </w:rPr>
        <w:t xml:space="preserve">itrogen, is an essential nutrient for butterflies as it plays an important role</w:t>
      </w:r>
      <w:r w:rsidDel="00000000" w:rsidR="00000000" w:rsidRPr="00000000">
        <w:rPr>
          <w:rFonts w:ascii="Times New Roman" w:cs="Times New Roman" w:eastAsia="Times New Roman" w:hAnsi="Times New Roman"/>
          <w:color w:val="1c1d1e"/>
          <w:sz w:val="24"/>
          <w:szCs w:val="24"/>
          <w:highlight w:val="white"/>
          <w:rtl w:val="0"/>
        </w:rPr>
        <w:t xml:space="preserve"> in growth rates and competitive ability (</w:t>
      </w:r>
      <w:r w:rsidDel="00000000" w:rsidR="00000000" w:rsidRPr="00000000">
        <w:rPr>
          <w:rFonts w:ascii="Times New Roman" w:cs="Times New Roman" w:eastAsia="Times New Roman" w:hAnsi="Times New Roman"/>
          <w:sz w:val="24"/>
          <w:szCs w:val="24"/>
          <w:rtl w:val="0"/>
        </w:rPr>
        <w:t xml:space="preserve">Borer et al., 2013</w:t>
      </w:r>
      <w:r w:rsidDel="00000000" w:rsidR="00000000" w:rsidRPr="00000000">
        <w:rPr>
          <w:rFonts w:ascii="Times New Roman" w:cs="Times New Roman" w:eastAsia="Times New Roman" w:hAnsi="Times New Roman"/>
          <w:color w:val="1c1d1e"/>
          <w:sz w:val="24"/>
          <w:szCs w:val="24"/>
          <w:highlight w:val="white"/>
          <w:rtl w:val="0"/>
        </w:rPr>
        <w:t xml:space="preserve">). This fundamental element can affect herbivore populations and make them function optimally when introduced to the appropriate amount, controlling the species diversity as well as species dynamics</w:t>
      </w:r>
      <w:r w:rsidDel="00000000" w:rsidR="00000000" w:rsidRPr="00000000">
        <w:rPr>
          <w:rFonts w:ascii="Times New Roman" w:cs="Times New Roman" w:eastAsia="Times New Roman" w:hAnsi="Times New Roman"/>
          <w:color w:val="1c1d1e"/>
          <w:sz w:val="24"/>
          <w:szCs w:val="24"/>
          <w:rtl w:val="0"/>
        </w:rPr>
        <w:t xml:space="preserve"> (</w:t>
      </w:r>
      <w:r w:rsidDel="00000000" w:rsidR="00000000" w:rsidRPr="00000000">
        <w:rPr>
          <w:rFonts w:ascii="Times New Roman" w:cs="Times New Roman" w:eastAsia="Times New Roman" w:hAnsi="Times New Roman"/>
          <w:color w:val="333333"/>
          <w:sz w:val="24"/>
          <w:szCs w:val="24"/>
          <w:rtl w:val="0"/>
        </w:rPr>
        <w:t xml:space="preserve">Vitousek et al., 1997</w:t>
      </w:r>
      <w:r w:rsidDel="00000000" w:rsidR="00000000" w:rsidRPr="00000000">
        <w:rPr>
          <w:rFonts w:ascii="Times New Roman" w:cs="Times New Roman" w:eastAsia="Times New Roman" w:hAnsi="Times New Roman"/>
          <w:color w:val="1c1d1e"/>
          <w:sz w:val="24"/>
          <w:szCs w:val="24"/>
          <w:rtl w:val="0"/>
        </w:rPr>
        <w:t xml:space="preserve">).</w:t>
      </w:r>
      <w:r w:rsidDel="00000000" w:rsidR="00000000" w:rsidRPr="00000000">
        <w:rPr>
          <w:rFonts w:ascii="Times New Roman" w:cs="Times New Roman" w:eastAsia="Times New Roman" w:hAnsi="Times New Roman"/>
          <w:color w:val="1c1d1e"/>
          <w:sz w:val="24"/>
          <w:szCs w:val="24"/>
          <w:highlight w:val="white"/>
          <w:rtl w:val="0"/>
        </w:rPr>
        <w:t xml:space="preserve"> </w:t>
      </w:r>
      <w:r w:rsidDel="00000000" w:rsidR="00000000" w:rsidRPr="00000000">
        <w:rPr>
          <w:rFonts w:ascii="Times New Roman" w:cs="Times New Roman" w:eastAsia="Times New Roman" w:hAnsi="Times New Roman"/>
          <w:color w:val="1c1d1e"/>
          <w:sz w:val="24"/>
          <w:szCs w:val="24"/>
          <w:highlight w:val="white"/>
          <w:rtl w:val="0"/>
        </w:rPr>
        <w:t xml:space="preserve">Two variables being looked at in this study</w:t>
      </w:r>
      <w:r w:rsidDel="00000000" w:rsidR="00000000" w:rsidRPr="00000000">
        <w:rPr>
          <w:rFonts w:ascii="Times New Roman" w:cs="Times New Roman" w:eastAsia="Times New Roman" w:hAnsi="Times New Roman"/>
          <w:color w:val="1c1d1e"/>
          <w:sz w:val="24"/>
          <w:szCs w:val="24"/>
          <w:highlight w:val="white"/>
          <w:rtl w:val="0"/>
        </w:rPr>
        <w:t xml:space="preserve"> are eye width and wing length of butterflies. </w:t>
      </w:r>
      <w:r w:rsidDel="00000000" w:rsidR="00000000" w:rsidRPr="00000000">
        <w:rPr>
          <w:rFonts w:ascii="Times New Roman" w:cs="Times New Roman" w:eastAsia="Times New Roman" w:hAnsi="Times New Roman"/>
          <w:color w:val="1c1d1e"/>
          <w:sz w:val="24"/>
          <w:szCs w:val="24"/>
          <w:rtl w:val="0"/>
        </w:rPr>
        <w:t xml:space="preserve">We are interested in the eye width of the butterflies because vision is an important factor for both male and female butterflies. For males, vision is an important aspect for whether or not he will find a mate </w:t>
      </w:r>
      <w:r w:rsidDel="00000000" w:rsidR="00000000" w:rsidRPr="00000000">
        <w:rPr>
          <w:rFonts w:ascii="Times New Roman" w:cs="Times New Roman" w:eastAsia="Times New Roman" w:hAnsi="Times New Roman"/>
          <w:color w:val="333333"/>
          <w:sz w:val="24"/>
          <w:szCs w:val="24"/>
          <w:rtl w:val="0"/>
        </w:rPr>
        <w:t xml:space="preserve">(Rutowski et al., 2001)</w:t>
      </w:r>
      <w:r w:rsidDel="00000000" w:rsidR="00000000" w:rsidRPr="00000000">
        <w:rPr>
          <w:rFonts w:ascii="Times New Roman" w:cs="Times New Roman" w:eastAsia="Times New Roman" w:hAnsi="Times New Roman"/>
          <w:color w:val="1c1d1e"/>
          <w:sz w:val="24"/>
          <w:szCs w:val="24"/>
          <w:rtl w:val="0"/>
        </w:rPr>
        <w:t xml:space="preserve">. For females, vision is important for host finding, and both of these traits are important parts of fitness among these species (</w:t>
      </w:r>
      <w:r w:rsidDel="00000000" w:rsidR="00000000" w:rsidRPr="00000000">
        <w:rPr>
          <w:rFonts w:ascii="Times New Roman" w:cs="Times New Roman" w:eastAsia="Times New Roman" w:hAnsi="Times New Roman"/>
          <w:sz w:val="24"/>
          <w:szCs w:val="24"/>
          <w:rtl w:val="0"/>
        </w:rPr>
        <w:t xml:space="preserve">Papaj et al., 1987)</w:t>
      </w:r>
      <w:r w:rsidDel="00000000" w:rsidR="00000000" w:rsidRPr="00000000">
        <w:rPr>
          <w:rFonts w:ascii="Times New Roman" w:cs="Times New Roman" w:eastAsia="Times New Roman" w:hAnsi="Times New Roman"/>
          <w:color w:val="1c1d1e"/>
          <w:sz w:val="24"/>
          <w:szCs w:val="24"/>
          <w:rtl w:val="0"/>
        </w:rPr>
        <w:t xml:space="preserve">. Wing length was the other variable of interest, and it is being used as a measure of body size and is important for investment in maintenance, reproduction, and survival (</w:t>
      </w:r>
      <w:r w:rsidDel="00000000" w:rsidR="00000000" w:rsidRPr="00000000">
        <w:rPr>
          <w:rFonts w:ascii="Times New Roman" w:cs="Times New Roman" w:eastAsia="Times New Roman" w:hAnsi="Times New Roman"/>
          <w:sz w:val="24"/>
          <w:szCs w:val="24"/>
          <w:rtl w:val="0"/>
        </w:rPr>
        <w:t xml:space="preserve">Swanson et al., 2016</w:t>
      </w:r>
      <w:r w:rsidDel="00000000" w:rsidR="00000000" w:rsidRPr="00000000">
        <w:rPr>
          <w:rFonts w:ascii="Times New Roman" w:cs="Times New Roman" w:eastAsia="Times New Roman" w:hAnsi="Times New Roman"/>
          <w:color w:val="1c1d1e"/>
          <w:sz w:val="24"/>
          <w:szCs w:val="24"/>
          <w:rtl w:val="0"/>
        </w:rPr>
        <w:t xml:space="preserve">). </w:t>
      </w:r>
      <w:r w:rsidDel="00000000" w:rsidR="00000000" w:rsidRPr="00000000">
        <w:rPr>
          <w:rtl w:val="0"/>
        </w:rPr>
      </w:r>
    </w:p>
    <w:p w:rsidR="00000000" w:rsidDel="00000000" w:rsidP="00000000" w:rsidRDefault="00000000" w:rsidRPr="00000000" w14:paraId="0000001A">
      <w:pPr>
        <w:spacing w:line="480" w:lineRule="auto"/>
        <w:ind w:firstLine="720"/>
        <w:rPr>
          <w:rFonts w:ascii="Times New Roman" w:cs="Times New Roman" w:eastAsia="Times New Roman" w:hAnsi="Times New Roman"/>
          <w:color w:val="1c1d1e"/>
          <w:sz w:val="24"/>
          <w:szCs w:val="24"/>
          <w:highlight w:val="white"/>
        </w:rPr>
      </w:pPr>
      <w:r w:rsidDel="00000000" w:rsidR="00000000" w:rsidRPr="00000000">
        <w:rPr>
          <w:rFonts w:ascii="Times New Roman" w:cs="Times New Roman" w:eastAsia="Times New Roman" w:hAnsi="Times New Roman"/>
          <w:color w:val="1c1d1e"/>
          <w:sz w:val="24"/>
          <w:szCs w:val="24"/>
          <w:highlight w:val="white"/>
          <w:rtl w:val="0"/>
        </w:rPr>
        <w:t xml:space="preserve">In this study, multiple tests were performed to test whether or not the amount of nitrogen our butterfly species were receiving would have a positive correlation to eye width and wing length.</w:t>
      </w:r>
      <w:r w:rsidDel="00000000" w:rsidR="00000000" w:rsidRPr="00000000">
        <w:rPr>
          <w:rFonts w:ascii="Times New Roman" w:cs="Times New Roman" w:eastAsia="Times New Roman" w:hAnsi="Times New Roman"/>
          <w:color w:val="1c1d1e"/>
          <w:sz w:val="24"/>
          <w:szCs w:val="24"/>
          <w:highlight w:val="white"/>
          <w:rtl w:val="0"/>
        </w:rPr>
        <w:t xml:space="preserve"> First, two Pearson correlations were conducted among butterfly species</w:t>
      </w:r>
      <w:r w:rsidDel="00000000" w:rsidR="00000000" w:rsidRPr="00000000">
        <w:rPr>
          <w:rFonts w:ascii="Times New Roman" w:cs="Times New Roman" w:eastAsia="Times New Roman" w:hAnsi="Times New Roman"/>
          <w:color w:val="1c1d1e"/>
          <w:sz w:val="24"/>
          <w:szCs w:val="24"/>
          <w:highlight w:val="white"/>
          <w:rtl w:val="0"/>
        </w:rPr>
        <w:t xml:space="preserve"> to test the correlation between the variables of interest. Two Spearman’s correlations were also conducted as well as two Kendall’s correlations. The three types of correlation tests were run to confirm whether or not there was a correlation among the variables. Aside from the correlation tests, two X-Y Scatter plots were created to look at the variables of interest. We expect to see larger eye width and larger wing length for species </w:t>
      </w:r>
      <w:r w:rsidDel="00000000" w:rsidR="00000000" w:rsidRPr="00000000">
        <w:rPr>
          <w:rFonts w:ascii="Times New Roman" w:cs="Times New Roman" w:eastAsia="Times New Roman" w:hAnsi="Times New Roman"/>
          <w:color w:val="1c1d1e"/>
          <w:sz w:val="24"/>
          <w:szCs w:val="24"/>
          <w:highlight w:val="white"/>
          <w:rtl w:val="0"/>
        </w:rPr>
        <w:t xml:space="preserve">that receive larger amounts of nitrogen intake. </w:t>
      </w: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 and Methods</w:t>
      </w:r>
      <w:r w:rsidDel="00000000" w:rsidR="00000000" w:rsidRPr="00000000">
        <w:rPr>
          <w:rtl w:val="0"/>
        </w:rPr>
      </w:r>
    </w:p>
    <w:p w:rsidR="00000000" w:rsidDel="00000000" w:rsidP="00000000" w:rsidRDefault="00000000" w:rsidRPr="00000000" w14:paraId="0000001D">
      <w:pPr>
        <w:spacing w:line="48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Collection</w:t>
      </w:r>
    </w:p>
    <w:p w:rsidR="00000000" w:rsidDel="00000000" w:rsidP="00000000" w:rsidRDefault="00000000" w:rsidRPr="00000000" w14:paraId="0000001E">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Sampling was done for 96 butterfly species, and a total of 1,162 individuals. Field caught live species were taken from 11 different states from the United States and taken back to the laboratory in sealed containers until ready for dissection, and museum specimens were collected from the University of Minnesota Insect Collection Department of Entomology from 25 different states from the United States along with 6% of the specimens being from Canada, Central, and South America. Museum specimens collection dates ranged from 1899 to 2010. Eye width for museum specimens were measured by orienting the butterflies face-on under a microscope and measuring each eye as the distance from where the eye meets the head, to the furthest distance from the midline. Both eyes were measured as a way to ensure proper orientation of the species. Wing length on museum specimens were measured from the articulation of the forewing with the thorax to the wing apex. In field caught species, the eye width was measured the same as for museum specimens, and the wings were completely removed and placed flat for measuring following the same initial guidelines as the museum specimens. </w:t>
      </w:r>
    </w:p>
    <w:p w:rsidR="00000000" w:rsidDel="00000000" w:rsidP="00000000" w:rsidRDefault="00000000" w:rsidRPr="00000000" w14:paraId="0000001F">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 on nitrogen in plants was obtained</w:t>
      </w:r>
      <w:r w:rsidDel="00000000" w:rsidR="00000000" w:rsidRPr="00000000">
        <w:rPr>
          <w:rFonts w:ascii="Times New Roman" w:cs="Times New Roman" w:eastAsia="Times New Roman" w:hAnsi="Times New Roman"/>
          <w:sz w:val="24"/>
          <w:szCs w:val="24"/>
          <w:rtl w:val="0"/>
        </w:rPr>
        <w:t xml:space="preserve"> from an outside source</w:t>
      </w:r>
      <w:r w:rsidDel="00000000" w:rsidR="00000000" w:rsidRPr="00000000">
        <w:rPr>
          <w:rFonts w:ascii="Times New Roman" w:cs="Times New Roman" w:eastAsia="Times New Roman" w:hAnsi="Times New Roman"/>
          <w:sz w:val="24"/>
          <w:szCs w:val="24"/>
          <w:rtl w:val="0"/>
        </w:rPr>
        <w:t xml:space="preserve"> (Borer et al., 2013). 117 host plants were collected for sampling from 8 different states among the United States, collections were based off of the percentage of nutrient content within the dried leaf samples. </w:t>
      </w:r>
      <w:r w:rsidDel="00000000" w:rsidR="00000000" w:rsidRPr="00000000">
        <w:rPr>
          <w:rFonts w:ascii="Times New Roman" w:cs="Times New Roman" w:eastAsia="Times New Roman" w:hAnsi="Times New Roman"/>
          <w:sz w:val="24"/>
          <w:szCs w:val="24"/>
          <w:rtl w:val="0"/>
        </w:rPr>
        <w:t xml:space="preserve">Plant nitrogen values </w:t>
      </w:r>
      <w:r w:rsidDel="00000000" w:rsidR="00000000" w:rsidRPr="00000000">
        <w:rPr>
          <w:rFonts w:ascii="Times New Roman" w:cs="Times New Roman" w:eastAsia="Times New Roman" w:hAnsi="Times New Roman"/>
          <w:sz w:val="24"/>
          <w:szCs w:val="24"/>
          <w:rtl w:val="0"/>
        </w:rPr>
        <w:t xml:space="preserve">were calculated at the family level and were averaged for all samples of the given family.</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color w:val="1c1d1e"/>
          <w:sz w:val="24"/>
          <w:szCs w:val="24"/>
          <w:highlight w:val="white"/>
          <w:rtl w:val="0"/>
        </w:rPr>
        <w:t xml:space="preserve">The length of time species have been adapting to their present diet does not matter, which may suggest that nutrition could be a fundamental constraint on life-history evolution in some lineages (</w:t>
      </w:r>
      <w:r w:rsidDel="00000000" w:rsidR="00000000" w:rsidRPr="00000000">
        <w:rPr>
          <w:rFonts w:ascii="Times New Roman" w:cs="Times New Roman" w:eastAsia="Times New Roman" w:hAnsi="Times New Roman"/>
          <w:sz w:val="24"/>
          <w:szCs w:val="24"/>
          <w:rtl w:val="0"/>
        </w:rPr>
        <w:t xml:space="preserve">Swanson et al., 2016</w:t>
      </w:r>
      <w:r w:rsidDel="00000000" w:rsidR="00000000" w:rsidRPr="00000000">
        <w:rPr>
          <w:rFonts w:ascii="Times New Roman" w:cs="Times New Roman" w:eastAsia="Times New Roman" w:hAnsi="Times New Roman"/>
          <w:color w:val="1c1d1e"/>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 phylogenetic tree was constructed for all 96 species in this study using the “phytools” package in RStudio (RStudio Team, 2022).  The tree of all butterfly species is shown in Figure 1. </w:t>
      </w:r>
    </w:p>
    <w:p w:rsidR="00000000" w:rsidDel="00000000" w:rsidP="00000000" w:rsidRDefault="00000000" w:rsidRPr="00000000" w14:paraId="00000020">
      <w:pPr>
        <w:spacing w:line="48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Correlation tests</w:t>
      </w:r>
    </w:p>
    <w:p w:rsidR="00000000" w:rsidDel="00000000" w:rsidP="00000000" w:rsidRDefault="00000000" w:rsidRPr="00000000" w14:paraId="00000021">
      <w:pPr>
        <w:spacing w:line="480" w:lineRule="auto"/>
        <w:ind w:firstLine="72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 series of correlation tests were performed in this study including two Pearson’s correlations, two Spearman’s correlations, and two Kendall’s correlations. We tested two separate variables in comparison to nitrogen intake for each type of correlation, resulting in a total of 6 correlations.</w:t>
      </w:r>
      <w:r w:rsidDel="00000000" w:rsidR="00000000" w:rsidRPr="00000000">
        <w:rPr>
          <w:rFonts w:ascii="Times New Roman" w:cs="Times New Roman" w:eastAsia="Times New Roman" w:hAnsi="Times New Roman"/>
          <w:sz w:val="24"/>
          <w:szCs w:val="24"/>
          <w:rtl w:val="0"/>
        </w:rPr>
        <w:t xml:space="preserve"> The first correlation compared the correlation between nitrogen intake and average eye width among all species, this was done for each of the three types of correlations. The second correlation compared the nitrogen intake and average wing length among all species, which was also done for each of the three types of correlations. </w:t>
      </w:r>
      <w:r w:rsidDel="00000000" w:rsidR="00000000" w:rsidRPr="00000000">
        <w:rPr>
          <w:rFonts w:ascii="Times New Roman" w:cs="Times New Roman" w:eastAsia="Times New Roman" w:hAnsi="Times New Roman"/>
          <w:sz w:val="24"/>
          <w:szCs w:val="24"/>
          <w:rtl w:val="0"/>
        </w:rPr>
        <w:t xml:space="preserve">All correlations were performed using RStudio (RStudio Team, 2022). </w:t>
      </w:r>
      <w:r w:rsidDel="00000000" w:rsidR="00000000" w:rsidRPr="00000000">
        <w:rPr>
          <w:rtl w:val="0"/>
        </w:rPr>
      </w:r>
    </w:p>
    <w:p w:rsidR="00000000" w:rsidDel="00000000" w:rsidP="00000000" w:rsidRDefault="00000000" w:rsidRPr="00000000" w14:paraId="00000022">
      <w:pPr>
        <w:spacing w:line="48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X-Y Scatter plot</w:t>
      </w:r>
    </w:p>
    <w:p w:rsidR="00000000" w:rsidDel="00000000" w:rsidP="00000000" w:rsidRDefault="00000000" w:rsidRPr="00000000" w14:paraId="00000023">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scatter plots were made using RStudio, both of which contained best fit lines. The first scatter plot was made to compare the nitrogen intake of species with the average eye width, while the second one was plotted to compare the nitrogen intake of species with the average wing length. </w:t>
      </w:r>
    </w:p>
    <w:p w:rsidR="00000000" w:rsidDel="00000000" w:rsidP="00000000" w:rsidRDefault="00000000" w:rsidRPr="00000000" w14:paraId="0000002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r w:rsidDel="00000000" w:rsidR="00000000" w:rsidRPr="00000000">
        <w:rPr>
          <w:rtl w:val="0"/>
        </w:rPr>
      </w:r>
    </w:p>
    <w:p w:rsidR="00000000" w:rsidDel="00000000" w:rsidP="00000000" w:rsidRDefault="00000000" w:rsidRPr="00000000" w14:paraId="0000002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91077" cy="351368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291077" cy="351368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d5156"/>
          <w:sz w:val="20"/>
          <w:szCs w:val="20"/>
          <w:rtl w:val="0"/>
        </w:rPr>
        <w:t xml:space="preserve"> Figure 1: </w:t>
      </w:r>
      <w:r w:rsidDel="00000000" w:rsidR="00000000" w:rsidRPr="00000000">
        <w:rPr>
          <w:rFonts w:ascii="Times New Roman" w:cs="Times New Roman" w:eastAsia="Times New Roman" w:hAnsi="Times New Roman"/>
          <w:color w:val="4d5156"/>
          <w:sz w:val="20"/>
          <w:szCs w:val="20"/>
          <w:rtl w:val="0"/>
        </w:rPr>
        <w:t xml:space="preserve">phylogenetic tree </w:t>
      </w:r>
      <w:r w:rsidDel="00000000" w:rsidR="00000000" w:rsidRPr="00000000">
        <w:rPr>
          <w:rFonts w:ascii="Times New Roman" w:cs="Times New Roman" w:eastAsia="Times New Roman" w:hAnsi="Times New Roman"/>
          <w:color w:val="4d5156"/>
          <w:sz w:val="20"/>
          <w:szCs w:val="20"/>
          <w:rtl w:val="0"/>
        </w:rPr>
        <w:t xml:space="preserve">of all 96 butterfly species being tested in this study</w:t>
      </w:r>
      <w:r w:rsidDel="00000000" w:rsidR="00000000" w:rsidRPr="00000000">
        <w:rPr>
          <w:rtl w:val="0"/>
        </w:rPr>
      </w:r>
    </w:p>
    <w:p w:rsidR="00000000" w:rsidDel="00000000" w:rsidP="00000000" w:rsidRDefault="00000000" w:rsidRPr="00000000" w14:paraId="0000002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7075" cy="3100388"/>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807075"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jc w:val="center"/>
        <w:rPr>
          <w:rFonts w:ascii="Times New Roman" w:cs="Times New Roman" w:eastAsia="Times New Roman" w:hAnsi="Times New Roman"/>
          <w:color w:val="4d5156"/>
          <w:sz w:val="20"/>
          <w:szCs w:val="20"/>
          <w:highlight w:val="white"/>
        </w:rPr>
      </w:pPr>
      <w:r w:rsidDel="00000000" w:rsidR="00000000" w:rsidRPr="00000000">
        <w:rPr>
          <w:rFonts w:ascii="Times New Roman" w:cs="Times New Roman" w:eastAsia="Times New Roman" w:hAnsi="Times New Roman"/>
          <w:color w:val="4d5156"/>
          <w:sz w:val="20"/>
          <w:szCs w:val="20"/>
          <w:rtl w:val="0"/>
        </w:rPr>
        <w:t xml:space="preserve">Figure 2:</w:t>
      </w:r>
      <w:r w:rsidDel="00000000" w:rsidR="00000000" w:rsidRPr="00000000">
        <w:rPr>
          <w:rFonts w:ascii="Times New Roman" w:cs="Times New Roman" w:eastAsia="Times New Roman" w:hAnsi="Times New Roman"/>
          <w:color w:val="4d5156"/>
          <w:sz w:val="20"/>
          <w:szCs w:val="20"/>
          <w:rtl w:val="0"/>
        </w:rPr>
        <w:t xml:space="preserve"> percent nitrogen intake in comparison to eye width of butterflies (R</w:t>
      </w:r>
      <w:r w:rsidDel="00000000" w:rsidR="00000000" w:rsidRPr="00000000">
        <w:rPr>
          <w:rFonts w:ascii="Times New Roman" w:cs="Times New Roman" w:eastAsia="Times New Roman" w:hAnsi="Times New Roman"/>
          <w:color w:val="4d5156"/>
          <w:sz w:val="20"/>
          <w:szCs w:val="20"/>
          <w:highlight w:val="white"/>
          <w:rtl w:val="0"/>
        </w:rPr>
        <w:t xml:space="preserve">²= 0.09906, p-value= 0.00844). </w:t>
      </w:r>
    </w:p>
    <w:p w:rsidR="00000000" w:rsidDel="00000000" w:rsidP="00000000" w:rsidRDefault="00000000" w:rsidRPr="00000000" w14:paraId="00000029">
      <w:pPr>
        <w:spacing w:line="480" w:lineRule="auto"/>
        <w:jc w:val="center"/>
        <w:rPr>
          <w:rFonts w:ascii="Times New Roman" w:cs="Times New Roman" w:eastAsia="Times New Roman" w:hAnsi="Times New Roman"/>
          <w:color w:val="4d5156"/>
          <w:sz w:val="20"/>
          <w:szCs w:val="20"/>
          <w:highlight w:val="white"/>
        </w:rPr>
      </w:pPr>
      <w:r w:rsidDel="00000000" w:rsidR="00000000" w:rsidRPr="00000000">
        <w:rPr>
          <w:rFonts w:ascii="Times New Roman" w:cs="Times New Roman" w:eastAsia="Times New Roman" w:hAnsi="Times New Roman"/>
          <w:color w:val="4d5156"/>
          <w:sz w:val="20"/>
          <w:szCs w:val="20"/>
          <w:highlight w:val="white"/>
        </w:rPr>
        <w:drawing>
          <wp:inline distB="114300" distT="114300" distL="114300" distR="114300">
            <wp:extent cx="5943600" cy="3162300"/>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480" w:lineRule="auto"/>
        <w:jc w:val="center"/>
        <w:rPr>
          <w:rFonts w:ascii="Times New Roman" w:cs="Times New Roman" w:eastAsia="Times New Roman" w:hAnsi="Times New Roman"/>
          <w:color w:val="4d5156"/>
          <w:sz w:val="20"/>
          <w:szCs w:val="20"/>
          <w:highlight w:val="white"/>
        </w:rPr>
      </w:pPr>
      <w:r w:rsidDel="00000000" w:rsidR="00000000" w:rsidRPr="00000000">
        <w:rPr>
          <w:rFonts w:ascii="Times New Roman" w:cs="Times New Roman" w:eastAsia="Times New Roman" w:hAnsi="Times New Roman"/>
          <w:color w:val="4d5156"/>
          <w:sz w:val="20"/>
          <w:szCs w:val="20"/>
          <w:rtl w:val="0"/>
        </w:rPr>
        <w:t xml:space="preserve">Figure 3: percent nitrogen intake in comparison to wing length of butterflies (R</w:t>
      </w:r>
      <w:r w:rsidDel="00000000" w:rsidR="00000000" w:rsidRPr="00000000">
        <w:rPr>
          <w:rFonts w:ascii="Times New Roman" w:cs="Times New Roman" w:eastAsia="Times New Roman" w:hAnsi="Times New Roman"/>
          <w:color w:val="4d5156"/>
          <w:sz w:val="20"/>
          <w:szCs w:val="20"/>
          <w:highlight w:val="white"/>
          <w:rtl w:val="0"/>
        </w:rPr>
        <w:t xml:space="preserve">²= 0.03884, p-value= 0.102).</w:t>
      </w:r>
    </w:p>
    <w:p w:rsidR="00000000" w:rsidDel="00000000" w:rsidP="00000000" w:rsidRDefault="00000000" w:rsidRPr="00000000" w14:paraId="0000002B">
      <w:pPr>
        <w:spacing w:line="480" w:lineRule="auto"/>
        <w:ind w:firstLine="72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24"/>
          <w:szCs w:val="24"/>
          <w:highlight w:val="white"/>
          <w:rtl w:val="0"/>
        </w:rPr>
        <w:t xml:space="preserve">Correlation between percent nitrogen intake in comparison to eye width as calculated </w:t>
      </w:r>
      <w:r w:rsidDel="00000000" w:rsidR="00000000" w:rsidRPr="00000000">
        <w:rPr>
          <w:rFonts w:ascii="Times New Roman" w:cs="Times New Roman" w:eastAsia="Times New Roman" w:hAnsi="Times New Roman"/>
          <w:sz w:val="24"/>
          <w:szCs w:val="24"/>
          <w:highlight w:val="white"/>
          <w:rtl w:val="0"/>
        </w:rPr>
        <w:t xml:space="preserve">by the Pearson’s</w:t>
      </w:r>
      <w:r w:rsidDel="00000000" w:rsidR="00000000" w:rsidRPr="00000000">
        <w:rPr>
          <w:rFonts w:ascii="Times New Roman" w:cs="Times New Roman" w:eastAsia="Times New Roman" w:hAnsi="Times New Roman"/>
          <w:sz w:val="24"/>
          <w:szCs w:val="24"/>
          <w:highlight w:val="white"/>
          <w:rtl w:val="0"/>
        </w:rPr>
        <w:t xml:space="preserve"> correlation showed a correlation value of 0.319819, while the Pearson’s correlation between percent nitrogen intake and wing length showed a correlation of 0.234036. </w:t>
      </w:r>
      <w:r w:rsidDel="00000000" w:rsidR="00000000" w:rsidRPr="00000000">
        <w:rPr>
          <w:rFonts w:ascii="Times New Roman" w:cs="Times New Roman" w:eastAsia="Times New Roman" w:hAnsi="Times New Roman"/>
          <w:sz w:val="24"/>
          <w:szCs w:val="24"/>
          <w:highlight w:val="white"/>
          <w:rtl w:val="0"/>
        </w:rPr>
        <w:t xml:space="preserve">Correlation values as calculated by Spearman’s correlation showed to be 0.3361879 for percent nitrogen intake in comparison to eye width, and 0.3115547 for percent nitrogen intake in comparison to wing length. Correlation values as calculated by Kendall's correlation showed results of 0.2203061 for percent nitrogen intake in comparison to eye width, and 0.2089666 for percent nitrogen intake in comparison to wing length.  Figure 2 shows an X-Y scatter plot between percent nitrogen intake and eye width with an R² value of approximately 0.099 and a p-value of </w:t>
      </w:r>
      <w:r w:rsidDel="00000000" w:rsidR="00000000" w:rsidRPr="00000000">
        <w:rPr>
          <w:rFonts w:ascii="Times New Roman" w:cs="Times New Roman" w:eastAsia="Times New Roman" w:hAnsi="Times New Roman"/>
          <w:sz w:val="24"/>
          <w:szCs w:val="24"/>
          <w:rtl w:val="0"/>
        </w:rPr>
        <w:t xml:space="preserve">approximately 0.008. </w:t>
      </w:r>
      <w:r w:rsidDel="00000000" w:rsidR="00000000" w:rsidRPr="00000000">
        <w:rPr>
          <w:rFonts w:ascii="Times New Roman" w:cs="Times New Roman" w:eastAsia="Times New Roman" w:hAnsi="Times New Roman"/>
          <w:sz w:val="24"/>
          <w:szCs w:val="24"/>
          <w:highlight w:val="white"/>
          <w:rtl w:val="0"/>
        </w:rPr>
        <w:t xml:space="preserve">Figure 3 shows an X-Y scatter plot between percent nitrogen intake and wing length with an R² value of approximately 0.039 and a p-value of 0.102. </w:t>
      </w:r>
      <w:r w:rsidDel="00000000" w:rsidR="00000000" w:rsidRPr="00000000">
        <w:rPr>
          <w:rtl w:val="0"/>
        </w:rPr>
      </w:r>
    </w:p>
    <w:p w:rsidR="00000000" w:rsidDel="00000000" w:rsidP="00000000" w:rsidRDefault="00000000" w:rsidRPr="00000000" w14:paraId="0000002C">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 </w:t>
      </w:r>
      <w:r w:rsidDel="00000000" w:rsidR="00000000" w:rsidRPr="00000000">
        <w:rPr>
          <w:rtl w:val="0"/>
        </w:rPr>
      </w:r>
    </w:p>
    <w:p w:rsidR="00000000" w:rsidDel="00000000" w:rsidP="00000000" w:rsidRDefault="00000000" w:rsidRPr="00000000" w14:paraId="0000002D">
      <w:pPr>
        <w:spacing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After conducting our different correlations as well as X-Y scatter plots, our results show very minimal support for our original hypothesis. Our P</w:t>
      </w:r>
      <w:r w:rsidDel="00000000" w:rsidR="00000000" w:rsidRPr="00000000">
        <w:rPr>
          <w:rFonts w:ascii="Times New Roman" w:cs="Times New Roman" w:eastAsia="Times New Roman" w:hAnsi="Times New Roman"/>
          <w:sz w:val="24"/>
          <w:szCs w:val="24"/>
          <w:rtl w:val="0"/>
        </w:rPr>
        <w:t xml:space="preserve">earson's</w:t>
      </w:r>
      <w:r w:rsidDel="00000000" w:rsidR="00000000" w:rsidRPr="00000000">
        <w:rPr>
          <w:rFonts w:ascii="Times New Roman" w:cs="Times New Roman" w:eastAsia="Times New Roman" w:hAnsi="Times New Roman"/>
          <w:sz w:val="24"/>
          <w:szCs w:val="24"/>
          <w:rtl w:val="0"/>
        </w:rPr>
        <w:t xml:space="preserve"> correlation values for both tests were very low (0.319819 and 0.234036). To further support the low Pearson values, our Spearman values as well as our Kendall values also both showed weak correlations between our variables. These values indicate that although there was seen to be a positive correlation between nitrogen intake and eye width and wing length, these values were very weak and showed no significance between the two variables. Nitrogen intake did not have a significant impact on our variables. The same results can be interpreted from our scatter plots due to the low R</w:t>
      </w:r>
      <w:r w:rsidDel="00000000" w:rsidR="00000000" w:rsidRPr="00000000">
        <w:rPr>
          <w:rFonts w:ascii="Times New Roman" w:cs="Times New Roman" w:eastAsia="Times New Roman" w:hAnsi="Times New Roman"/>
          <w:sz w:val="24"/>
          <w:szCs w:val="24"/>
          <w:highlight w:val="white"/>
          <w:rtl w:val="0"/>
        </w:rPr>
        <w:t xml:space="preserve">² values as shown in figure 2 and figure 3. Having an R² value less than 0.1 indicates a weak effect, and both of the values were below that value (0.099 and 0.039). P-values for both plots were calculated and we found that when comparing nitrogen intake to eye width, our results were statistically significant since our value was approximately 0.008, meaning that these variables do have a weak correlation. When comparing nitrogen intake with wing length, we had a much larger p-value (0.102) that was not significant, meaning these two variables could be more correlated than we are seeing. Most of our results can confirm that even though nitrogen intake had some positive correlation on eye width and wing length, the correlations were way too small to have any meaningful effect on the butterfly species. </w:t>
      </w:r>
    </w:p>
    <w:p w:rsidR="00000000" w:rsidDel="00000000" w:rsidP="00000000" w:rsidRDefault="00000000" w:rsidRPr="00000000" w14:paraId="0000002E">
      <w:pPr>
        <w:spacing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ways this study could have been altered and improved to show better results. One being altering the sampling methods. </w:t>
      </w:r>
      <w:r w:rsidDel="00000000" w:rsidR="00000000" w:rsidRPr="00000000">
        <w:rPr>
          <w:rFonts w:ascii="Times New Roman" w:cs="Times New Roman" w:eastAsia="Times New Roman" w:hAnsi="Times New Roman"/>
          <w:sz w:val="24"/>
          <w:szCs w:val="24"/>
          <w:highlight w:val="white"/>
          <w:rtl w:val="0"/>
        </w:rPr>
        <w:t xml:space="preserve">Instead of collecting butterfly species that were the easiest to collect data on, </w:t>
      </w:r>
      <w:r w:rsidDel="00000000" w:rsidR="00000000" w:rsidRPr="00000000">
        <w:rPr>
          <w:rFonts w:ascii="Times New Roman" w:cs="Times New Roman" w:eastAsia="Times New Roman" w:hAnsi="Times New Roman"/>
          <w:sz w:val="24"/>
          <w:szCs w:val="24"/>
          <w:highlight w:val="white"/>
          <w:rtl w:val="0"/>
        </w:rPr>
        <w:t xml:space="preserve">the study could have been more focused on butterfly species that cannot adapt to low nitrogen conditions. If some of our species were able to adapt to, or cope with low nitrogen conditions, their wing length and eye width may not be impacted by the amount of nitrogen they receive suggesting that nitrogen conditions in general may play a small role in life-history evolutio</w:t>
      </w:r>
      <w:r w:rsidDel="00000000" w:rsidR="00000000" w:rsidRPr="00000000">
        <w:rPr>
          <w:rFonts w:ascii="Times New Roman" w:cs="Times New Roman" w:eastAsia="Times New Roman" w:hAnsi="Times New Roman"/>
          <w:sz w:val="24"/>
          <w:szCs w:val="24"/>
          <w:rtl w:val="0"/>
        </w:rPr>
        <w:t xml:space="preserve">n (</w:t>
      </w:r>
      <w:r w:rsidDel="00000000" w:rsidR="00000000" w:rsidRPr="00000000">
        <w:rPr>
          <w:rFonts w:ascii="Times New Roman" w:cs="Times New Roman" w:eastAsia="Times New Roman" w:hAnsi="Times New Roman"/>
          <w:color w:val="333333"/>
          <w:sz w:val="24"/>
          <w:szCs w:val="24"/>
          <w:rtl w:val="0"/>
        </w:rPr>
        <w:t xml:space="preserve">Douglas, 2009</w:t>
      </w:r>
      <w:r w:rsidDel="00000000" w:rsidR="00000000" w:rsidRPr="00000000">
        <w:rPr>
          <w:rFonts w:ascii="Times New Roman" w:cs="Times New Roman" w:eastAsia="Times New Roman" w:hAnsi="Times New Roman"/>
          <w:sz w:val="24"/>
          <w:szCs w:val="24"/>
          <w:rtl w:val="0"/>
        </w:rPr>
        <w:t xml:space="preserve">). Another alteration that could’ve been done in this study was to use the raw nitrogen values rather than using the average nitrogen values. This could be something that is considered in future studies that might offer different results. </w:t>
      </w:r>
      <w:r w:rsidDel="00000000" w:rsidR="00000000" w:rsidRPr="00000000">
        <w:rPr>
          <w:rFonts w:ascii="Times New Roman" w:cs="Times New Roman" w:eastAsia="Times New Roman" w:hAnsi="Times New Roman"/>
          <w:sz w:val="24"/>
          <w:szCs w:val="24"/>
          <w:highlight w:val="white"/>
          <w:rtl w:val="0"/>
        </w:rPr>
        <w:t xml:space="preserve">Overall, our results did show slight positive correlation between our variables, but the data observed did not have a strong enough correlation to confidently say these variables are related enough to support our hypothesis. </w:t>
      </w:r>
    </w:p>
    <w:p w:rsidR="00000000" w:rsidDel="00000000" w:rsidP="00000000" w:rsidRDefault="00000000" w:rsidRPr="00000000" w14:paraId="0000002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Cited</w:t>
      </w:r>
    </w:p>
    <w:p w:rsidR="00000000" w:rsidDel="00000000" w:rsidP="00000000" w:rsidRDefault="00000000" w:rsidRPr="00000000" w14:paraId="00000030">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Borer, E. T., Bracken, M. E., Seabloom, E. W., Smith, J. E., Cebrian, J., Cleland, E. E., Elser, J. J., Fagan, W. F., Gruner, D. S., Harpole, W. S., Hillebrand, H., Kerkhoff, A. J., &amp; Ngai, J. T. (2013). Global biogeography of Autotroph Chemistry: Is insolation a driving force? </w:t>
      </w:r>
      <w:r w:rsidDel="00000000" w:rsidR="00000000" w:rsidRPr="00000000">
        <w:rPr>
          <w:rFonts w:ascii="Times New Roman" w:cs="Times New Roman" w:eastAsia="Times New Roman" w:hAnsi="Times New Roman"/>
          <w:i w:val="1"/>
          <w:sz w:val="24"/>
          <w:szCs w:val="24"/>
          <w:rtl w:val="0"/>
        </w:rPr>
        <w:t xml:space="preserve">Oikos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122</w:t>
      </w:r>
      <w:r w:rsidDel="00000000" w:rsidR="00000000" w:rsidRPr="00000000">
        <w:rPr>
          <w:rFonts w:ascii="Times New Roman" w:cs="Times New Roman" w:eastAsia="Times New Roman" w:hAnsi="Times New Roman"/>
          <w:sz w:val="24"/>
          <w:szCs w:val="24"/>
          <w:rtl w:val="0"/>
        </w:rPr>
        <w:t xml:space="preserve">(8), 1121–1130. https://doi.org/10.1111/j.1600-0706.2013.00465.x </w:t>
      </w:r>
    </w:p>
    <w:p w:rsidR="00000000" w:rsidDel="00000000" w:rsidP="00000000" w:rsidRDefault="00000000" w:rsidRPr="00000000" w14:paraId="00000031">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Douglas, A. E. (2009). The microbial dimension in insect nutritional ecology. </w:t>
      </w:r>
      <w:r w:rsidDel="00000000" w:rsidR="00000000" w:rsidRPr="00000000">
        <w:rPr>
          <w:rFonts w:ascii="Times New Roman" w:cs="Times New Roman" w:eastAsia="Times New Roman" w:hAnsi="Times New Roman"/>
          <w:i w:val="1"/>
          <w:sz w:val="24"/>
          <w:szCs w:val="24"/>
          <w:rtl w:val="0"/>
        </w:rPr>
        <w:t xml:space="preserve">Functional Ecology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23</w:t>
      </w:r>
      <w:r w:rsidDel="00000000" w:rsidR="00000000" w:rsidRPr="00000000">
        <w:rPr>
          <w:rFonts w:ascii="Times New Roman" w:cs="Times New Roman" w:eastAsia="Times New Roman" w:hAnsi="Times New Roman"/>
          <w:sz w:val="24"/>
          <w:szCs w:val="24"/>
          <w:rtl w:val="0"/>
        </w:rPr>
        <w:t xml:space="preserve">(1), 38–47. https://doi.org/10.1111/j.1365-2435.2008.01442.x </w:t>
      </w:r>
    </w:p>
    <w:p w:rsidR="00000000" w:rsidDel="00000000" w:rsidP="00000000" w:rsidRDefault="00000000" w:rsidRPr="00000000" w14:paraId="00000032">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Papaj, D. R., &amp; Rausher, M. D. (1987). Components of conspecific host discrimination behavior in the Butterfly Battus Philenor. </w:t>
      </w:r>
      <w:r w:rsidDel="00000000" w:rsidR="00000000" w:rsidRPr="00000000">
        <w:rPr>
          <w:rFonts w:ascii="Times New Roman" w:cs="Times New Roman" w:eastAsia="Times New Roman" w:hAnsi="Times New Roman"/>
          <w:i w:val="1"/>
          <w:sz w:val="24"/>
          <w:szCs w:val="24"/>
          <w:rtl w:val="0"/>
        </w:rPr>
        <w:t xml:space="preserve">Ecology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68</w:t>
      </w:r>
      <w:r w:rsidDel="00000000" w:rsidR="00000000" w:rsidRPr="00000000">
        <w:rPr>
          <w:rFonts w:ascii="Times New Roman" w:cs="Times New Roman" w:eastAsia="Times New Roman" w:hAnsi="Times New Roman"/>
          <w:sz w:val="24"/>
          <w:szCs w:val="24"/>
          <w:rtl w:val="0"/>
        </w:rPr>
        <w:t xml:space="preserve">(2), 245–253. https://doi.org/10.2307/1939254 </w:t>
      </w:r>
    </w:p>
    <w:p w:rsidR="00000000" w:rsidDel="00000000" w:rsidP="00000000" w:rsidRDefault="00000000" w:rsidRPr="00000000" w14:paraId="00000033">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RStudio Team (2022). RStudio: Integrated Development Environment for R. RStudio, PBC, Boston, MA URL </w:t>
      </w:r>
      <w:hyperlink r:id="rId9">
        <w:r w:rsidDel="00000000" w:rsidR="00000000" w:rsidRPr="00000000">
          <w:rPr>
            <w:rFonts w:ascii="Times New Roman" w:cs="Times New Roman" w:eastAsia="Times New Roman" w:hAnsi="Times New Roman"/>
            <w:color w:val="1155cc"/>
            <w:sz w:val="24"/>
            <w:szCs w:val="24"/>
            <w:u w:val="single"/>
            <w:rtl w:val="0"/>
          </w:rPr>
          <w:t xml:space="preserve">http://www.rstudio.com/</w:t>
        </w:r>
      </w:hyperlink>
      <w:r w:rsidDel="00000000" w:rsidR="00000000" w:rsidRPr="00000000">
        <w:rPr>
          <w:rtl w:val="0"/>
        </w:rPr>
      </w:r>
    </w:p>
    <w:p w:rsidR="00000000" w:rsidDel="00000000" w:rsidP="00000000" w:rsidRDefault="00000000" w:rsidRPr="00000000" w14:paraId="00000034">
      <w:pPr>
        <w:spacing w:after="240" w:before="240" w:line="480" w:lineRule="auto"/>
        <w:ind w:left="720" w:hanging="72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rtl w:val="0"/>
        </w:rPr>
        <w:t xml:space="preserve">Rutowski, R., Demlong, M., &amp; McCoy, L. (2001). Visual mate detection in a territorial male butterfly (Asterocampa Leilia): Effects of distance and perch location. </w:t>
      </w:r>
      <w:r w:rsidDel="00000000" w:rsidR="00000000" w:rsidRPr="00000000">
        <w:rPr>
          <w:rFonts w:ascii="Times New Roman" w:cs="Times New Roman" w:eastAsia="Times New Roman" w:hAnsi="Times New Roman"/>
          <w:i w:val="1"/>
          <w:sz w:val="24"/>
          <w:szCs w:val="24"/>
          <w:rtl w:val="0"/>
        </w:rPr>
        <w:t xml:space="preserve">Behaviour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138</w:t>
      </w:r>
      <w:r w:rsidDel="00000000" w:rsidR="00000000" w:rsidRPr="00000000">
        <w:rPr>
          <w:rFonts w:ascii="Times New Roman" w:cs="Times New Roman" w:eastAsia="Times New Roman" w:hAnsi="Times New Roman"/>
          <w:sz w:val="24"/>
          <w:szCs w:val="24"/>
          <w:rtl w:val="0"/>
        </w:rPr>
        <w:t xml:space="preserve">(1), 31–43. https://doi.org/10.1163/156853901750077772  </w:t>
      </w:r>
      <w:r w:rsidDel="00000000" w:rsidR="00000000" w:rsidRPr="00000000">
        <w:rPr>
          <w:rtl w:val="0"/>
        </w:rPr>
      </w:r>
    </w:p>
    <w:p w:rsidR="00000000" w:rsidDel="00000000" w:rsidP="00000000" w:rsidRDefault="00000000" w:rsidRPr="00000000" w14:paraId="00000035">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Snell‐Rood, E., Cothran, R., Espeset, A., Jeyasingh, P., Hobbie, S., &amp; Morehouse, N. I. (2015). Life‐History evolution in the anthropocene: Effects of increasing nutrients on traits and trade‐offs. </w:t>
      </w:r>
      <w:r w:rsidDel="00000000" w:rsidR="00000000" w:rsidRPr="00000000">
        <w:rPr>
          <w:rFonts w:ascii="Times New Roman" w:cs="Times New Roman" w:eastAsia="Times New Roman" w:hAnsi="Times New Roman"/>
          <w:i w:val="1"/>
          <w:sz w:val="24"/>
          <w:szCs w:val="24"/>
          <w:rtl w:val="0"/>
        </w:rPr>
        <w:t xml:space="preserve">Evolutionary Applications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(7), 635–649. https://doi.org/10.1111/eva.12272 </w:t>
      </w:r>
    </w:p>
    <w:p w:rsidR="00000000" w:rsidDel="00000000" w:rsidP="00000000" w:rsidRDefault="00000000" w:rsidRPr="00000000" w14:paraId="00000036">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Swanson, E. M., Espeset, A., Mikati, I., Bolduc, I., Kulhanek, R., White, W. A., Kenzie, S., &amp; Snell-Rood, E. C. (2016). Nutrition shapes life-history evolution across species. </w:t>
      </w:r>
      <w:r w:rsidDel="00000000" w:rsidR="00000000" w:rsidRPr="00000000">
        <w:rPr>
          <w:rFonts w:ascii="Times New Roman" w:cs="Times New Roman" w:eastAsia="Times New Roman" w:hAnsi="Times New Roman"/>
          <w:i w:val="1"/>
          <w:sz w:val="24"/>
          <w:szCs w:val="24"/>
          <w:rtl w:val="0"/>
        </w:rPr>
        <w:t xml:space="preserve">Proceedings of the Royal Society B: Biological Sciences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283</w:t>
      </w:r>
      <w:r w:rsidDel="00000000" w:rsidR="00000000" w:rsidRPr="00000000">
        <w:rPr>
          <w:rFonts w:ascii="Times New Roman" w:cs="Times New Roman" w:eastAsia="Times New Roman" w:hAnsi="Times New Roman"/>
          <w:sz w:val="24"/>
          <w:szCs w:val="24"/>
          <w:rtl w:val="0"/>
        </w:rPr>
        <w:t xml:space="preserve">(1834), 20152764. https://doi.org/10.1098/rspb.2015.2764 </w:t>
      </w:r>
    </w:p>
    <w:p w:rsidR="00000000" w:rsidDel="00000000" w:rsidP="00000000" w:rsidRDefault="00000000" w:rsidRPr="00000000" w14:paraId="00000037">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Vitousek, P. M., Aber, J. D., Howarth, R. W., Likens, G. E., Matson, P. A., Schindler, D. W., Schlesinger, W. H., &amp; Tilman, D. G. (1997). Technical report: Human alteration of the global nitrogen cycle: Sources and consequences. </w:t>
      </w:r>
      <w:r w:rsidDel="00000000" w:rsidR="00000000" w:rsidRPr="00000000">
        <w:rPr>
          <w:rFonts w:ascii="Times New Roman" w:cs="Times New Roman" w:eastAsia="Times New Roman" w:hAnsi="Times New Roman"/>
          <w:i w:val="1"/>
          <w:sz w:val="24"/>
          <w:szCs w:val="24"/>
          <w:rtl w:val="0"/>
        </w:rPr>
        <w:t xml:space="preserve">Ecological Applications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(3), 737. https://doi.org/10.2307/2269431 </w:t>
      </w:r>
    </w:p>
    <w:p w:rsidR="00000000" w:rsidDel="00000000" w:rsidP="00000000" w:rsidRDefault="00000000" w:rsidRPr="00000000" w14:paraId="00000038">
      <w:pPr>
        <w:spacing w:line="480" w:lineRule="auto"/>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rstudio.co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