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Бывшему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передаче документации, печатей, штампов и иных ценностей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течение 3 дней с даты утверждения конкурсного управляющего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6. {{ИНЫЕ_ДОКУМЕНТЫ}}.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