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привлечении контролирующих должника лиц к субсидиарной ответственности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Ответчики (контролирующие должника лица):</w:t>
      </w:r>
    </w:p>
    <w:p>
      <w:r>
        <w:t>{{#each defendants}}</w:t>
      </w:r>
    </w:p>
    <w:p>
      <w:r>
        <w:t>Ответчик: {{ОТВЕТЧИК}}, адрес: {{ОТВЕТЧИК_АДРЕС}}, ИНН {{ОТВЕТЧИК_ИНН}}, ОГРН/ОГРНИП {{ОТВЕТЧИК_ОГРН}}.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{{ОТВЕТЧИК_МЕСТО_РОЖДЕНИЯ}}, СНИЛС {{ОТВЕТЧИК_СНИЛС}}.</w:t>
      </w:r>
    </w:p>
    <w:p>
      <w:r>
        <w:t>{{/if}}</w:t>
      </w:r>
    </w:p>
    <w:p>
      <w:r>
        <w:t>Основание отнесения к контролирующим должника лицам: {{ОСНОВАНИЕ_КОНТРОЛЯ}}.</w:t>
      </w:r>
    </w:p>
    <w:p>
      <w:r>
        <w:t>Период контроля: с {{ПЕРИОД_КОНТРОЛЯ_С}} по {{ПЕРИОД_КОНТРОЛЯ_ПО}} (п. 1 ст. 61.10 127-ФЗ).</w:t>
      </w:r>
    </w:p>
    <w:p>
      <w:r>
        <w:t>{{#if influence_description}}</w:t>
      </w:r>
    </w:p>
    <w:p>
      <w:r>
        <w:t>Лицо не может быть признано контролирующим должника только на том основании, что оно состояло в отношениях родства или свойства с членами органов должника, либо ему были переданы полномочия на совершение от имени должника отдельных ординарных сделок, либо оно замещало должность главного бухгалтера, финансового директора (абз. 4 п. 3 постановления Пленума ВС РФ от 21.12.2017 № 53). Фактическое влияние ответчика на действия должника: {{ОПИСАНИЕ_ВЛИЯНИЯ}}.</w:t>
      </w:r>
    </w:p>
    <w:p>
      <w:r>
        <w:t>{{/if}}</w:t>
      </w:r>
    </w:p>
    <w:p>
      <w:r>
        <w:t>Основание ответственности: {{ОСНОВАНИЕ_ОТВЕТСТВЕННОСТИ}}.</w:t>
      </w:r>
    </w:p>
    <w:p>
      <w:r>
        <w:t>{{#if liability_6112}}</w:t>
      </w:r>
    </w:p>
    <w:p>
      <w:r>
        <w:t>Обстоятельства, предусмотренные п. 1 ст. 9 127-ФЗ, возникли {{ДАТА_ВОЗНИКНОВЕНИЯ_ОБСТОЯТЕЛЬСТВ}}. Обязательства, возникшие после истечения срока, предусмотренного ст. 9 (с {{ДАТА_ИСТЕЧЕНИЯ_СРОКА_СТ9}}), и до возбуждения дела о банкротстве составляют {{РАЗМЕР_61_12}} руб. (п. 2 ст. 61.12 127-ФЗ).</w:t>
      </w:r>
    </w:p>
    <w:p>
      <w:r>
        <w:t>{{/if}}</w:t>
      </w:r>
    </w:p>
    <w:p>
      <w:r>
        <w:t>{{/each}}</w:t>
      </w:r>
    </w:p>
    <w:p/>
    <w:p>
      <w:r>
        <w:t>Признаки объективного банкротства возникли не позднее {{ДАТА_ПРИЗНАКОВ_БАНКРОТСТВА}}.</w:t>
      </w:r>
    </w:p>
    <w:p/>
    <w:p>
      <w:r>
        <w:t>Обстоятельства, свидетельствующие о невозможности полного погашения требований кредиторов вследствие действий (бездействия) ответчиков (ст. 61.11): {{ОСНОВАНИЯ_61_11}}.</w:t>
      </w:r>
    </w:p>
    <w:p/>
    <w:p>
      <w:r>
        <w:t>Размер ответственности по ст. 61.11: {{РАЗМЕР}} руб. (совокупный размер требований, не погашенных из-за недостаточности имущества).</w:t>
      </w:r>
    </w:p>
    <w:p/>
    <w:p>
      <w:r>
        <w:t>Прошу:</w:t>
      </w:r>
    </w:p>
    <w:p>
      <w:r>
        <w:t>1. Признать доказанным наличие оснований для привлечения ответчиков к субсидиарной ответственности.</w:t>
      </w:r>
    </w:p>
    <w:p>
      <w:r>
        <w:t>2. {{ВЗЫСКАТЬ_ИЛИ_ПРИОСТАНОВИТЬ_ДО_ОКОНЧАНИЯ_РАСЧЁТОВ}}.</w:t>
      </w:r>
    </w:p>
    <w:p>
      <w:r>
        <w:t>3. Принять обеспечительные меры (арест имущества ответчиков в пределах {{СУММА_ОБЕСПЕЧЕНИЯ}} руб.).</w:t>
      </w:r>
    </w:p>
    <w:p>
      <w:r>
        <w:t>{{#if poshlina_deferral}}</w:t>
      </w:r>
    </w:p>
    <w:p>
      <w:r>
        <w:t>4.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61.10–61.14, 61.16 127-ФЗ.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ответчикам заказным письмом с уведомлением о вручении и иным лицам, участвующим в деле (ч.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5.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5. Документы об остатке денежных средств на счетах должника.</w:t>
      </w:r>
    </w:p>
    <w:p>
      <w:r>
        <w:t>{{/if}}</w:t>
      </w:r>
    </w:p>
    <w:p>
      <w:r>
        <w:t>6.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