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{{НАИМЕНОВАНИЕ_КРЕДИТОРА}}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Требования кредиторов предъявляются в течение двух месяцев с даты опубликования сообщения о введении процедуры (ЕФРСБ / «Коммерсантъ», по более поздней дате) (п. 2 ст. 213.8, п. 4 ст. 213.24, п. 1 ст. 213.7 127-ФЗ; пп. 24, 25 постановления Пленума ВС РФ от 13.10.2015 № 45).</w:t>
      </w:r>
    </w:p>
    <w:p>
      <w:r>
        <w:t>Сообщение ЕФРСБ № {{НОМЕР_СООБЩЕНИЯ_ЕФРСБ}} от {{ДАТА_СООБЩЕНИЯ}}.</w:t>
      </w:r>
    </w:p>
    <w:p/>
    <w:p>
      <w:pPr>
        <w:keepNext/>
        <w:keepLines/>
      </w:pPr>
      <w:r>
        <w:t>Основание: п. 3 ст. 213.8, п. 2.1 ст. 213.24, абз. 8 п. 8 ст. 213.9 127-ФЗ.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