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об истребовании документации и имущества должника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Лицо, у которого истребуются документация и имущество, — бывший руководитель должника {{ФИО_РУКОВОДИТЕЛЯ}}.</w:t>
      </w:r>
    </w:p>
    <w:p/>
    <w:p>
      <w:r>
        <w:t>Требование о передаче документов от {{ДАТА_ТРЕБОВАНИЯ}} бывшим руководителем {{ФИО_РУКОВОДИТЕЛЯ}} не исполнено (исполнено частично: {{ЧТО_ПЕРЕДАНО}}).</w:t>
      </w:r>
    </w:p>
    <w:p/>
    <w:p>
      <w:r>
        <w:t>Отсутствие документации препятствует формированию конкурсной массы, взысканию дебиторской задолженности и оспариванию сделок.</w:t>
      </w:r>
    </w:p>
    <w:p/>
    <w:p>
      <w:r>
        <w:t>Прошу обязать {{ФИО_РУКОВОДИТЕЛЯ}} передать конкурсному управляющему: {{ПЕРЕЧЕНЬ}}; установить судебную неустойку в размере {{РАЗМЕР_НЕУСТОЙКИ}} руб. за каждый день неисполнения (ст. 308.3 ГК РФ).</w:t>
      </w:r>
    </w:p>
    <w:p/>
    <w:p>
      <w:r>
        <w:t>Правовое основание: п. 2 ст. 126 127-ФЗ, ст. 66 АПК РФ.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